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b/>
          <w:color w:val="402FFF"/>
          <w:sz w:val="44"/>
        </w:rPr>
        <w:t>Цифровая платформа подбора ИТ-специалистов с верифицированным профилем ФСП</w:t>
      </w:r>
    </w:p>
    <w:p>
      <w:pPr>
        <w:jc w:val="center"/>
      </w:pPr>
      <w:r>
        <w:rPr>
          <w:b w:val="0"/>
          <w:color w:val="5B6475"/>
          <w:sz w:val="26"/>
        </w:rPr>
        <w:t>Пояснительная записка</w:t>
      </w:r>
    </w:p>
    <w:p>
      <w:pPr>
        <w:jc w:val="center"/>
      </w:pPr>
      <w:r>
        <w:rPr>
          <w:b w:val="0"/>
          <w:color w:val="5B6475"/>
          <w:sz w:val="22"/>
        </w:rPr>
        <w:t>09.10.2026</w:t>
      </w:r>
    </w:p>
    <w:p>
      <w:r>
        <w:br w:type="page"/>
      </w:r>
    </w:p>
    <w:p>
      <w:r>
        <w:rPr>
          <w:b/>
          <w:color w:val="402FFF"/>
          <w:sz w:val="30"/>
        </w:rPr>
        <w:t>Содержание</w:t>
      </w:r>
    </w:p>
    <w:p>
      <w:pPr>
        <w:spacing w:after="60"/>
      </w:pPr>
      <w:r>
        <w:t>Введение</w:t>
      </w:r>
    </w:p>
    <w:p>
      <w:pPr>
        <w:spacing w:after="60"/>
      </w:pPr>
      <w:r>
        <w:t>1. Функциональная и компонентная архитектура</w:t>
      </w:r>
    </w:p>
    <w:p>
      <w:pPr>
        <w:spacing w:after="60"/>
      </w:pPr>
      <w:r>
        <w:t>2. Механика тестирования</w:t>
      </w:r>
    </w:p>
    <w:p>
      <w:pPr>
        <w:spacing w:after="60"/>
      </w:pPr>
      <w:r>
        <w:t>3. Механика подбора и категоризация</w:t>
      </w:r>
    </w:p>
    <w:p>
      <w:pPr>
        <w:spacing w:after="60"/>
      </w:pPr>
      <w:r>
        <w:t>4. Процедура валидации и результаты</w:t>
      </w:r>
    </w:p>
    <w:p>
      <w:pPr>
        <w:spacing w:after="60"/>
      </w:pPr>
      <w:r>
        <w:t>5. Интеграция с реестром ФСП</w:t>
      </w:r>
    </w:p>
    <w:p>
      <w:pPr>
        <w:spacing w:after="60"/>
      </w:pPr>
      <w:r>
        <w:t>6. Описание API</w:t>
      </w:r>
    </w:p>
    <w:p>
      <w:pPr>
        <w:spacing w:after="60"/>
      </w:pPr>
      <w:r>
        <w:t>7. Библиотеки и компоненты</w:t>
      </w:r>
    </w:p>
    <w:p>
      <w:pPr>
        <w:spacing w:after="60"/>
      </w:pPr>
      <w:r>
        <w:t>8. Сборка, развёртывание и локальный запуск</w:t>
      </w:r>
    </w:p>
    <w:p>
      <w:pPr>
        <w:spacing w:after="60"/>
      </w:pPr>
      <w:r>
        <w:t>9. Безопасность и персональные данные</w:t>
      </w:r>
    </w:p>
    <w:p>
      <w:pPr>
        <w:spacing w:after="60"/>
      </w:pPr>
      <w:r>
        <w:t>Приложение. Соответствие техническому заданию</w:t>
      </w:r>
    </w:p>
    <w:p>
      <w:r>
        <w:br w:type="page"/>
      </w:r>
    </w:p>
    <w:p>
      <w:pPr>
        <w:pStyle w:val="Heading1"/>
      </w:pPr>
      <w:r>
        <w:rPr/>
        <w:t>Введение</w:t>
      </w:r>
    </w:p>
    <w:p>
      <w:r>
        <w:rPr/>
        <w:t>Документ описывает платформу подбора ИТ-специалистов с верифицированным профилем ФСП. Разделы 1-8 соответствуют перечню раздела 3.4 технического задания, раздел 9 – требованиям безопасности из раздела 3.5, приложение – сверка с требованиями ТЗ.</w:t>
      </w:r>
    </w:p>
    <w:p>
      <w:r>
        <w:rPr>
          <w:b/>
        </w:rPr>
        <w:t>Суть решения.</w:t>
      </w:r>
      <w:r>
        <w:rPr/>
        <w:t xml:space="preserve"> Кандидат проходит опрос и персональный тест и получает подтверждённую категорию: IT-направление и грейд, например «Бэкенд · Middle». Работодатель описывает потребность, получает подборку с обоснованием каждого места и сам приглашает выбранного кандидата, указав вилку зарплаты. Контакты кандидата открываются только после того, как он принял приглашение или сам откликнулся на вакансию.</w:t>
      </w:r>
    </w:p>
    <w:p>
      <w:r>
        <w:rPr>
          <w:b/>
        </w:rPr>
        <w:t>Состав:</w:t>
      </w:r>
      <w:r>
        <w:rPr/>
        <w:t xml:space="preserve"> веб-приложение (кабинеты кандидата, работодателя и модератора), API с бизнес-логикой, реляционная база данных, банк из 720 заданий с алгоритмами сборки теста и определения грейда, имитация ФСП ID и реестра достижений в формате Keycloak.</w:t>
      </w:r>
    </w:p>
    <w:p>
      <w:pPr>
        <w:pStyle w:val="Heading1"/>
      </w:pPr>
      <w:r>
        <w:rPr/>
        <w:t>1. Функциональная и компонентная архитектура</w:t>
      </w:r>
    </w:p>
    <w:p>
      <w:pPr>
        <w:pStyle w:val="Heading2"/>
      </w:pPr>
      <w:r>
        <w:rPr/>
        <w:t>1.1. Роли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50"/>
            <w:shd w:val="clear" w:color="auto" w:fill="E8EDF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Роль</w:t>
            </w:r>
          </w:p>
        </w:tc>
        <w:tc>
          <w:tcPr>
            <w:tcW w:type="dxa" w:w="7015"/>
            <w:shd w:val="clear" w:color="auto" w:fill="E8EDF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Функции</w:t>
            </w:r>
          </w:p>
        </w:tc>
      </w:tr>
      <w:tr>
        <w:tc>
          <w:tcPr>
            <w:tcW w:type="dxa" w:w="2850"/>
          </w:tcPr>
          <w:p>
            <w:pPr>
              <w:spacing w:after="0" w:line="240" w:lineRule="auto"/>
            </w:pPr>
            <w:r>
              <w:rPr>
                <w:sz w:val="17"/>
              </w:rPr>
              <w:t>Кандидат</w:t>
            </w:r>
          </w:p>
        </w:tc>
        <w:tc>
          <w:tcPr>
            <w:tcW w:type="dxa" w:w="7015"/>
          </w:tcPr>
          <w:p>
            <w:pPr>
              <w:spacing w:after="0" w:line="240" w:lineRule="auto"/>
            </w:pPr>
            <w:r>
              <w:rPr>
                <w:sz w:val="17"/>
              </w:rPr>
              <w:t>регистрация по почте или вход через ФСП ID; анкета вручную или из PDF-резюме; опрос и тест; категория и история грейда; приглашения, переписка, отклики на вакансии; регулярные задания; приватность, согласия, выгрузка и удаление данных</w:t>
            </w:r>
          </w:p>
        </w:tc>
      </w:tr>
      <w:tr>
        <w:tc>
          <w:tcPr>
            <w:tcW w:type="dxa" w:w="2850"/>
          </w:tcPr>
          <w:p>
            <w:pPr>
              <w:spacing w:after="0" w:line="240" w:lineRule="auto"/>
            </w:pPr>
            <w:r>
              <w:rPr>
                <w:sz w:val="17"/>
              </w:rPr>
              <w:t>Работодатель</w:t>
            </w:r>
          </w:p>
        </w:tc>
        <w:tc>
          <w:tcPr>
            <w:tcW w:type="dxa" w:w="7015"/>
          </w:tcPr>
          <w:p>
            <w:pPr>
              <w:spacing w:after="0" w:line="240" w:lineRule="auto"/>
            </w:pPr>
            <w:r>
              <w:rPr>
                <w:sz w:val="17"/>
              </w:rPr>
              <w:t>профиль компании; потребности и вакансии; подборка с обоснованием; поиск по банку кандидатов; приглашения и отклики; регулярные задания; вебхуки для ATS</w:t>
            </w:r>
          </w:p>
        </w:tc>
      </w:tr>
      <w:tr>
        <w:tc>
          <w:tcPr>
            <w:tcW w:type="dxa" w:w="2850"/>
          </w:tcPr>
          <w:p>
            <w:pPr>
              <w:spacing w:after="0" w:line="240" w:lineRule="auto"/>
            </w:pPr>
            <w:r>
              <w:rPr>
                <w:sz w:val="17"/>
              </w:rPr>
              <w:t>Модератор</w:t>
            </w:r>
          </w:p>
        </w:tc>
        <w:tc>
          <w:tcPr>
            <w:tcW w:type="dxa" w:w="7015"/>
          </w:tcPr>
          <w:p>
            <w:pPr>
              <w:spacing w:after="0" w:line="240" w:lineRule="auto"/>
            </w:pPr>
            <w:r>
              <w:rPr>
                <w:sz w:val="17"/>
              </w:rPr>
              <w:t>рассмотрение компаний, приостановленных после жалоб; метка «Компания проверена»</w:t>
            </w:r>
          </w:p>
        </w:tc>
      </w:tr>
      <w:tr>
        <w:tc>
          <w:tcPr>
            <w:tcW w:type="dxa" w:w="2850"/>
          </w:tcPr>
          <w:p>
            <w:pPr>
              <w:spacing w:after="0" w:line="240" w:lineRule="auto"/>
            </w:pPr>
            <w:r>
              <w:rPr>
                <w:sz w:val="17"/>
              </w:rPr>
              <w:t>Законный представитель</w:t>
            </w:r>
          </w:p>
        </w:tc>
        <w:tc>
          <w:tcPr>
            <w:tcW w:type="dxa" w:w="7015"/>
          </w:tcPr>
          <w:p>
            <w:pPr>
              <w:spacing w:after="0" w:line="240" w:lineRule="auto"/>
            </w:pPr>
            <w:r>
              <w:rPr>
                <w:sz w:val="17"/>
              </w:rPr>
              <w:t>согласие на участие кандидата 15-17 лет по ссылке из письма</w:t>
            </w:r>
          </w:p>
        </w:tc>
      </w:tr>
    </w:tbl>
    <w:p>
      <w:pPr>
        <w:spacing w:after="40"/>
      </w:pPr>
    </w:p>
    <w:p>
      <w:r>
        <w:rPr/>
        <w:t>Основной сценарий: регистрация → опрос (направление, специализация, заявленный грейд) → тест из 26 заданий → категория → по желанию привязка ФСП ID → работодатель описывает потребность и получает подборку → приглашение с вилкой → кандидат принимает → работодатель видит контакты. Дополнительно: вакансии и отклики, переписка до раскрытия контактов, регулярные задания, жалобы на недобросовестные предложения.</w:t>
      </w:r>
    </w:p>
    <w:p>
      <w:pPr>
        <w:pStyle w:val="Heading2"/>
      </w:pPr>
      <w:r>
        <w:rPr/>
        <w:t>1.2. Компоненты</w:t>
      </w:r>
    </w:p>
    <w:p>
      <w:pPr>
        <w:shd w:val="clear" w:color="auto" w:fill="F5F6F8"/>
        <w:spacing w:after="120" w:line="240" w:lineRule="auto"/>
      </w:pPr>
      <w:r>
        <w:rPr>
          <w:rFonts w:ascii="Consolas" w:hAnsi="Consolas"/>
          <w:sz w:val="15"/>
        </w:rPr>
        <w:t xml:space="preserve"> Веб-приложение ──HTTPS, JSON──► API (FastAPI) ──► PostgreSQL / SQLite</w:t>
        <w:br/>
      </w:r>
      <w:r>
        <w:rPr>
          <w:rFonts w:ascii="Consolas" w:hAnsi="Consolas"/>
          <w:sz w:val="15"/>
        </w:rPr>
        <w:t xml:space="preserve"> (React)                          │  маршруты → сервисы → модели</w:t>
        <w:br/>
      </w:r>
      <w:r>
        <w:rPr>
          <w:rFonts w:ascii="Consolas" w:hAnsi="Consolas"/>
          <w:sz w:val="15"/>
        </w:rPr>
        <w:t xml:space="preserve">                                  ├──► банк заданий (библиотека Python)</w:t>
        <w:br/>
      </w:r>
      <w:r>
        <w:rPr>
          <w:rFonts w:ascii="Consolas" w:hAnsi="Consolas"/>
          <w:sz w:val="15"/>
        </w:rPr>
        <w:t xml:space="preserve">                                  ├──► почта (SMTP)</w:t>
        <w:br/>
      </w:r>
      <w:r>
        <w:rPr>
          <w:rFonts w:ascii="Consolas" w:hAnsi="Consolas"/>
          <w:sz w:val="15"/>
        </w:rPr>
        <w:t xml:space="preserve">                                  ├──► ФСП ID и реестр (OpenID Connect)</w:t>
        <w:br/>
      </w:r>
      <w:r>
        <w:rPr>
          <w:rFonts w:ascii="Consolas" w:hAnsi="Consolas"/>
          <w:sz w:val="15"/>
        </w:rPr>
        <w:t xml:space="preserve">                                  └──► ATS работодателя (вебхуки)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76"/>
            <w:shd w:val="clear" w:color="auto" w:fill="E8EDF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Компонент</w:t>
            </w:r>
          </w:p>
        </w:tc>
        <w:tc>
          <w:tcPr>
            <w:tcW w:type="dxa" w:w="4971"/>
            <w:shd w:val="clear" w:color="auto" w:fill="E8EDF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Назначение</w:t>
            </w:r>
          </w:p>
        </w:tc>
        <w:tc>
          <w:tcPr>
            <w:tcW w:type="dxa" w:w="3418"/>
            <w:shd w:val="clear" w:color="auto" w:fill="E8EDF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Технологии</w:t>
            </w:r>
          </w:p>
        </w:tc>
      </w:tr>
      <w:tr>
        <w:tc>
          <w:tcPr>
            <w:tcW w:type="dxa" w:w="1476"/>
          </w:tcPr>
          <w:p>
            <w:pPr>
              <w:spacing w:after="0" w:line="240" w:lineRule="auto"/>
            </w:pPr>
            <w:r>
              <w:rPr>
                <w:sz w:val="17"/>
              </w:rPr>
              <w:t>Веб-приложение</w:t>
            </w:r>
          </w:p>
        </w:tc>
        <w:tc>
          <w:tcPr>
            <w:tcW w:type="dxa" w:w="4971"/>
          </w:tcPr>
          <w:p>
            <w:pPr>
              <w:spacing w:after="0" w:line="240" w:lineRule="auto"/>
            </w:pPr>
            <w:r>
              <w:rPr>
                <w:sz w:val="17"/>
              </w:rPr>
              <w:t>кабинеты всех ролей, публичные страницы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>
              <w:rPr>
                <w:sz w:val="17"/>
              </w:rPr>
              <w:t>React, TypeScript, Vite</w:t>
            </w:r>
          </w:p>
        </w:tc>
      </w:tr>
      <w:tr>
        <w:tc>
          <w:tcPr>
            <w:tcW w:type="dxa" w:w="1476"/>
          </w:tcPr>
          <w:p>
            <w:pPr>
              <w:spacing w:after="0" w:line="240" w:lineRule="auto"/>
            </w:pPr>
            <w:r>
              <w:rPr>
                <w:sz w:val="17"/>
              </w:rPr>
              <w:t>API</w:t>
            </w:r>
          </w:p>
        </w:tc>
        <w:tc>
          <w:tcPr>
            <w:tcW w:type="dxa" w:w="4971"/>
          </w:tcPr>
          <w:p>
            <w:pPr>
              <w:spacing w:after="0" w:line="240" w:lineRule="auto"/>
            </w:pPr>
            <w:r>
              <w:rPr>
                <w:sz w:val="17"/>
              </w:rPr>
              <w:t>бизнес-логика, права, спецификация OpenAPI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>
              <w:rPr>
                <w:sz w:val="17"/>
              </w:rPr>
              <w:t>Python, FastAPI, SQLAlchemy</w:t>
            </w:r>
          </w:p>
        </w:tc>
      </w:tr>
      <w:tr>
        <w:tc>
          <w:tcPr>
            <w:tcW w:type="dxa" w:w="1476"/>
          </w:tcPr>
          <w:p>
            <w:pPr>
              <w:spacing w:after="0" w:line="240" w:lineRule="auto"/>
            </w:pPr>
            <w:r>
              <w:rPr>
                <w:sz w:val="17"/>
              </w:rPr>
              <w:t>База данных</w:t>
            </w:r>
          </w:p>
        </w:tc>
        <w:tc>
          <w:tcPr>
            <w:tcW w:type="dxa" w:w="4971"/>
          </w:tcPr>
          <w:p>
            <w:pPr>
              <w:spacing w:after="0" w:line="240" w:lineRule="auto"/>
            </w:pPr>
            <w:r>
              <w:rPr>
                <w:sz w:val="17"/>
              </w:rPr>
              <w:t>профили, попытки, подборки, приглашения, журналы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>
              <w:rPr>
                <w:sz w:val="17"/>
              </w:rPr>
              <w:t>PostgreSQL в контейнере, SQLite локально</w:t>
            </w:r>
          </w:p>
        </w:tc>
      </w:tr>
      <w:tr>
        <w:tc>
          <w:tcPr>
            <w:tcW w:type="dxa" w:w="1476"/>
          </w:tcPr>
          <w:p>
            <w:pPr>
              <w:spacing w:after="0" w:line="240" w:lineRule="auto"/>
            </w:pPr>
            <w:r>
              <w:rPr>
                <w:sz w:val="17"/>
              </w:rPr>
              <w:t>Банк заданий</w:t>
            </w:r>
          </w:p>
        </w:tc>
        <w:tc>
          <w:tcPr>
            <w:tcW w:type="dxa" w:w="4971"/>
          </w:tcPr>
          <w:p>
            <w:pPr>
              <w:spacing w:after="0" w:line="240" w:lineRule="auto"/>
            </w:pPr>
            <w:r>
              <w:rPr>
                <w:sz w:val="17"/>
              </w:rPr>
              <w:t>задания, сборка теста, подсчёт, определение грейда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>
              <w:rPr>
                <w:sz w:val="17"/>
              </w:rPr>
              <w:t>собственная библиотека без зависимостей</w:t>
            </w:r>
          </w:p>
        </w:tc>
      </w:tr>
      <w:tr>
        <w:tc>
          <w:tcPr>
            <w:tcW w:type="dxa" w:w="1476"/>
          </w:tcPr>
          <w:p>
            <w:pPr>
              <w:spacing w:after="0" w:line="240" w:lineRule="auto"/>
            </w:pPr>
            <w:r>
              <w:rPr>
                <w:sz w:val="17"/>
              </w:rPr>
              <w:t>Провайдер входа</w:t>
            </w:r>
          </w:p>
        </w:tc>
        <w:tc>
          <w:tcPr>
            <w:tcW w:type="dxa" w:w="4971"/>
          </w:tcPr>
          <w:p>
            <w:pPr>
              <w:spacing w:after="0" w:line="240" w:lineRule="auto"/>
            </w:pPr>
            <w:r>
              <w:rPr>
                <w:sz w:val="17"/>
              </w:rPr>
              <w:t>токены в формате Keycloak; при необходимости – внешний Keycloak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>
              <w:rPr>
                <w:sz w:val="17"/>
              </w:rPr>
              <w:t>PyJWT</w:t>
            </w:r>
          </w:p>
        </w:tc>
      </w:tr>
      <w:tr>
        <w:tc>
          <w:tcPr>
            <w:tcW w:type="dxa" w:w="1476"/>
          </w:tcPr>
          <w:p>
            <w:pPr>
              <w:spacing w:after="0" w:line="240" w:lineRule="auto"/>
            </w:pPr>
            <w:r>
              <w:rPr>
                <w:sz w:val="17"/>
              </w:rPr>
              <w:t>Имитация ФСП ID</w:t>
            </w:r>
          </w:p>
        </w:tc>
        <w:tc>
          <w:tcPr>
            <w:tcW w:type="dxa" w:w="4971"/>
          </w:tcPr>
          <w:p>
            <w:pPr>
              <w:spacing w:after="0" w:line="240" w:lineRule="auto"/>
            </w:pPr>
            <w:r>
              <w:rPr>
                <w:sz w:val="17"/>
              </w:rPr>
              <w:t>адреса и протоколы Keycloak, реестр достижений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>
              <w:rPr>
                <w:sz w:val="17"/>
              </w:rPr>
              <w:t>встроенный модуль</w:t>
            </w:r>
          </w:p>
        </w:tc>
      </w:tr>
      <w:tr>
        <w:tc>
          <w:tcPr>
            <w:tcW w:type="dxa" w:w="1476"/>
          </w:tcPr>
          <w:p>
            <w:pPr>
              <w:spacing w:after="0" w:line="240" w:lineRule="auto"/>
            </w:pPr>
            <w:r>
              <w:rPr>
                <w:sz w:val="17"/>
              </w:rPr>
              <w:t>Фоновые задачи</w:t>
            </w:r>
          </w:p>
        </w:tc>
        <w:tc>
          <w:tcPr>
            <w:tcW w:type="dxa" w:w="4971"/>
          </w:tcPr>
          <w:p>
            <w:pPr>
              <w:spacing w:after="0" w:line="240" w:lineRule="auto"/>
            </w:pPr>
            <w:r>
              <w:rPr>
                <w:sz w:val="17"/>
              </w:rPr>
              <w:t>отправка вебхуков, очистка устаревших данных</w:t>
            </w:r>
          </w:p>
        </w:tc>
        <w:tc>
          <w:tcPr>
            <w:tcW w:type="dxa" w:w="3418"/>
          </w:tcPr>
          <w:p>
            <w:pPr>
              <w:spacing w:after="0" w:line="240" w:lineRule="auto"/>
            </w:pPr>
            <w:r>
              <w:rPr>
                <w:sz w:val="17"/>
              </w:rPr>
              <w:t>потоки внутри API</w:t>
            </w:r>
          </w:p>
        </w:tc>
      </w:tr>
    </w:tbl>
    <w:p>
      <w:pPr>
        <w:spacing w:after="40"/>
      </w:pPr>
    </w:p>
    <w:p>
      <w:r>
        <w:rPr/>
        <w:t>API – модульный монолит с явными слоями: маршруты проверяют данные и права, сервисы содержат логику, модели описывают хранение. Модули (идентичность, кандидаты, тестирование, подбор, взаимодействие, ФСП, задания, интеграции) общаются только через сервисный слой, поэтому любой из них можно вынести в отдельный сервис. API не хранит состояние в памяти процесса и масштабируется числом процессов: ключ подписи токенов общий, каждое событие для ATS отправляет ровно один процесс.</w:t>
      </w:r>
    </w:p>
    <w:p>
      <w:r>
        <w:rPr/>
        <w:t>Схема базы создаётся при первом запуске; новые колонки и индексы добавляются в существующую базу автоматически.</w:t>
      </w:r>
    </w:p>
    <w:p>
      <w:pPr>
        <w:pStyle w:val="Heading1"/>
      </w:pPr>
      <w:r>
        <w:rPr/>
        <w:t>2. Механика тестирования</w:t>
      </w:r>
    </w:p>
    <w:p>
      <w:pPr>
        <w:pStyle w:val="Heading2"/>
      </w:pPr>
      <w:r>
        <w:rPr/>
        <w:t>2.1. Порядок прохождения</w:t>
      </w:r>
    </w:p>
    <w:p>
      <w:pPr>
        <w:pStyle w:val="ListParagraph"/>
        <w:ind w:left="340" w:hanging="283"/>
      </w:pPr>
      <w:r>
        <w:t xml:space="preserve">1. </w:t>
      </w:r>
      <w:r>
        <w:rPr>
          <w:b/>
        </w:rPr>
        <w:t>Опрос.</w:t>
      </w:r>
      <w:r>
        <w:rPr/>
        <w:t xml:space="preserve"> Направление (бэкенд, фронтенд, тестирование), специализация внутри него (Python, React, автоматизация и т. д.) и заявленный грейд. Без опроса тест недоступен.</w:t>
      </w:r>
    </w:p>
    <w:p>
      <w:pPr>
        <w:pStyle w:val="ListParagraph"/>
        <w:ind w:left="340" w:hanging="283"/>
      </w:pPr>
      <w:r>
        <w:t xml:space="preserve">2. </w:t>
      </w:r>
      <w:r>
        <w:rPr>
          <w:b/>
        </w:rPr>
        <w:t>Выбор уровня.</w:t>
      </w:r>
      <w:r>
        <w:rPr/>
        <w:t xml:space="preserve"> Для каждого уровня видно, доступен ли тест, а если нет – почему и с какой даты.</w:t>
      </w:r>
    </w:p>
    <w:p>
      <w:pPr>
        <w:pStyle w:val="ListParagraph"/>
        <w:ind w:left="340" w:hanging="283"/>
      </w:pPr>
      <w:r>
        <w:t xml:space="preserve">3. </w:t>
      </w:r>
      <w:r>
        <w:rPr>
          <w:b/>
        </w:rPr>
        <w:t>Тест.</w:t>
      </w:r>
      <w:r>
        <w:rPr/>
        <w:t xml:space="preserve"> 26 заданий, 60 минут. Ответы сохраняются по одному, попытка переживает перезагрузку страницы и завершается по истечении времени.</w:t>
      </w:r>
    </w:p>
    <w:p>
      <w:pPr>
        <w:pStyle w:val="ListParagraph"/>
        <w:ind w:left="340" w:hanging="283"/>
      </w:pPr>
      <w:r>
        <w:t xml:space="preserve">4. </w:t>
      </w:r>
      <w:r>
        <w:rPr>
          <w:b/>
        </w:rPr>
        <w:t>Результат.</w:t>
      </w:r>
      <w:r>
        <w:rPr/>
        <w:t xml:space="preserve"> Балл, подтверждённый уровень, разбор по полосам сложности и компетенциям, каждое условие грейда с отметкой о выполнении. Правильные ответы не показываются.</w:t>
      </w:r>
    </w:p>
    <w:p>
      <w:pPr>
        <w:pStyle w:val="Heading2"/>
      </w:pPr>
      <w:r>
        <w:rPr/>
        <w:t>2.2. Банк заданий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58"/>
            <w:shd w:val="clear" w:color="auto" w:fill="E8EDF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7606"/>
            <w:shd w:val="clear" w:color="auto" w:fill="E8EDF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Значение</w:t>
            </w:r>
          </w:p>
        </w:tc>
      </w:tr>
      <w:tr>
        <w:tc>
          <w:tcPr>
            <w:tcW w:type="dxa" w:w="2258"/>
          </w:tcPr>
          <w:p>
            <w:pPr>
              <w:spacing w:after="0" w:line="240" w:lineRule="auto"/>
            </w:pPr>
            <w:r>
              <w:rPr>
                <w:sz w:val="17"/>
              </w:rPr>
              <w:t>Заданий</w:t>
            </w:r>
          </w:p>
        </w:tc>
        <w:tc>
          <w:tcPr>
            <w:tcW w:type="dxa" w:w="7606"/>
          </w:tcPr>
          <w:p>
            <w:pPr>
              <w:spacing w:after="0" w:line="240" w:lineRule="auto"/>
            </w:pPr>
            <w:r>
              <w:rPr>
                <w:sz w:val="17"/>
              </w:rPr>
              <w:t>720: по 240 на направление, по 80 на уровень, по 240 каждого типа</w:t>
            </w:r>
          </w:p>
        </w:tc>
      </w:tr>
      <w:tr>
        <w:tc>
          <w:tcPr>
            <w:tcW w:type="dxa" w:w="2258"/>
          </w:tcPr>
          <w:p>
            <w:pPr>
              <w:spacing w:after="0" w:line="240" w:lineRule="auto"/>
            </w:pPr>
            <w:r>
              <w:rPr>
                <w:sz w:val="17"/>
              </w:rPr>
              <w:t>Типы</w:t>
            </w:r>
          </w:p>
        </w:tc>
        <w:tc>
          <w:tcPr>
            <w:tcW w:type="dxa" w:w="7606"/>
          </w:tcPr>
          <w:p>
            <w:pPr>
              <w:spacing w:after="0" w:line="240" w:lineRule="auto"/>
            </w:pPr>
            <w:r>
              <w:rPr>
                <w:sz w:val="17"/>
              </w:rPr>
              <w:t>теория, ситуационные кейсы, практические задания с кодом и данными</w:t>
            </w:r>
          </w:p>
        </w:tc>
      </w:tr>
      <w:tr>
        <w:tc>
          <w:tcPr>
            <w:tcW w:type="dxa" w:w="2258"/>
          </w:tcPr>
          <w:p>
            <w:pPr>
              <w:spacing w:after="0" w:line="240" w:lineRule="auto"/>
            </w:pPr>
            <w:r>
              <w:rPr>
                <w:sz w:val="17"/>
              </w:rPr>
              <w:t>Конкретных форм</w:t>
            </w:r>
          </w:p>
        </w:tc>
        <w:tc>
          <w:tcPr>
            <w:tcW w:type="dxa" w:w="7606"/>
          </w:tcPr>
          <w:p>
            <w:pPr>
              <w:spacing w:after="0" w:line="240" w:lineRule="auto"/>
            </w:pPr>
            <w:r>
              <w:rPr>
                <w:sz w:val="17"/>
              </w:rPr>
              <w:t>856: у 76 заданий 2-4 варианта с другими числами и кодом</w:t>
            </w:r>
          </w:p>
        </w:tc>
      </w:tr>
      <w:tr>
        <w:tc>
          <w:tcPr>
            <w:tcW w:type="dxa" w:w="2258"/>
          </w:tcPr>
          <w:p>
            <w:pPr>
              <w:spacing w:after="0" w:line="240" w:lineRule="auto"/>
            </w:pPr>
            <w:r>
              <w:rPr>
                <w:sz w:val="17"/>
              </w:rPr>
              <w:t>Компетенций</w:t>
            </w:r>
          </w:p>
        </w:tc>
        <w:tc>
          <w:tcPr>
            <w:tcW w:type="dxa" w:w="7606"/>
          </w:tcPr>
          <w:p>
            <w:pPr>
              <w:spacing w:after="0" w:line="240" w:lineRule="auto"/>
            </w:pPr>
            <w:r>
              <w:rPr>
                <w:sz w:val="17"/>
              </w:rPr>
              <w:t>16 / 16 / 15 на направление</w:t>
            </w:r>
          </w:p>
        </w:tc>
      </w:tr>
      <w:tr>
        <w:tc>
          <w:tcPr>
            <w:tcW w:type="dxa" w:w="2258"/>
          </w:tcPr>
          <w:p>
            <w:pPr>
              <w:spacing w:after="0" w:line="240" w:lineRule="auto"/>
            </w:pPr>
            <w:r>
              <w:rPr>
                <w:sz w:val="17"/>
              </w:rPr>
              <w:t>Проверка</w:t>
            </w:r>
          </w:p>
        </w:tc>
        <w:tc>
          <w:tcPr>
            <w:tcW w:type="dxa" w:w="7606"/>
          </w:tcPr>
          <w:p>
            <w:pPr>
              <w:spacing w:after="0" w:line="240" w:lineRule="auto"/>
            </w:pPr>
            <w:r>
              <w:rPr>
                <w:sz w:val="17"/>
              </w:rPr>
              <w:t>автоматическая для всех заданий: вариант, число или точная строка</w:t>
            </w:r>
          </w:p>
        </w:tc>
      </w:tr>
      <w:tr>
        <w:tc>
          <w:tcPr>
            <w:tcW w:type="dxa" w:w="2258"/>
          </w:tcPr>
          <w:p>
            <w:pPr>
              <w:spacing w:after="0" w:line="240" w:lineRule="auto"/>
            </w:pPr>
            <w:r>
              <w:rPr>
                <w:sz w:val="17"/>
              </w:rPr>
              <w:t>Сложность</w:t>
            </w:r>
          </w:p>
        </w:tc>
        <w:tc>
          <w:tcPr>
            <w:tcW w:type="dxa" w:w="7606"/>
          </w:tcPr>
          <w:p>
            <w:pPr>
              <w:spacing w:after="0" w:line="240" w:lineRule="auto"/>
            </w:pPr>
            <w:r>
              <w:rPr>
                <w:sz w:val="17"/>
              </w:rPr>
              <w:t>шкала 1-10, вес задания 1-4 балла</w:t>
            </w:r>
          </w:p>
        </w:tc>
      </w:tr>
    </w:tbl>
    <w:p>
      <w:pPr>
        <w:spacing w:after="40"/>
      </w:pPr>
    </w:p>
    <w:p>
      <w:r>
        <w:rPr/>
        <w:t>В тесте 8 теоретических, 10 ситуационных и 8 практических заданий: ситуационные лучше всего отделяют практический опыт от знания теории.</w:t>
      </w:r>
    </w:p>
    <w:p>
      <w:r>
        <w:rPr>
          <w:b/>
        </w:rPr>
        <w:t>Как подготовлен банк.</w:t>
      </w:r>
      <w:r>
        <w:rPr/>
        <w:t xml:space="preserve"> Задания подготовлены заранее с помощью языковых моделей: ChatGPT Go (OpenAI) составлял промпты, Claude Opus 5.5 (Anthropic) по ним писал задания – условия, код, варианты, эталонные ответы, объяснения, разметку компетенций и сложности. Персональные данные в модели не передавались. Каждое задание прошло 13 статических проверок (единственность правильного ответа, дубликаты, равномерность букв ответа, отсутствие подсказки длиной варианта и др.) и 6 проверок на синтетических кандидатах. Платформа в работе к языковым моделям не обращается: сборка, проверка и грейд детерминированы.</w:t>
      </w:r>
    </w:p>
    <w:p>
      <w:pPr>
        <w:pStyle w:val="Heading2"/>
      </w:pPr>
      <w:r>
        <w:rPr/>
        <w:t>2.3. Сборка персонального теста</w:t>
      </w:r>
    </w:p>
    <w:p>
      <w:pPr>
        <w:pStyle w:val="ListBullet"/>
      </w:pPr>
      <w:r>
        <w:rPr>
          <w:b/>
        </w:rPr>
        <w:t>Сид попытки</w:t>
      </w:r>
      <w:r>
        <w:rPr/>
        <w:t xml:space="preserve"> – криптографически случайное 64-битное число. Из него выводятся набор заданий, выбранные варианты, порядок заданий и порядок ответов. Сид не передаётся в браузер.</w:t>
      </w:r>
    </w:p>
    <w:p>
      <w:pPr>
        <w:pStyle w:val="ListBullet"/>
      </w:pPr>
      <w:r>
        <w:rPr>
          <w:b/>
        </w:rPr>
        <w:t>Единый план уровня</w:t>
      </w:r>
      <w:r>
        <w:rPr/>
        <w:t>: одинаковое число заданий каждого типа и полосы сложности, обязательные компетенции покрыты, не больше 4 заданий на компетенцию, не меньше 8 компетенций. Сумма баллов у всех вариантов уровня одинакова, поэтому результаты сопоставимы.</w:t>
      </w:r>
    </w:p>
    <w:p>
      <w:pPr>
        <w:pStyle w:val="ListBullet"/>
      </w:pPr>
      <w:r>
        <w:rPr>
          <w:b/>
        </w:rPr>
        <w:t>Разные задания у разных кандидатов</w:t>
      </w:r>
      <w:r>
        <w:rPr/>
        <w:t>: пересечение двух вариантов одного уровня – в среднем 32 %. Из пяти сидов выбирается тот, где меньше заданий, уже показанных кандидату, затем – реже показанных другим.</w:t>
      </w:r>
    </w:p>
    <w:p>
      <w:pPr>
        <w:pStyle w:val="ListBullet"/>
      </w:pPr>
      <w:r>
        <w:rPr>
          <w:b/>
        </w:rPr>
        <w:t>Браузер получает только</w:t>
      </w:r>
      <w:r>
        <w:rPr/>
        <w:t xml:space="preserve"> текст задания, код и варианты. Идентификатор, компетенция, сложность, вес и ключи остаются на сервере; ответ отправляется по номеру позиции.</w:t>
      </w:r>
    </w:p>
    <w:p>
      <w:r>
        <w:rPr/>
        <w:t>Тест един для категории, а не для вакансии, иначе кандидатов нельзя было бы сравнивать. Требования вакансии учитываются в подборе (раздел 3.3) и в регулярных заданиях работодателя.</w:t>
      </w:r>
    </w:p>
    <w:p>
      <w:pPr>
        <w:pStyle w:val="Heading2"/>
      </w:pPr>
      <w:r>
        <w:rPr/>
        <w:t>2.4. Грейд и правила пересдачи</w:t>
      </w:r>
    </w:p>
    <w:p>
      <w:r>
        <w:rPr/>
        <w:t>Грейд определяется правилами банка и зависит от заявленного уровня теста. Учитывается профиль результата, а не только общий балл: например, Senior требует не менее 70 % баллов на заданиях сложности 7-10, не менее 12 решённых таких заданий и не менее 50 % на заданиях 9-10. Результат должен превышать уровень случайного угадывания.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422"/>
            <w:shd w:val="clear" w:color="auto" w:fill="E8EDF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Ситуация</w:t>
            </w:r>
          </w:p>
        </w:tc>
        <w:tc>
          <w:tcPr>
            <w:tcW w:type="dxa" w:w="6442"/>
            <w:shd w:val="clear" w:color="auto" w:fill="E8EDF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Решение</w:t>
            </w:r>
          </w:p>
        </w:tc>
      </w:tr>
      <w:tr>
        <w:tc>
          <w:tcPr>
            <w:tcW w:type="dxa" w:w="3422"/>
          </w:tcPr>
          <w:p>
            <w:pPr>
              <w:spacing w:after="0" w:line="240" w:lineRule="auto"/>
            </w:pPr>
            <w:r>
              <w:rPr>
                <w:sz w:val="17"/>
              </w:rPr>
              <w:t>Заявленный уровень подтверждён</w:t>
            </w:r>
          </w:p>
        </w:tc>
        <w:tc>
          <w:tcPr>
            <w:tcW w:type="dxa" w:w="6442"/>
          </w:tcPr>
          <w:p>
            <w:pPr>
              <w:spacing w:after="0" w:line="240" w:lineRule="auto"/>
            </w:pPr>
            <w:r>
              <w:rPr>
                <w:sz w:val="17"/>
              </w:rPr>
              <w:t>присваивается категория</w:t>
            </w:r>
          </w:p>
        </w:tc>
      </w:tr>
      <w:tr>
        <w:tc>
          <w:tcPr>
            <w:tcW w:type="dxa" w:w="3422"/>
          </w:tcPr>
          <w:p>
            <w:pPr>
              <w:spacing w:after="0" w:line="240" w:lineRule="auto"/>
            </w:pPr>
            <w:r>
              <w:rPr>
                <w:sz w:val="17"/>
              </w:rPr>
              <w:t>Результат выше заявленного</w:t>
            </w:r>
          </w:p>
        </w:tc>
        <w:tc>
          <w:tcPr>
            <w:tcW w:type="dxa" w:w="6442"/>
          </w:tcPr>
          <w:p>
            <w:pPr>
              <w:spacing w:after="0" w:line="240" w:lineRule="auto"/>
            </w:pPr>
            <w:r>
              <w:rPr>
                <w:sz w:val="17"/>
              </w:rPr>
              <w:t>присваивается заявленный уровень и на 30 дней открывается тест следующего без ожидания; повышение – только отдельным тестом</w:t>
            </w:r>
          </w:p>
        </w:tc>
      </w:tr>
      <w:tr>
        <w:tc>
          <w:tcPr>
            <w:tcW w:type="dxa" w:w="3422"/>
          </w:tcPr>
          <w:p>
            <w:pPr>
              <w:spacing w:after="0" w:line="240" w:lineRule="auto"/>
            </w:pPr>
            <w:r>
              <w:rPr>
                <w:sz w:val="17"/>
              </w:rPr>
              <w:t>Результат ниже заявленного</w:t>
            </w:r>
          </w:p>
        </w:tc>
        <w:tc>
          <w:tcPr>
            <w:tcW w:type="dxa" w:w="6442"/>
          </w:tcPr>
          <w:p>
            <w:pPr>
              <w:spacing w:after="0" w:line="240" w:lineRule="auto"/>
            </w:pPr>
            <w:r>
              <w:rPr>
                <w:sz w:val="17"/>
              </w:rPr>
              <w:t>кандидат сам решает: принять рекомендованный уровень или пройти тест этого уровня; принудительного понижения нет</w:t>
            </w:r>
          </w:p>
        </w:tc>
      </w:tr>
      <w:tr>
        <w:tc>
          <w:tcPr>
            <w:tcW w:type="dxa" w:w="3422"/>
          </w:tcPr>
          <w:p>
            <w:pPr>
              <w:spacing w:after="0" w:line="240" w:lineRule="auto"/>
            </w:pPr>
            <w:r>
              <w:rPr>
                <w:sz w:val="17"/>
              </w:rPr>
              <w:t>Неудачная попытка повышения</w:t>
            </w:r>
          </w:p>
        </w:tc>
        <w:tc>
          <w:tcPr>
            <w:tcW w:type="dxa" w:w="6442"/>
          </w:tcPr>
          <w:p>
            <w:pPr>
              <w:spacing w:after="0" w:line="240" w:lineRule="auto"/>
            </w:pPr>
            <w:r>
              <w:rPr>
                <w:sz w:val="17"/>
              </w:rPr>
              <w:t>действующий грейд сохраняется</w:t>
            </w:r>
          </w:p>
        </w:tc>
      </w:tr>
      <w:tr>
        <w:tc>
          <w:tcPr>
            <w:tcW w:type="dxa" w:w="3422"/>
          </w:tcPr>
          <w:p>
            <w:pPr>
              <w:spacing w:after="0" w:line="240" w:lineRule="auto"/>
            </w:pPr>
            <w:r>
              <w:rPr>
                <w:sz w:val="17"/>
              </w:rPr>
              <w:t>Тест не пройден</w:t>
            </w:r>
          </w:p>
        </w:tc>
        <w:tc>
          <w:tcPr>
            <w:tcW w:type="dxa" w:w="6442"/>
          </w:tcPr>
          <w:p>
            <w:pPr>
              <w:spacing w:after="0" w:line="240" w:lineRule="auto"/>
            </w:pPr>
            <w:r>
              <w:rPr>
                <w:sz w:val="17"/>
              </w:rPr>
              <w:t>кандидат виден со статусом «грейд не подтверждён» ниже подтверждённых</w:t>
            </w:r>
          </w:p>
        </w:tc>
      </w:tr>
    </w:tbl>
    <w:p>
      <w:pPr>
        <w:spacing w:after="40"/>
      </w:pPr>
    </w:p>
    <w:p>
      <w:r>
        <w:rPr/>
        <w:t>Ограничения: смена грейда – не чаще раза в 90 дней; повтор того же уровня – через 30 дней; после неудачи сразу открыты только уровни ниже; рекомендация уровня ниже выдаётся, только если за 180 дней не было неудач; одна активная попытка, брошенная засчитывается. Кандидат может подтвердить категории в нескольких направлениях – грейд хранится отдельно для каждого.</w:t>
      </w:r>
    </w:p>
    <w:p>
      <w:pPr>
        <w:pStyle w:val="Heading2"/>
      </w:pPr>
      <w:r>
        <w:rPr/>
        <w:t>2.5. Устойчивость к распространению заданий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90"/>
            <w:shd w:val="clear" w:color="auto" w:fill="E8EDF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Мера</w:t>
            </w:r>
          </w:p>
        </w:tc>
        <w:tc>
          <w:tcPr>
            <w:tcW w:type="dxa" w:w="7174"/>
            <w:shd w:val="clear" w:color="auto" w:fill="E8EDF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Действие</w:t>
            </w:r>
          </w:p>
        </w:tc>
      </w:tr>
      <w:tr>
        <w:tc>
          <w:tcPr>
            <w:tcW w:type="dxa" w:w="2690"/>
          </w:tcPr>
          <w:p>
            <w:pPr>
              <w:spacing w:after="0" w:line="240" w:lineRule="auto"/>
            </w:pPr>
            <w:r>
              <w:rPr>
                <w:sz w:val="17"/>
              </w:rPr>
              <w:t>Объём банка</w:t>
            </w:r>
          </w:p>
        </w:tc>
        <w:tc>
          <w:tcPr>
            <w:tcW w:type="dxa" w:w="7174"/>
          </w:tcPr>
          <w:p>
            <w:pPr>
              <w:spacing w:after="0" w:line="240" w:lineRule="auto"/>
            </w:pPr>
            <w:r>
              <w:rPr>
                <w:sz w:val="17"/>
              </w:rPr>
              <w:t>одна попытка видит около 11 % заданий направления</w:t>
            </w:r>
          </w:p>
        </w:tc>
      </w:tr>
      <w:tr>
        <w:tc>
          <w:tcPr>
            <w:tcW w:type="dxa" w:w="2690"/>
          </w:tcPr>
          <w:p>
            <w:pPr>
              <w:spacing w:after="0" w:line="240" w:lineRule="auto"/>
            </w:pPr>
            <w:r>
              <w:rPr>
                <w:sz w:val="17"/>
              </w:rPr>
              <w:t>Персональный вариант</w:t>
            </w:r>
          </w:p>
        </w:tc>
        <w:tc>
          <w:tcPr>
            <w:tcW w:type="dxa" w:w="7174"/>
          </w:tcPr>
          <w:p>
            <w:pPr>
              <w:spacing w:after="0" w:line="240" w:lineRule="auto"/>
            </w:pPr>
            <w:r>
              <w:rPr>
                <w:sz w:val="17"/>
              </w:rPr>
              <w:t>свой набор заданий, форм и порядок ответов</w:t>
            </w:r>
          </w:p>
        </w:tc>
      </w:tr>
      <w:tr>
        <w:tc>
          <w:tcPr>
            <w:tcW w:type="dxa" w:w="2690"/>
          </w:tcPr>
          <w:p>
            <w:pPr>
              <w:spacing w:after="0" w:line="240" w:lineRule="auto"/>
            </w:pPr>
            <w:r>
              <w:rPr>
                <w:sz w:val="17"/>
              </w:rPr>
              <w:t>Перестановка ответов</w:t>
            </w:r>
          </w:p>
        </w:tc>
        <w:tc>
          <w:tcPr>
            <w:tcW w:type="dxa" w:w="7174"/>
          </w:tcPr>
          <w:p>
            <w:pPr>
              <w:spacing w:after="0" w:line="240" w:lineRule="auto"/>
            </w:pPr>
            <w:r>
              <w:rPr>
                <w:sz w:val="17"/>
              </w:rPr>
              <w:t>буква правильного ответа случайна, по банку распределение A/B/C/D ≈ 25 %</w:t>
            </w:r>
          </w:p>
        </w:tc>
      </w:tr>
      <w:tr>
        <w:tc>
          <w:tcPr>
            <w:tcW w:type="dxa" w:w="2690"/>
          </w:tcPr>
          <w:p>
            <w:pPr>
              <w:spacing w:after="0" w:line="240" w:lineRule="auto"/>
            </w:pPr>
            <w:r>
              <w:rPr>
                <w:sz w:val="17"/>
              </w:rPr>
              <w:t>Нет подсказок формой</w:t>
            </w:r>
          </w:p>
        </w:tc>
        <w:tc>
          <w:tcPr>
            <w:tcW w:type="dxa" w:w="7174"/>
          </w:tcPr>
          <w:p>
            <w:pPr>
              <w:spacing w:after="0" w:line="240" w:lineRule="auto"/>
            </w:pPr>
            <w:r>
              <w:rPr>
                <w:sz w:val="17"/>
              </w:rPr>
              <w:t>правильный вариант самый длинный в 26 % форм при случайных 25 %; стратегии «самый длинный» и «по словам вопроса» дают уровень угадывания</w:t>
            </w:r>
          </w:p>
        </w:tc>
      </w:tr>
      <w:tr>
        <w:tc>
          <w:tcPr>
            <w:tcW w:type="dxa" w:w="2690"/>
          </w:tcPr>
          <w:p>
            <w:pPr>
              <w:spacing w:after="0" w:line="240" w:lineRule="auto"/>
            </w:pPr>
            <w:r>
              <w:rPr>
                <w:sz w:val="17"/>
              </w:rPr>
              <w:t>Закрытые ответы</w:t>
            </w:r>
          </w:p>
        </w:tc>
        <w:tc>
          <w:tcPr>
            <w:tcW w:type="dxa" w:w="7174"/>
          </w:tcPr>
          <w:p>
            <w:pPr>
              <w:spacing w:after="0" w:line="240" w:lineRule="auto"/>
            </w:pPr>
            <w:r>
              <w:rPr>
                <w:sz w:val="17"/>
              </w:rPr>
              <w:t>ключи и объяснения не покидают сервер ни во время, ни после попытки</w:t>
            </w:r>
          </w:p>
        </w:tc>
      </w:tr>
      <w:tr>
        <w:tc>
          <w:tcPr>
            <w:tcW w:type="dxa" w:w="2690"/>
          </w:tcPr>
          <w:p>
            <w:pPr>
              <w:spacing w:after="0" w:line="240" w:lineRule="auto"/>
            </w:pPr>
            <w:r>
              <w:rPr>
                <w:sz w:val="17"/>
              </w:rPr>
              <w:t>Время и пересдачи</w:t>
            </w:r>
          </w:p>
        </w:tc>
        <w:tc>
          <w:tcPr>
            <w:tcW w:type="dxa" w:w="7174"/>
          </w:tcPr>
          <w:p>
            <w:pPr>
              <w:spacing w:after="0" w:line="240" w:lineRule="auto"/>
            </w:pPr>
            <w:r>
              <w:rPr>
                <w:sz w:val="17"/>
              </w:rPr>
              <w:t>60 минут на 26 заданий; правила раздела 2.4 не дают набрать категорию угадыванием</w:t>
            </w:r>
          </w:p>
        </w:tc>
      </w:tr>
      <w:tr>
        <w:tc>
          <w:tcPr>
            <w:tcW w:type="dxa" w:w="2690"/>
          </w:tcPr>
          <w:p>
            <w:pPr>
              <w:spacing w:after="0" w:line="240" w:lineRule="auto"/>
            </w:pPr>
            <w:r>
              <w:rPr>
                <w:sz w:val="17"/>
              </w:rPr>
              <w:t>Признаки для разбора</w:t>
            </w:r>
          </w:p>
        </w:tc>
        <w:tc>
          <w:tcPr>
            <w:tcW w:type="dxa" w:w="7174"/>
          </w:tcPr>
          <w:p>
            <w:pPr>
              <w:spacing w:after="0" w:line="240" w:lineRule="auto"/>
            </w:pPr>
            <w:r>
              <w:rPr>
                <w:sz w:val="17"/>
              </w:rPr>
              <w:t>быстрые верные ответы на сложные задания, уход со вкладки, копирование и вставка; видны работодателю, на грейд не влияют</w:t>
            </w:r>
          </w:p>
        </w:tc>
      </w:tr>
      <w:tr>
        <w:tc>
          <w:tcPr>
            <w:tcW w:type="dxa" w:w="2690"/>
          </w:tcPr>
          <w:p>
            <w:pPr>
              <w:spacing w:after="0" w:line="240" w:lineRule="auto"/>
            </w:pPr>
            <w:r>
              <w:rPr>
                <w:sz w:val="17"/>
              </w:rPr>
              <w:t>Антиплагиат</w:t>
            </w:r>
          </w:p>
        </w:tc>
        <w:tc>
          <w:tcPr>
            <w:tcW w:type="dxa" w:w="7174"/>
          </w:tcPr>
          <w:p>
            <w:pPr>
              <w:spacing w:after="0" w:line="240" w:lineRule="auto"/>
            </w:pPr>
            <w:r>
              <w:rPr>
                <w:sz w:val="17"/>
              </w:rPr>
              <w:t>совпадение неверных ответов с чужой попыткой сверх случайного (вероятность не выше 1 на 1000) и дословно похожие ответы «предложите подход»</w:t>
            </w:r>
          </w:p>
        </w:tc>
      </w:tr>
    </w:tbl>
    <w:p>
      <w:pPr>
        <w:spacing w:after="40"/>
      </w:pPr>
    </w:p>
    <w:p>
      <w:r>
        <w:rPr/>
        <w:t>Передать можно только знание, а не ответ: чтобы ответить верно, нужно понять, какая форма задания досталась и какой из показанных вариантов правилен. Это и измеряет тест. На 309 независимых синтетических попытках ложных признаков антиплагиата нет.</w:t>
      </w:r>
    </w:p>
    <w:p>
      <w:pPr>
        <w:pStyle w:val="Heading1"/>
      </w:pPr>
      <w:r>
        <w:rPr/>
        <w:t>3. Механика подбора и категоризация</w:t>
      </w:r>
    </w:p>
    <w:p>
      <w:pPr>
        <w:pStyle w:val="Heading2"/>
      </w:pPr>
      <w:r>
        <w:rPr/>
        <w:t>3.1. Категория</w:t>
      </w:r>
    </w:p>
    <w:p>
      <w:r>
        <w:rPr>
          <w:b/>
        </w:rPr>
        <w:t>Категория – IT-направление и подтверждённый тестом грейд.</w:t>
      </w:r>
      <w:r>
        <w:rPr/>
        <w:t xml:space="preserve"> Резюме, самооценка и заявленный стек на неё не влияют. Специализация внутри направления показывается в карточке и фильтрах, но категорию не дробит. Кандидаты без подтверждения видны со статусом («тест ещё не пройден», «не подтвердил уровень», «решает, принять ли рекомендацию») и всегда стоят ниже подтверждённых; работодатель может скрыть их фильтром.</w:t>
      </w:r>
    </w:p>
    <w:p>
      <w:r>
        <w:rPr/>
        <w:t>Порядок внутри категории задаёт сила профиля:</w:t>
      </w:r>
    </w:p>
    <w:p>
      <w:pPr>
        <w:shd w:val="clear" w:color="auto" w:fill="F5F6F8"/>
        <w:spacing w:after="120" w:line="240" w:lineRule="auto"/>
      </w:pPr>
      <w:r>
        <w:rPr>
          <w:rFonts w:ascii="Consolas" w:hAnsi="Consolas"/>
          <w:sz w:val="15"/>
        </w:rPr>
        <w:t>сила = 0,60 × результат теста + 0,25 × достижения ФСП + 0,15 × актуальность</w:t>
      </w:r>
    </w:p>
    <w:p>
      <w:r>
        <w:rPr/>
        <w:t>Результат теста сравним между кандидатами, проходившими разные уровни: берётся доля баллов на полосах сложности категории, сглаженная к среднему по категории, и место среди кандидатов категории.</w:t>
      </w:r>
    </w:p>
    <w:p>
      <w:pPr>
        <w:pStyle w:val="Heading2"/>
      </w:pPr>
      <w:r>
        <w:rPr/>
        <w:t>3.2. Профиль потребности</w:t>
      </w:r>
    </w:p>
    <w:p>
      <w:r>
        <w:rPr/>
        <w:t>Работодатель указывает название, направление, грейд, описание задач и команды, стек, формат работы, город и обязательную вилку зарплаты. По описанию строится профиль компетенций: вес компетенции зависит от её роли для уровня, указанного стека и упоминаний в тексте. Навыки распознаются по словарю из 67 навыков и 168 синонимов на русском и английском. Работодатель видит восемь главных компетенций и источник веса каждой.</w:t>
      </w:r>
    </w:p>
    <w:p>
      <w:pPr>
        <w:pStyle w:val="Heading2"/>
      </w:pPr>
      <w:r>
        <w:rPr/>
        <w:t>3.3. Подборка</w:t>
      </w:r>
    </w:p>
    <w:p>
      <w:r>
        <w:rPr/>
        <w:t>В подборку входят кандидаты с согласием на показ профиля, открытые к предложениям, из трёх категорий: основной, «с запасом квалификации» (уровнем выше) и «на вырост» (уровнем ниже).</w:t>
      </w:r>
    </w:p>
    <w:p>
      <w:pPr>
        <w:shd w:val="clear" w:color="auto" w:fill="F5F6F8"/>
        <w:spacing w:after="120" w:line="240" w:lineRule="auto"/>
      </w:pPr>
      <w:r>
        <w:rPr>
          <w:rFonts w:ascii="Consolas" w:hAnsi="Consolas"/>
          <w:sz w:val="15"/>
        </w:rPr>
        <w:t>балл = (0,35 × компетенции + 0,25 × тест + 0,15 × стек</w:t>
        <w:br/>
      </w:r>
      <w:r>
        <w:rPr>
          <w:rFonts w:ascii="Consolas" w:hAnsi="Consolas"/>
          <w:sz w:val="15"/>
        </w:rPr>
        <w:t xml:space="preserve">        + 0,15 × ФСП + 0,10 × актуальность) × (1 − штраф за условия)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973"/>
            <w:shd w:val="clear" w:color="auto" w:fill="E8EDF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Фактор</w:t>
            </w:r>
          </w:p>
        </w:tc>
        <w:tc>
          <w:tcPr>
            <w:tcW w:type="dxa" w:w="7892"/>
            <w:shd w:val="clear" w:color="auto" w:fill="E8EDF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Содержание</w:t>
            </w:r>
          </w:p>
        </w:tc>
      </w:tr>
      <w:tr>
        <w:tc>
          <w:tcPr>
            <w:tcW w:type="dxa" w:w="1973"/>
          </w:tcPr>
          <w:p>
            <w:pPr>
              <w:spacing w:after="0" w:line="240" w:lineRule="auto"/>
            </w:pPr>
            <w:r>
              <w:rPr>
                <w:sz w:val="17"/>
              </w:rPr>
              <w:t>Компетенции</w:t>
            </w:r>
          </w:p>
        </w:tc>
        <w:tc>
          <w:tcPr>
            <w:tcW w:type="dxa" w:w="7892"/>
          </w:tcPr>
          <w:p>
            <w:pPr>
              <w:spacing w:after="0" w:line="240" w:lineRule="auto"/>
            </w:pPr>
            <w:r>
              <w:rPr>
                <w:sz w:val="17"/>
              </w:rPr>
              <w:t>оценки компетенций по тесту, взвешенные по профилю потребности; оценки сглажены, поэтому одно задание не даёт 0 или 100 %</w:t>
            </w:r>
          </w:p>
        </w:tc>
      </w:tr>
      <w:tr>
        <w:tc>
          <w:tcPr>
            <w:tcW w:type="dxa" w:w="1973"/>
          </w:tcPr>
          <w:p>
            <w:pPr>
              <w:spacing w:after="0" w:line="240" w:lineRule="auto"/>
            </w:pPr>
            <w:r>
              <w:rPr>
                <w:sz w:val="17"/>
              </w:rPr>
              <w:t>Тест</w:t>
            </w:r>
          </w:p>
        </w:tc>
        <w:tc>
          <w:tcPr>
            <w:tcW w:type="dxa" w:w="7892"/>
          </w:tcPr>
          <w:p>
            <w:pPr>
              <w:spacing w:after="0" w:line="240" w:lineRule="auto"/>
            </w:pPr>
            <w:r>
              <w:rPr>
                <w:sz w:val="17"/>
              </w:rPr>
              <w:t>результат на заданиях уровня категории и место в категории</w:t>
            </w:r>
          </w:p>
        </w:tc>
      </w:tr>
      <w:tr>
        <w:tc>
          <w:tcPr>
            <w:tcW w:type="dxa" w:w="1973"/>
          </w:tcPr>
          <w:p>
            <w:pPr>
              <w:spacing w:after="0" w:line="240" w:lineRule="auto"/>
            </w:pPr>
            <w:r>
              <w:rPr>
                <w:sz w:val="17"/>
              </w:rPr>
              <w:t>Стек</w:t>
            </w:r>
          </w:p>
        </w:tc>
        <w:tc>
          <w:tcPr>
            <w:tcW w:type="dxa" w:w="7892"/>
          </w:tcPr>
          <w:p>
            <w:pPr>
              <w:spacing w:after="0" w:line="240" w:lineRule="auto"/>
            </w:pPr>
            <w:r>
              <w:rPr>
                <w:sz w:val="17"/>
              </w:rPr>
              <w:t>доля требуемых навыков; навык без подтверждения тестом связанной компетенции считается наполовину</w:t>
            </w:r>
          </w:p>
        </w:tc>
      </w:tr>
      <w:tr>
        <w:tc>
          <w:tcPr>
            <w:tcW w:type="dxa" w:w="1973"/>
          </w:tcPr>
          <w:p>
            <w:pPr>
              <w:spacing w:after="0" w:line="240" w:lineRule="auto"/>
            </w:pPr>
            <w:r>
              <w:rPr>
                <w:sz w:val="17"/>
              </w:rPr>
              <w:t>ФСП</w:t>
            </w:r>
          </w:p>
        </w:tc>
        <w:tc>
          <w:tcPr>
            <w:tcW w:type="dxa" w:w="7892"/>
          </w:tcPr>
          <w:p>
            <w:pPr>
              <w:spacing w:after="0" w:line="240" w:lineRule="auto"/>
            </w:pPr>
            <w:r>
              <w:rPr>
                <w:sz w:val="17"/>
              </w:rPr>
              <w:t>вес подтверждённых достижений (раздел 5.3)</w:t>
            </w:r>
          </w:p>
        </w:tc>
      </w:tr>
      <w:tr>
        <w:tc>
          <w:tcPr>
            <w:tcW w:type="dxa" w:w="1973"/>
          </w:tcPr>
          <w:p>
            <w:pPr>
              <w:spacing w:after="0" w:line="240" w:lineRule="auto"/>
            </w:pPr>
            <w:r>
              <w:rPr>
                <w:sz w:val="17"/>
              </w:rPr>
              <w:t>Актуальность</w:t>
            </w:r>
          </w:p>
        </w:tc>
        <w:tc>
          <w:tcPr>
            <w:tcW w:type="dxa" w:w="7892"/>
          </w:tcPr>
          <w:p>
            <w:pPr>
              <w:spacing w:after="0" w:line="240" w:lineRule="auto"/>
            </w:pPr>
            <w:r>
              <w:rPr>
                <w:sz w:val="17"/>
              </w:rPr>
              <w:t>давность активности и качество решения регулярных заданий</w:t>
            </w:r>
          </w:p>
        </w:tc>
      </w:tr>
    </w:tbl>
    <w:p>
      <w:pPr>
        <w:spacing w:after="40"/>
      </w:pPr>
    </w:p>
    <w:p>
      <w:r>
        <w:rPr/>
        <w:t>Штраф за условия: ожидания выше вилки – 0,15, другой формат работы – 0,10, другой город без готовности к переезду – 0,10, всего не более 0,4. Если ожидания не указаны или город скрыт, штрафа нет, но работодатель видит предупреждение. Скрытые кандидатом сведения не участвуют ни в ранжировании, ни в фильтрах, ни в объяснении.</w:t>
      </w:r>
    </w:p>
    <w:p>
      <w:r>
        <w:rPr/>
        <w:t>Подборка сохраняется с параметрами; уточнение фильтров создаёт новую подборку со ссылкой на прежнюю, поэтому прежний результат не теряется.</w:t>
      </w:r>
    </w:p>
    <w:p>
      <w:pPr>
        <w:pStyle w:val="Heading2"/>
      </w:pPr>
      <w:r>
        <w:rPr/>
        <w:t>3.4. Объяснение выдачи</w:t>
      </w:r>
    </w:p>
    <w:p>
      <w:r>
        <w:rPr/>
        <w:t>Для каждого кандидата: вклад каждого фактора с текстом, сильные стороны («SQL 96 %»), предупреждения («Ожидания выше вилки», «Нет в заявленном стеке: Kafka»), роль категории. Обоснование сохраняется в приглашении – кандидат видит, почему его пригласили.</w:t>
      </w:r>
    </w:p>
    <w:p>
      <w:pPr>
        <w:pStyle w:val="Heading2"/>
      </w:pPr>
      <w:r>
        <w:rPr/>
        <w:t>3.5. Поиск и выход на контакт</w:t>
      </w:r>
    </w:p>
    <w:p>
      <w:pPr>
        <w:pStyle w:val="ListBullet"/>
      </w:pPr>
      <w:r>
        <w:rPr>
          <w:b/>
        </w:rPr>
        <w:t>Поиск по банку кандидатов</w:t>
      </w:r>
      <w:r>
        <w:rPr/>
        <w:t xml:space="preserve"> – по направлению, специализации, грейду, навыкам, наличию достижений ФСП, городу, формату, ожиданиям и тексту; только по сведениям, которые кандидат разрешил показывать.</w:t>
      </w:r>
    </w:p>
    <w:p>
      <w:pPr>
        <w:pStyle w:val="ListBullet"/>
      </w:pPr>
      <w:r>
        <w:rPr>
          <w:b/>
        </w:rPr>
        <w:t>Приглашение</w:t>
      </w:r>
      <w:r>
        <w:rPr/>
        <w:t xml:space="preserve"> – описание, обязательная вилка (рублей в месяц до НДФЛ), компания и способ связи; вакансия не обязательна. Статусы: отправлено, просмотрено, принято, отклонено (с причиной), отозвано, истекло (14 дней). Обе стороны видят статус и хронологию.</w:t>
      </w:r>
    </w:p>
    <w:p>
      <w:pPr>
        <w:pStyle w:val="ListBullet"/>
      </w:pPr>
      <w:r>
        <w:rPr>
          <w:b/>
        </w:rPr>
        <w:t>Контакты</w:t>
      </w:r>
      <w:r>
        <w:rPr/>
        <w:t xml:space="preserve"> открываются только компании, чьё приглашение принято или на чью вакансию кандидат откликнулся; каждый просмотр пишется в журнал аудита. Кандидат может закрыть доступ.</w:t>
      </w:r>
    </w:p>
    <w:p>
      <w:pPr>
        <w:pStyle w:val="ListBullet"/>
      </w:pPr>
      <w:r>
        <w:rPr>
          <w:b/>
        </w:rPr>
        <w:t>Переписка</w:t>
      </w:r>
      <w:r>
        <w:rPr/>
        <w:t xml:space="preserve"> в приглашении и отклике – до раскрытия контактов.</w:t>
      </w:r>
    </w:p>
    <w:p>
      <w:pPr>
        <w:pStyle w:val="ListBullet"/>
      </w:pPr>
      <w:r>
        <w:rPr>
          <w:b/>
        </w:rPr>
        <w:t>Вакансии и отклики</w:t>
      </w:r>
      <w:r>
        <w:rPr/>
        <w:t xml:space="preserve"> – классический сценарий: публикация с вилкой, отклик, ответ работодателя.</w:t>
      </w:r>
    </w:p>
    <w:p>
      <w:pPr>
        <w:pStyle w:val="ListBullet"/>
      </w:pPr>
      <w:r>
        <w:rPr>
          <w:b/>
        </w:rPr>
        <w:t>Регулярные задания.</w:t>
      </w:r>
      <w:r>
        <w:rPr/>
        <w:t xml:space="preserve"> Работодатель создаёт короткие задачи; платформа раз в 14 дней предлагает их кандидатам подходящей категории, работодатель может предложить задание адресно. Выбор и число проверяются автоматически, «предложите подход» оценивает работодатель.</w:t>
      </w:r>
    </w:p>
    <w:p>
      <w:pPr>
        <w:pStyle w:val="Heading2"/>
      </w:pPr>
      <w:r>
        <w:rPr/>
        <w:t>3.6. Недобросовестные работодатели и ATS</w:t>
      </w:r>
    </w:p>
    <w:p>
      <w:r>
        <w:rPr/>
        <w:t>Реализовано: показатели компании и предупреждения о неправдоподобной вилке в приглашении; жалобы кандидатов; приостановка компании, если за 30 дней пожаловались не менее трёх разных кандидатов, взаимодействовавших с ней, и это не меньше 20 % ответов; решение модератора; добровольная проверка компании по ИНН с меткой «Компания проверена»; лимит приглашений в сутки. Для ATS – вебхуки о приглашениях, откликах и заданиях с подписью HMAC-SHA256 и повторами при недоступности, выгрузка кандидата в JSON Resume.</w:t>
      </w:r>
    </w:p>
    <w:p>
      <w:r>
        <w:rPr/>
        <w:t>Концепция развития: сверка ИНН с ЕГРЮЛ и доменом сайта, скоринг вакансий по рыночной вилке и тексту, двусторонняя синхронизация вакансий и статусов через API с OAuth-клиентом компании.</w:t>
      </w:r>
    </w:p>
    <w:p>
      <w:pPr>
        <w:pStyle w:val="Heading1"/>
      </w:pPr>
      <w:r>
        <w:rPr/>
        <w:t>4. Процедура валидации и результаты</w:t>
      </w:r>
    </w:p>
    <w:p>
      <w:pPr>
        <w:pStyle w:val="Heading2"/>
      </w:pPr>
      <w:r>
        <w:rPr/>
        <w:t>4.1. Методика</w:t>
      </w:r>
    </w:p>
    <w:p>
      <w:r>
        <w:rPr/>
        <w:t>Данные синтетические. Генератор задаёт каждому кандидату скрытый «истинный» профиль: уровень, силу по каждой компетенции, настоящий стек и ожидания. Платформа его не видит: кандидаты проходят тест по общим правилам, затем результаты сравниваются с истиной.</w:t>
      </w:r>
    </w:p>
    <w:p>
      <w:pPr>
        <w:pStyle w:val="ListBullet"/>
      </w:pPr>
      <w:r>
        <w:rPr/>
        <w:t>5 независимых наборов по 240 кандидатов;</w:t>
      </w:r>
    </w:p>
    <w:p>
      <w:pPr>
        <w:pStyle w:val="ListBullet"/>
      </w:pPr>
      <w:r>
        <w:rPr/>
        <w:t>15 потребностей: 6 демо-вакансий и 9 типовых профилей ролей;</w:t>
      </w:r>
    </w:p>
    <w:p>
      <w:pPr>
        <w:pStyle w:val="ListBullet"/>
      </w:pPr>
      <w:r>
        <w:rPr/>
        <w:t>сравнение: тест против самооценки, подбор против поиска по резюме и случайного порядка;</w:t>
      </w:r>
    </w:p>
    <w:p>
      <w:pPr>
        <w:pStyle w:val="ListBullet"/>
      </w:pPr>
      <w:r>
        <w:rPr/>
        <w:t>всё воспроизводится одной командой (</w:t>
      </w:r>
      <w:r>
        <w:rPr>
          <w:rFonts w:ascii="Consolas" w:hAnsi="Consolas"/>
          <w:color w:val="1F3C88"/>
        </w:rPr>
        <w:t>python -m scripts.evaluate</w:t>
      </w:r>
      <w:r>
        <w:rPr/>
        <w:t xml:space="preserve">), отчёт – </w:t>
      </w:r>
      <w:r>
        <w:rPr>
          <w:rFonts w:ascii="Consolas" w:hAnsi="Consolas"/>
          <w:color w:val="1F3C88"/>
        </w:rPr>
        <w:t>backend/reports/evaluation_report.md</w:t>
      </w:r>
      <w:r>
        <w:rPr/>
        <w:t>.</w:t>
      </w:r>
    </w:p>
    <w:p>
      <w:pPr>
        <w:pStyle w:val="Heading2"/>
      </w:pPr>
      <w:r>
        <w:rPr/>
        <w:t>4.2. Результаты</w:t>
      </w:r>
    </w:p>
    <w:p>
      <w:r>
        <w:rPr>
          <w:b/>
        </w:rPr>
        <w:t>Категоризация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6194"/>
            <w:shd w:val="clear" w:color="auto" w:fill="E8EDF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2065"/>
            <w:shd w:val="clear" w:color="auto" w:fill="E8EDF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Тест платформы</w:t>
            </w:r>
          </w:p>
        </w:tc>
        <w:tc>
          <w:tcPr>
            <w:tcW w:type="dxa" w:w="1606"/>
            <w:shd w:val="clear" w:color="auto" w:fill="E8EDF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Самооценка</w:t>
            </w:r>
          </w:p>
        </w:tc>
      </w:tr>
      <w:tr>
        <w:tc>
          <w:tcPr>
            <w:tcW w:type="dxa" w:w="6194"/>
          </w:tcPr>
          <w:p>
            <w:pPr>
              <w:spacing w:after="0" w:line="240" w:lineRule="auto"/>
            </w:pPr>
            <w:r>
              <w:rPr>
                <w:sz w:val="17"/>
              </w:rPr>
              <w:t>C-индекс (согласованность уровня с реальной силой)</w:t>
            </w:r>
          </w:p>
        </w:tc>
        <w:tc>
          <w:tcPr>
            <w:tcW w:type="dxa" w:w="2065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0,96</w:t>
            </w:r>
          </w:p>
        </w:tc>
        <w:tc>
          <w:tcPr>
            <w:tcW w:type="dxa" w:w="1606"/>
          </w:tcPr>
          <w:p>
            <w:pPr>
              <w:spacing w:after="0" w:line="240" w:lineRule="auto"/>
            </w:pPr>
            <w:r>
              <w:rPr>
                <w:sz w:val="17"/>
              </w:rPr>
              <w:t>0,80</w:t>
            </w:r>
          </w:p>
        </w:tc>
      </w:tr>
      <w:tr>
        <w:tc>
          <w:tcPr>
            <w:tcW w:type="dxa" w:w="6194"/>
          </w:tcPr>
          <w:p>
            <w:pPr>
              <w:spacing w:after="0" w:line="240" w:lineRule="auto"/>
            </w:pPr>
            <w:r>
              <w:rPr>
                <w:sz w:val="17"/>
              </w:rPr>
              <w:t>Явно завышенный уровень</w:t>
            </w:r>
          </w:p>
        </w:tc>
        <w:tc>
          <w:tcPr>
            <w:tcW w:type="dxa" w:w="2065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0 %</w:t>
            </w:r>
          </w:p>
        </w:tc>
        <w:tc>
          <w:tcPr>
            <w:tcW w:type="dxa" w:w="1606"/>
          </w:tcPr>
          <w:p>
            <w:pPr>
              <w:spacing w:after="0" w:line="240" w:lineRule="auto"/>
            </w:pPr>
            <w:r>
              <w:rPr>
                <w:sz w:val="17"/>
              </w:rPr>
              <w:t>10,3 %</w:t>
            </w:r>
          </w:p>
        </w:tc>
      </w:tr>
      <w:tr>
        <w:tc>
          <w:tcPr>
            <w:tcW w:type="dxa" w:w="6194"/>
          </w:tcPr>
          <w:p>
            <w:pPr>
              <w:spacing w:after="0" w:line="240" w:lineRule="auto"/>
            </w:pPr>
            <w:r>
              <w:rPr>
                <w:sz w:val="17"/>
              </w:rPr>
              <w:t>Явно заниженный уровень</w:t>
            </w:r>
          </w:p>
        </w:tc>
        <w:tc>
          <w:tcPr>
            <w:tcW w:type="dxa" w:w="2065"/>
          </w:tcPr>
          <w:p>
            <w:pPr>
              <w:spacing w:after="0" w:line="240" w:lineRule="auto"/>
            </w:pPr>
            <w:r>
              <w:rPr>
                <w:sz w:val="17"/>
              </w:rPr>
              <w:t>4,0 %</w:t>
            </w:r>
          </w:p>
        </w:tc>
        <w:tc>
          <w:tcPr>
            <w:tcW w:type="dxa" w:w="1606"/>
          </w:tcPr>
          <w:p>
            <w:pPr>
              <w:spacing w:after="0" w:line="240" w:lineRule="auto"/>
            </w:pPr>
            <w:r>
              <w:rPr>
                <w:sz w:val="17"/>
              </w:rPr>
              <w:t>3,3 %</w:t>
            </w:r>
          </w:p>
        </w:tc>
      </w:tr>
      <w:tr>
        <w:tc>
          <w:tcPr>
            <w:tcW w:type="dxa" w:w="6194"/>
          </w:tcPr>
          <w:p>
            <w:pPr>
              <w:spacing w:after="0" w:line="240" w:lineRule="auto"/>
            </w:pPr>
            <w:r>
              <w:rPr>
                <w:sz w:val="17"/>
              </w:rPr>
              <w:t>Кандидатов с подтверждённой категорией</w:t>
            </w:r>
          </w:p>
        </w:tc>
        <w:tc>
          <w:tcPr>
            <w:tcW w:type="dxa" w:w="2065"/>
          </w:tcPr>
          <w:p>
            <w:pPr>
              <w:spacing w:after="0" w:line="240" w:lineRule="auto"/>
            </w:pPr>
            <w:r>
              <w:rPr>
                <w:sz w:val="17"/>
              </w:rPr>
              <w:t>83,5 %</w:t>
            </w:r>
          </w:p>
        </w:tc>
        <w:tc>
          <w:tcPr>
            <w:tcW w:type="dxa" w:w="1606"/>
          </w:tcPr>
          <w:p>
            <w:pPr>
              <w:spacing w:after="0" w:line="240" w:lineRule="auto"/>
            </w:pPr>
            <w:r>
              <w:rPr>
                <w:sz w:val="17"/>
              </w:rPr>
              <w:t>100 %</w:t>
            </w:r>
          </w:p>
        </w:tc>
      </w:tr>
    </w:tbl>
    <w:p>
      <w:pPr>
        <w:spacing w:after="40"/>
      </w:pPr>
    </w:p>
    <w:p>
      <w:r>
        <w:rPr>
          <w:b/>
        </w:rPr>
        <w:t>Подбор</w:t>
      </w:r>
      <w:r>
        <w:rPr/>
        <w:t xml:space="preserve"> (тестовый набор пар «вакансия – кандидат»)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6749"/>
            <w:shd w:val="clear" w:color="auto" w:fill="E8EDF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Метод</w:t>
            </w:r>
          </w:p>
        </w:tc>
        <w:tc>
          <w:tcPr>
            <w:tcW w:type="dxa" w:w="1558"/>
            <w:shd w:val="clear" w:color="auto" w:fill="E8EDF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P@10</w:t>
            </w:r>
          </w:p>
        </w:tc>
        <w:tc>
          <w:tcPr>
            <w:tcW w:type="dxa" w:w="1558"/>
            <w:shd w:val="clear" w:color="auto" w:fill="E8EDF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nDCG@10</w:t>
            </w:r>
          </w:p>
        </w:tc>
      </w:tr>
      <w:tr>
        <w:tc>
          <w:tcPr>
            <w:tcW w:type="dxa" w:w="6749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Подбор платформы</w:t>
            </w:r>
          </w:p>
        </w:tc>
        <w:tc>
          <w:tcPr>
            <w:tcW w:type="dxa" w:w="155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0,78</w:t>
            </w:r>
          </w:p>
        </w:tc>
        <w:tc>
          <w:tcPr>
            <w:tcW w:type="dxa" w:w="155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0,94</w:t>
            </w:r>
          </w:p>
        </w:tc>
      </w:tr>
      <w:tr>
        <w:tc>
          <w:tcPr>
            <w:tcW w:type="dxa" w:w="6749"/>
          </w:tcPr>
          <w:p>
            <w:pPr>
              <w:spacing w:after="0" w:line="240" w:lineRule="auto"/>
            </w:pPr>
            <w:r>
              <w:rPr>
                <w:sz w:val="17"/>
              </w:rPr>
              <w:t>Платформа без учёта ФСП</w:t>
            </w:r>
          </w:p>
        </w:tc>
        <w:tc>
          <w:tcPr>
            <w:tcW w:type="dxa" w:w="1558"/>
          </w:tcPr>
          <w:p>
            <w:pPr>
              <w:spacing w:after="0" w:line="240" w:lineRule="auto"/>
            </w:pPr>
            <w:r>
              <w:rPr>
                <w:sz w:val="17"/>
              </w:rPr>
              <w:t>0,74</w:t>
            </w:r>
          </w:p>
        </w:tc>
        <w:tc>
          <w:tcPr>
            <w:tcW w:type="dxa" w:w="1558"/>
          </w:tcPr>
          <w:p>
            <w:pPr>
              <w:spacing w:after="0" w:line="240" w:lineRule="auto"/>
            </w:pPr>
            <w:r>
              <w:rPr>
                <w:sz w:val="17"/>
              </w:rPr>
              <w:t>0,93</w:t>
            </w:r>
          </w:p>
        </w:tc>
      </w:tr>
      <w:tr>
        <w:tc>
          <w:tcPr>
            <w:tcW w:type="dxa" w:w="6749"/>
          </w:tcPr>
          <w:p>
            <w:pPr>
              <w:spacing w:after="0" w:line="240" w:lineRule="auto"/>
            </w:pPr>
            <w:r>
              <w:rPr>
                <w:sz w:val="17"/>
              </w:rPr>
              <w:t>Поиск по резюме (заявленный стек, уровень, опыт)</w:t>
            </w:r>
          </w:p>
        </w:tc>
        <w:tc>
          <w:tcPr>
            <w:tcW w:type="dxa" w:w="1558"/>
          </w:tcPr>
          <w:p>
            <w:pPr>
              <w:spacing w:after="0" w:line="240" w:lineRule="auto"/>
            </w:pPr>
            <w:r>
              <w:rPr>
                <w:sz w:val="17"/>
              </w:rPr>
              <w:t>0,56</w:t>
            </w:r>
          </w:p>
        </w:tc>
        <w:tc>
          <w:tcPr>
            <w:tcW w:type="dxa" w:w="1558"/>
          </w:tcPr>
          <w:p>
            <w:pPr>
              <w:spacing w:after="0" w:line="240" w:lineRule="auto"/>
            </w:pPr>
            <w:r>
              <w:rPr>
                <w:sz w:val="17"/>
              </w:rPr>
              <w:t>0,83</w:t>
            </w:r>
          </w:p>
        </w:tc>
      </w:tr>
      <w:tr>
        <w:tc>
          <w:tcPr>
            <w:tcW w:type="dxa" w:w="6749"/>
          </w:tcPr>
          <w:p>
            <w:pPr>
              <w:spacing w:after="0" w:line="240" w:lineRule="auto"/>
            </w:pPr>
            <w:r>
              <w:rPr>
                <w:sz w:val="17"/>
              </w:rPr>
              <w:t>Просмотр категории без ранжирования</w:t>
            </w:r>
          </w:p>
        </w:tc>
        <w:tc>
          <w:tcPr>
            <w:tcW w:type="dxa" w:w="1558"/>
          </w:tcPr>
          <w:p>
            <w:pPr>
              <w:spacing w:after="0" w:line="240" w:lineRule="auto"/>
            </w:pPr>
            <w:r>
              <w:rPr>
                <w:sz w:val="17"/>
              </w:rPr>
              <w:t>0,47</w:t>
            </w:r>
          </w:p>
        </w:tc>
        <w:tc>
          <w:tcPr>
            <w:tcW w:type="dxa" w:w="1558"/>
          </w:tcPr>
          <w:p>
            <w:pPr>
              <w:spacing w:after="0" w:line="240" w:lineRule="auto"/>
            </w:pPr>
            <w:r>
              <w:rPr>
                <w:sz w:val="17"/>
              </w:rPr>
              <w:t>0,76</w:t>
            </w:r>
          </w:p>
        </w:tc>
      </w:tr>
      <w:tr>
        <w:tc>
          <w:tcPr>
            <w:tcW w:type="dxa" w:w="6749"/>
          </w:tcPr>
          <w:p>
            <w:pPr>
              <w:spacing w:after="0" w:line="240" w:lineRule="auto"/>
            </w:pPr>
            <w:r>
              <w:rPr>
                <w:sz w:val="17"/>
              </w:rPr>
              <w:t>Случайный порядок</w:t>
            </w:r>
          </w:p>
        </w:tc>
        <w:tc>
          <w:tcPr>
            <w:tcW w:type="dxa" w:w="1558"/>
          </w:tcPr>
          <w:p>
            <w:pPr>
              <w:spacing w:after="0" w:line="240" w:lineRule="auto"/>
            </w:pPr>
            <w:r>
              <w:rPr>
                <w:sz w:val="17"/>
              </w:rPr>
              <w:t>0,19</w:t>
            </w:r>
          </w:p>
        </w:tc>
        <w:tc>
          <w:tcPr>
            <w:tcW w:type="dxa" w:w="1558"/>
          </w:tcPr>
          <w:p>
            <w:pPr>
              <w:spacing w:after="0" w:line="240" w:lineRule="auto"/>
            </w:pPr>
            <w:r>
              <w:rPr>
                <w:sz w:val="17"/>
              </w:rPr>
              <w:t>0,60</w:t>
            </w:r>
          </w:p>
        </w:tc>
      </w:tr>
    </w:tbl>
    <w:p>
      <w:pPr>
        <w:spacing w:after="40"/>
      </w:pPr>
    </w:p>
    <w:p>
      <w:r>
        <w:rPr/>
        <w:t>В первой десятке подборки нет кандидатов явно ниже уровня (у поиска по резюме – 4,4 %). Накрутка анкеты почти не помогает: кандидаты, отметившие все навыки направления, попадают в первую десятку в доле, близкой к их доле в пуле (24 % при 20 %).</w:t>
      </w:r>
    </w:p>
    <w:p>
      <w:r>
        <w:rPr>
          <w:b/>
        </w:rPr>
        <w:t>Стабильность при повторном прохождении</w:t>
      </w:r>
      <w:r>
        <w:rPr/>
        <w:t xml:space="preserve"> (другой сид – другие задания): тот же уровень у типичных кандидатов в 75-98 % повторов, у пограничных профилей – 53-68 %. Колебания не дают скачков категории: грейд не понижается неудачной попыткой и меняется не чаще раза в 90 дней.</w:t>
      </w:r>
    </w:p>
    <w:p>
      <w:r>
        <w:rPr>
          <w:b/>
        </w:rPr>
        <w:t>Различающая сила заданий</w:t>
      </w:r>
      <w:r>
        <w:rPr/>
        <w:t xml:space="preserve"> (310 попыток демо-данных): медиана точечно-бисериальной корреляции 0,39, у 78 % заданий не ниже 0,2; заявленная сложность согласуется с долей верных ответов (−0,75). Слабые задания отмечаются для пересмотра: </w:t>
      </w:r>
      <w:r>
        <w:rPr>
          <w:rFonts w:ascii="Consolas" w:hAnsi="Consolas"/>
          <w:color w:val="1F3C88"/>
        </w:rPr>
        <w:t>python -m scripts.item_analysis</w:t>
      </w:r>
      <w:r>
        <w:rPr/>
        <w:t>.</w:t>
      </w:r>
    </w:p>
    <w:p>
      <w:r>
        <w:rPr>
          <w:b/>
        </w:rPr>
        <w:t>Угадывание с пересдачами в течение года</w:t>
      </w:r>
      <w:r>
        <w:rPr/>
        <w:t>: без ограничений категорию получают 100 % «угадывающих», с одним лишь правилом 30 дней – 38 %, с правилами платформы – 2,6 %.</w:t>
      </w:r>
    </w:p>
    <w:p>
      <w:r>
        <w:rPr>
          <w:b/>
        </w:rPr>
        <w:t>Производительность</w:t>
      </w:r>
      <w:r>
        <w:rPr/>
        <w:t>: 50 одновременных пользователей, 240 кандидатов в базе, 4 процесса API, 875 запросов без ошибок. Медиана / 95-й перцентиль: подборка 219 / 361 мс, поиск 176 / 354 мс, карточка 84 / 250 мс.</w:t>
      </w:r>
    </w:p>
    <w:p>
      <w:pPr>
        <w:pStyle w:val="Heading2"/>
      </w:pPr>
      <w:r>
        <w:rPr/>
        <w:t>4.3. Ограничения</w:t>
      </w:r>
    </w:p>
    <w:p>
      <w:r>
        <w:rPr/>
        <w:t>Результаты зависят от модели синтетического кандидата. Веса ФСП и стека стоит уточнить на пилоте, задания банка – пройти приёмку практикующими специалистами. Платформа уже собирает данные для валидации на реальных кандидатах: попытки, ответы, отзывы работодателей, причины отказов.</w:t>
      </w:r>
    </w:p>
    <w:p>
      <w:pPr>
        <w:pStyle w:val="Heading1"/>
      </w:pPr>
      <w:r>
        <w:rPr/>
        <w:t>5. Интеграция с реестром ФСП</w:t>
      </w:r>
    </w:p>
    <w:p>
      <w:pPr>
        <w:pStyle w:val="Heading2"/>
      </w:pPr>
      <w:r>
        <w:rPr/>
        <w:t>5.1. Схема</w:t>
      </w:r>
    </w:p>
    <w:p>
      <w:r>
        <w:rPr/>
        <w:t>API и структура данных ФСП не предоставлялись; известно, что ФСП ID будет работать на Keycloak. Поэтому интеграция построена на стандартных протоколах Keycloak: OpenID Connect для входа пользователя и сервисная авторизация для запросов к реестру.</w:t>
      </w:r>
    </w:p>
    <w:p>
      <w:pPr>
        <w:pStyle w:val="ListParagraph"/>
        <w:ind w:left="340" w:hanging="283"/>
      </w:pPr>
      <w:r>
        <w:t xml:space="preserve">1. </w:t>
      </w:r>
      <w:r>
        <w:rPr/>
        <w:t>Кандидат даёт согласие на получение сведений из реестра и нажимает «Привязать ФСП ID».</w:t>
      </w:r>
    </w:p>
    <w:p>
      <w:pPr>
        <w:pStyle w:val="ListParagraph"/>
        <w:ind w:left="340" w:hanging="283"/>
      </w:pPr>
      <w:r>
        <w:t xml:space="preserve">2. </w:t>
      </w:r>
      <w:r>
        <w:rPr/>
        <w:t xml:space="preserve">Браузер уходит на страницу входа ФСП ID; запрос защищён параметром </w:t>
      </w:r>
      <w:r>
        <w:rPr>
          <w:rFonts w:ascii="Consolas" w:hAnsi="Consolas"/>
          <w:color w:val="1F3C88"/>
        </w:rPr>
        <w:t>state</w:t>
      </w:r>
      <w:r>
        <w:rPr/>
        <w:t xml:space="preserve"> и PKCE.</w:t>
      </w:r>
    </w:p>
    <w:p>
      <w:pPr>
        <w:pStyle w:val="ListParagraph"/>
        <w:ind w:left="340" w:hanging="283"/>
      </w:pPr>
      <w:r>
        <w:t xml:space="preserve">3. </w:t>
      </w:r>
      <w:r>
        <w:rPr/>
        <w:t>ФСП ID возвращает кандидата; привязку завершает тот же пользователь, который её начал.</w:t>
      </w:r>
    </w:p>
    <w:p>
      <w:pPr>
        <w:pStyle w:val="ListParagraph"/>
        <w:ind w:left="340" w:hanging="283"/>
      </w:pPr>
      <w:r>
        <w:t xml:space="preserve">4. </w:t>
      </w:r>
      <w:r>
        <w:rPr/>
        <w:t>Платформа проверяет подпись токена, получает постоянный идентификатор участника и запрашивает в реестре его данные и достижения.</w:t>
      </w:r>
    </w:p>
    <w:p>
      <w:pPr>
        <w:pStyle w:val="ListParagraph"/>
        <w:ind w:left="340" w:hanging="283"/>
      </w:pPr>
      <w:r>
        <w:t xml:space="preserve">5. </w:t>
      </w:r>
      <w:r>
        <w:rPr/>
        <w:t>Снимок достижений хранится в профиле, обновляется по кнопке и удаляется при отвязке.</w:t>
      </w:r>
    </w:p>
    <w:p>
      <w:r>
        <w:rPr/>
        <w:t>Поддерживается и вход через ФСП ID: при первом входе профиль кандидата создаётся автоматически.</w:t>
      </w:r>
    </w:p>
    <w:p>
      <w:pPr>
        <w:pStyle w:val="Heading2"/>
      </w:pPr>
      <w:r>
        <w:rPr/>
        <w:t>5.2. Сведения и их учёт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5338"/>
            <w:shd w:val="clear" w:color="auto" w:fill="E8EDF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Сведения</w:t>
            </w:r>
          </w:p>
        </w:tc>
        <w:tc>
          <w:tcPr>
            <w:tcW w:type="dxa" w:w="4526"/>
            <w:shd w:val="clear" w:color="auto" w:fill="E8EDF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Назначение</w:t>
            </w:r>
          </w:p>
        </w:tc>
      </w:tr>
      <w:tr>
        <w:tc>
          <w:tcPr>
            <w:tcW w:type="dxa" w:w="5338"/>
          </w:tcPr>
          <w:p>
            <w:pPr>
              <w:spacing w:after="0" w:line="240" w:lineRule="auto"/>
            </w:pPr>
            <w:r>
              <w:rPr>
                <w:sz w:val="17"/>
              </w:rPr>
              <w:t>Мероприятие, дата, ссылка на подтверждение</w:t>
            </w:r>
          </w:p>
        </w:tc>
        <w:tc>
          <w:tcPr>
            <w:tcW w:type="dxa" w:w="4526"/>
          </w:tcPr>
          <w:p>
            <w:pPr>
              <w:spacing w:after="0" w:line="240" w:lineRule="auto"/>
            </w:pPr>
            <w:r>
              <w:rPr>
                <w:sz w:val="17"/>
              </w:rPr>
              <w:t>проверяемый факт участия</w:t>
            </w:r>
          </w:p>
        </w:tc>
      </w:tr>
      <w:tr>
        <w:tc>
          <w:tcPr>
            <w:tcW w:type="dxa" w:w="5338"/>
          </w:tcPr>
          <w:p>
            <w:pPr>
              <w:spacing w:after="0" w:line="240" w:lineRule="auto"/>
            </w:pPr>
            <w:r>
              <w:rPr>
                <w:sz w:val="17"/>
              </w:rPr>
              <w:t>Дисциплина и уровень мероприятия</w:t>
            </w:r>
          </w:p>
        </w:tc>
        <w:tc>
          <w:tcPr>
            <w:tcW w:type="dxa" w:w="4526"/>
          </w:tcPr>
          <w:p>
            <w:pPr>
              <w:spacing w:after="0" w:line="240" w:lineRule="auto"/>
            </w:pPr>
            <w:r>
              <w:rPr>
                <w:sz w:val="17"/>
              </w:rPr>
              <w:t>контекст, на вес не влияют</w:t>
            </w:r>
          </w:p>
        </w:tc>
      </w:tr>
      <w:tr>
        <w:tc>
          <w:tcPr>
            <w:tcW w:type="dxa" w:w="5338"/>
          </w:tcPr>
          <w:p>
            <w:pPr>
              <w:spacing w:after="0" w:line="240" w:lineRule="auto"/>
            </w:pPr>
            <w:r>
              <w:rPr>
                <w:sz w:val="17"/>
              </w:rPr>
              <w:t>Итог и место</w:t>
            </w:r>
          </w:p>
        </w:tc>
        <w:tc>
          <w:tcPr>
            <w:tcW w:type="dxa" w:w="4526"/>
          </w:tcPr>
          <w:p>
            <w:pPr>
              <w:spacing w:after="0" w:line="240" w:lineRule="auto"/>
            </w:pPr>
            <w:r>
              <w:rPr>
                <w:sz w:val="17"/>
              </w:rPr>
              <w:t>основа веса</w:t>
            </w:r>
          </w:p>
        </w:tc>
      </w:tr>
      <w:tr>
        <w:tc>
          <w:tcPr>
            <w:tcW w:type="dxa" w:w="5338"/>
          </w:tcPr>
          <w:p>
            <w:pPr>
              <w:spacing w:after="0" w:line="240" w:lineRule="auto"/>
            </w:pPr>
            <w:r>
              <w:rPr>
                <w:sz w:val="17"/>
              </w:rPr>
              <w:t>Роль и команда</w:t>
            </w:r>
          </w:p>
        </w:tc>
        <w:tc>
          <w:tcPr>
            <w:tcW w:type="dxa" w:w="4526"/>
          </w:tcPr>
          <w:p>
            <w:pPr>
              <w:spacing w:after="0" w:line="240" w:lineRule="auto"/>
            </w:pPr>
            <w:r>
              <w:rPr>
                <w:sz w:val="17"/>
              </w:rPr>
              <w:t>показываются, бонуса не дают</w:t>
            </w:r>
          </w:p>
        </w:tc>
      </w:tr>
      <w:tr>
        <w:tc>
          <w:tcPr>
            <w:tcW w:type="dxa" w:w="5338"/>
          </w:tcPr>
          <w:p>
            <w:pPr>
              <w:spacing w:after="0" w:line="240" w:lineRule="auto"/>
            </w:pPr>
            <w:r>
              <w:rPr>
                <w:sz w:val="17"/>
              </w:rPr>
              <w:t>Отметка о подтверждении реестром</w:t>
            </w:r>
          </w:p>
        </w:tc>
        <w:tc>
          <w:tcPr>
            <w:tcW w:type="dxa" w:w="4526"/>
          </w:tcPr>
          <w:p>
            <w:pPr>
              <w:spacing w:after="0" w:line="240" w:lineRule="auto"/>
            </w:pPr>
            <w:r>
              <w:rPr>
                <w:sz w:val="17"/>
              </w:rPr>
              <w:t>в расчёт идут только подтверждённые</w:t>
            </w:r>
          </w:p>
        </w:tc>
      </w:tr>
      <w:tr>
        <w:tc>
          <w:tcPr>
            <w:tcW w:type="dxa" w:w="5338"/>
          </w:tcPr>
          <w:p>
            <w:pPr>
              <w:spacing w:after="0" w:line="240" w:lineRule="auto"/>
            </w:pPr>
            <w:r>
              <w:rPr>
                <w:sz w:val="17"/>
              </w:rPr>
              <w:t>Спортивный разряд</w:t>
            </w:r>
          </w:p>
        </w:tc>
        <w:tc>
          <w:tcPr>
            <w:tcW w:type="dxa" w:w="4526"/>
          </w:tcPr>
          <w:p>
            <w:pPr>
              <w:spacing w:after="0" w:line="240" w:lineRule="auto"/>
            </w:pPr>
            <w:r>
              <w:rPr>
                <w:sz w:val="17"/>
              </w:rPr>
              <w:t>показывается в карточке</w:t>
            </w:r>
          </w:p>
        </w:tc>
      </w:tr>
    </w:tbl>
    <w:p>
      <w:pPr>
        <w:spacing w:after="40"/>
      </w:pPr>
    </w:p>
    <w:p>
      <w:pPr>
        <w:shd w:val="clear" w:color="auto" w:fill="F5F6F8"/>
        <w:spacing w:after="120" w:line="240" w:lineRule="auto"/>
      </w:pPr>
      <w:r>
        <w:rPr>
          <w:rFonts w:ascii="Consolas" w:hAnsi="Consolas"/>
          <w:sz w:val="15"/>
        </w:rPr>
        <w:t>вес достижения = вес итога × e^(−лет с даты / 3)</w:t>
        <w:br/>
      </w:r>
      <w:r>
        <w:rPr>
          <w:rFonts w:ascii="Consolas" w:hAnsi="Consolas"/>
          <w:sz w:val="15"/>
        </w:rPr>
        <w:t>ФСП = 1 − e^(−(сумма весов результатов + min(0,3; сумма весов участий)) / 1,2)</w:t>
      </w:r>
    </w:p>
    <w:p>
      <w:r>
        <w:rPr/>
        <w:t>Веса итога: победитель 1,0, призёр 0,75, финалист 0,4, участник 0,1. Дисциплины и соревнования равноценны, свежие результаты весят больше. Достижения ФСП влияют только на место внутри категории, не на грейд.</w:t>
      </w:r>
    </w:p>
    <w:p>
      <w:r>
        <w:rPr>
          <w:b/>
        </w:rPr>
        <w:t>Кандидат без истории ФСП</w:t>
      </w:r>
      <w:r>
        <w:rPr/>
        <w:t xml:space="preserve"> получает по этому фактору 0 без штрафа: остальные факторы считаются как обычно, а в карточке нейтральный текст – отсутствие истории ФСП не влияет на категорию и грейд.</w:t>
      </w:r>
    </w:p>
    <w:p>
      <w:pPr>
        <w:pStyle w:val="Heading2"/>
      </w:pPr>
      <w:r>
        <w:rPr/>
        <w:t>5.3. Подключение настоящего ФСП ID</w:t>
      </w:r>
    </w:p>
    <w:p>
      <w:r>
        <w:rPr/>
        <w:t>Имитация реализует те же адреса и протоколы, что Keycloak, поэтому переход – смена настроек (</w:t>
      </w:r>
      <w:r>
        <w:rPr>
          <w:rFonts w:ascii="Consolas" w:hAnsi="Consolas"/>
          <w:color w:val="1F3C88"/>
        </w:rPr>
        <w:t>APP_FSP_MODE=oidc</w:t>
      </w:r>
      <w:r>
        <w:rPr/>
        <w:t>, адрес realm, адрес реестра, клиент и секрет), без изменения кода. От ФСП нужны: клиент с адресом возврата и сервисной учётной записью; в токене – постоянный идентификатор участника и подтверждённая почта; метод реестра «достижения участника по идентификатору».</w:t>
      </w:r>
    </w:p>
    <w:p>
      <w:pPr>
        <w:pStyle w:val="Heading1"/>
      </w:pPr>
      <w:r>
        <w:rPr/>
        <w:t>6. Описание API</w:t>
      </w:r>
    </w:p>
    <w:p>
      <w:pPr>
        <w:pStyle w:val="ListBullet"/>
      </w:pPr>
      <w:r>
        <w:rPr/>
        <w:t xml:space="preserve">Все методы описаны спецификацией OpenAPI: на сервере – </w:t>
      </w:r>
      <w:r>
        <w:rPr>
          <w:rFonts w:ascii="Consolas" w:hAnsi="Consolas"/>
          <w:color w:val="1F3C88"/>
        </w:rPr>
        <w:t>/docs</w:t>
      </w:r>
      <w:r>
        <w:rPr/>
        <w:t xml:space="preserve"> (Swagger UI) и </w:t>
      </w:r>
      <w:r>
        <w:rPr>
          <w:rFonts w:ascii="Consolas" w:hAnsi="Consolas"/>
          <w:color w:val="1F3C88"/>
        </w:rPr>
        <w:t>/redoc</w:t>
      </w:r>
      <w:r>
        <w:rPr/>
        <w:t xml:space="preserve">, в репозитории – </w:t>
      </w:r>
      <w:r>
        <w:rPr>
          <w:rFonts w:ascii="Consolas" w:hAnsi="Consolas"/>
          <w:color w:val="1F3C88"/>
        </w:rPr>
        <w:t>docs/openapi.json</w:t>
      </w:r>
      <w:r>
        <w:rPr/>
        <w:t>. Для каждого метода указаны схемы запроса и ответа и коды ошибок: 111 адресов, 133 операции.</w:t>
      </w:r>
    </w:p>
    <w:p>
      <w:pPr>
        <w:pStyle w:val="ListBullet"/>
      </w:pPr>
      <w:r>
        <w:rPr/>
        <w:t xml:space="preserve">Базовый путь </w:t>
      </w:r>
      <w:r>
        <w:rPr>
          <w:rFonts w:ascii="Consolas" w:hAnsi="Consolas"/>
          <w:color w:val="1F3C88"/>
        </w:rPr>
        <w:t>/api/v1</w:t>
      </w:r>
      <w:r>
        <w:rPr/>
        <w:t xml:space="preserve">, JSON в UTF-8, время в UTC, суммы – рубли в месяц до вычета НДФЛ. Кандидат во внешних ответах обозначается псевдонимом вида </w:t>
      </w:r>
      <w:r>
        <w:rPr>
          <w:rFonts w:ascii="Consolas" w:hAnsi="Consolas"/>
          <w:color w:val="1F3C88"/>
        </w:rPr>
        <w:t>C-7KQ2M9X</w:t>
      </w:r>
      <w:r>
        <w:rPr/>
        <w:t>, внутренние идентификаторы наружу не передаются.</w:t>
      </w:r>
    </w:p>
    <w:p>
      <w:pPr>
        <w:pStyle w:val="ListBullet"/>
      </w:pPr>
      <w:r>
        <w:rPr/>
        <w:t xml:space="preserve">Токен передаётся в заголовке </w:t>
      </w:r>
      <w:r>
        <w:rPr>
          <w:rFonts w:ascii="Consolas" w:hAnsi="Consolas"/>
          <w:color w:val="1F3C88"/>
        </w:rPr>
        <w:t>Authorization: Bearer</w:t>
      </w:r>
      <w:r>
        <w:rPr/>
        <w:t>. Токены в формате Keycloak (</w:t>
      </w:r>
      <w:r>
        <w:rPr>
          <w:rFonts w:ascii="Consolas" w:hAnsi="Consolas"/>
          <w:color w:val="1F3C88"/>
        </w:rPr>
        <w:t>realm_access.roles</w:t>
      </w:r>
      <w:r>
        <w:rPr/>
        <w:t xml:space="preserve">, подпись RS256, ключ публикуется как JWKS): доступ – 30 минут, обновление – 14 дней с ротацией; повторное предъявление использованного токена завершает все сессии. Режим </w:t>
      </w:r>
      <w:r>
        <w:rPr>
          <w:rFonts w:ascii="Consolas" w:hAnsi="Consolas"/>
          <w:color w:val="1F3C88"/>
        </w:rPr>
        <w:t>APP_AUTH_MODE=keycloak</w:t>
      </w:r>
      <w:r>
        <w:rPr/>
        <w:t xml:space="preserve"> принимает токены внешнего Keycloak.</w:t>
      </w:r>
    </w:p>
    <w:p>
      <w:pPr>
        <w:pStyle w:val="ListBullet"/>
      </w:pPr>
      <w:r>
        <w:rPr/>
        <w:t xml:space="preserve">Разделы </w:t>
      </w:r>
      <w:r>
        <w:rPr>
          <w:rFonts w:ascii="Consolas" w:hAnsi="Consolas"/>
          <w:color w:val="1F3C88"/>
        </w:rPr>
        <w:t>/candidate/*</w:t>
      </w:r>
      <w:r>
        <w:rPr/>
        <w:t xml:space="preserve">, </w:t>
      </w:r>
      <w:r>
        <w:rPr>
          <w:rFonts w:ascii="Consolas" w:hAnsi="Consolas"/>
          <w:color w:val="1F3C88"/>
        </w:rPr>
        <w:t>/employer/*</w:t>
      </w:r>
      <w:r>
        <w:rPr/>
        <w:t xml:space="preserve">, </w:t>
      </w:r>
      <w:r>
        <w:rPr>
          <w:rFonts w:ascii="Consolas" w:hAnsi="Consolas"/>
          <w:color w:val="1F3C88"/>
        </w:rPr>
        <w:t>/admin/*</w:t>
      </w:r>
      <w:r>
        <w:rPr/>
        <w:t xml:space="preserve"> доступны только своей роли; принадлежность записи проверяется в каждом запросе.</w:t>
      </w:r>
    </w:p>
    <w:p>
      <w:r>
        <w:rPr/>
        <w:t>Ошибки – в едином формате:</w:t>
      </w:r>
    </w:p>
    <w:p>
      <w:pPr>
        <w:shd w:val="clear" w:color="auto" w:fill="F5F6F8"/>
        <w:spacing w:after="120" w:line="240" w:lineRule="auto"/>
      </w:pPr>
      <w:r>
        <w:rPr>
          <w:rFonts w:ascii="Consolas" w:hAnsi="Consolas"/>
          <w:sz w:val="15"/>
        </w:rPr>
        <w:t>{"error": {"code": "grade_change_cooldown", "message": "Грейд можно менять не чаще раза в 90 дней",</w:t>
        <w:br/>
      </w:r>
      <w:r>
        <w:rPr>
          <w:rFonts w:ascii="Consolas" w:hAnsi="Consolas"/>
          <w:sz w:val="15"/>
        </w:rPr>
        <w:t xml:space="preserve">           "details": {"available_at": "2026-12-01T10:00:00+00:00"}}}</w:t>
      </w:r>
    </w:p>
    <w:p>
      <w:r>
        <w:rPr/>
        <w:t>Коды HTTP: 400 – нарушено правило, 401 – нет токена, 403 – нет прав, 404 – не найдено или чужое, 409 – конфликт состояния, 413 – большой запрос, 422 – ошибка полей, 429 – превышена частота.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3"/>
            <w:shd w:val="clear" w:color="auto" w:fill="E8EDF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Группа</w:t>
            </w:r>
          </w:p>
        </w:tc>
        <w:tc>
          <w:tcPr>
            <w:tcW w:type="dxa" w:w="3971"/>
            <w:shd w:val="clear" w:color="auto" w:fill="E8EDF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Адреса</w:t>
            </w:r>
          </w:p>
        </w:tc>
        <w:tc>
          <w:tcPr>
            <w:tcW w:type="dxa" w:w="3971"/>
            <w:shd w:val="clear" w:color="auto" w:fill="E8EDF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Назначение</w:t>
            </w:r>
          </w:p>
        </w:tc>
      </w:tr>
      <w:tr>
        <w:tc>
          <w:tcPr>
            <w:tcW w:type="dxa" w:w="1923"/>
          </w:tcPr>
          <w:p>
            <w:pPr>
              <w:spacing w:after="0" w:line="240" w:lineRule="auto"/>
            </w:pPr>
            <w:r>
              <w:rPr>
                <w:sz w:val="17"/>
              </w:rPr>
              <w:t>Аутентификация</w:t>
            </w:r>
          </w:p>
        </w:tc>
        <w:tc>
          <w:tcPr>
            <w:tcW w:type="dxa" w:w="3971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C88"/>
                <w:sz w:val="17"/>
              </w:rPr>
              <w:t>/auth/*</w:t>
            </w:r>
          </w:p>
        </w:tc>
        <w:tc>
          <w:tcPr>
            <w:tcW w:type="dxa" w:w="3971"/>
          </w:tcPr>
          <w:p>
            <w:pPr>
              <w:spacing w:after="0" w:line="240" w:lineRule="auto"/>
            </w:pPr>
            <w:r>
              <w:rPr>
                <w:sz w:val="17"/>
              </w:rPr>
              <w:t>регистрация, подтверждение почты, вход, токены, восстановление пароля, вход через ФСП ID</w:t>
            </w:r>
          </w:p>
        </w:tc>
      </w:tr>
      <w:tr>
        <w:tc>
          <w:tcPr>
            <w:tcW w:type="dxa" w:w="1923"/>
          </w:tcPr>
          <w:p>
            <w:pPr>
              <w:spacing w:after="0" w:line="240" w:lineRule="auto"/>
            </w:pPr>
            <w:r>
              <w:rPr>
                <w:sz w:val="17"/>
              </w:rPr>
              <w:t>Профиль кандидата</w:t>
            </w:r>
          </w:p>
        </w:tc>
        <w:tc>
          <w:tcPr>
            <w:tcW w:type="dxa" w:w="3971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C88"/>
                <w:sz w:val="17"/>
              </w:rPr>
              <w:t>/candidate/profile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C88"/>
                <w:sz w:val="17"/>
              </w:rPr>
              <w:t>/privacy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C88"/>
                <w:sz w:val="17"/>
              </w:rPr>
              <w:t>/consents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C88"/>
                <w:sz w:val="17"/>
              </w:rPr>
              <w:t>/account</w:t>
            </w:r>
          </w:p>
        </w:tc>
        <w:tc>
          <w:tcPr>
            <w:tcW w:type="dxa" w:w="3971"/>
          </w:tcPr>
          <w:p>
            <w:pPr>
              <w:spacing w:after="0" w:line="240" w:lineRule="auto"/>
            </w:pPr>
            <w:r>
              <w:rPr>
                <w:sz w:val="17"/>
              </w:rPr>
              <w:t>анкета, PDF-резюме и PDF-профиль, приватность, согласия, выгрузка и удаление</w:t>
            </w:r>
          </w:p>
        </w:tc>
      </w:tr>
      <w:tr>
        <w:tc>
          <w:tcPr>
            <w:tcW w:type="dxa" w:w="1923"/>
          </w:tcPr>
          <w:p>
            <w:pPr>
              <w:spacing w:after="0" w:line="240" w:lineRule="auto"/>
            </w:pPr>
            <w:r>
              <w:rPr>
                <w:sz w:val="17"/>
              </w:rPr>
              <w:t>Тестирование</w:t>
            </w:r>
          </w:p>
        </w:tc>
        <w:tc>
          <w:tcPr>
            <w:tcW w:type="dxa" w:w="3971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C88"/>
                <w:sz w:val="17"/>
              </w:rPr>
              <w:t>/candidate/survey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C88"/>
                <w:sz w:val="17"/>
              </w:rPr>
              <w:t>/candidate/assessment/*</w:t>
            </w:r>
          </w:p>
        </w:tc>
        <w:tc>
          <w:tcPr>
            <w:tcW w:type="dxa" w:w="3971"/>
          </w:tcPr>
          <w:p>
            <w:pPr>
              <w:spacing w:after="0" w:line="240" w:lineRule="auto"/>
            </w:pPr>
            <w:r>
              <w:rPr>
                <w:sz w:val="17"/>
              </w:rPr>
              <w:t>опрос, доступность уровней, попытки, ответы, результат</w:t>
            </w:r>
          </w:p>
        </w:tc>
      </w:tr>
      <w:tr>
        <w:tc>
          <w:tcPr>
            <w:tcW w:type="dxa" w:w="1923"/>
          </w:tcPr>
          <w:p>
            <w:pPr>
              <w:spacing w:after="0" w:line="240" w:lineRule="auto"/>
            </w:pPr>
            <w:r>
              <w:rPr>
                <w:sz w:val="17"/>
              </w:rPr>
              <w:t>Взаимодействие кандидата</w:t>
            </w:r>
          </w:p>
        </w:tc>
        <w:tc>
          <w:tcPr>
            <w:tcW w:type="dxa" w:w="3971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C88"/>
                <w:sz w:val="17"/>
              </w:rPr>
              <w:t>/candidate/invitations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C88"/>
                <w:sz w:val="17"/>
              </w:rPr>
              <w:t>/applications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C88"/>
                <w:sz w:val="17"/>
              </w:rPr>
              <w:t>/vacancies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C88"/>
                <w:sz w:val="17"/>
              </w:rPr>
              <w:t>/tasks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C88"/>
                <w:sz w:val="17"/>
              </w:rPr>
              <w:t>/complaints</w:t>
            </w:r>
          </w:p>
        </w:tc>
        <w:tc>
          <w:tcPr>
            <w:tcW w:type="dxa" w:w="3971"/>
          </w:tcPr>
          <w:p>
            <w:pPr>
              <w:spacing w:after="0" w:line="240" w:lineRule="auto"/>
            </w:pPr>
            <w:r>
              <w:rPr>
                <w:sz w:val="17"/>
              </w:rPr>
              <w:t>приглашения, переписка, отклики, задания, жалобы</w:t>
            </w:r>
          </w:p>
        </w:tc>
      </w:tr>
      <w:tr>
        <w:tc>
          <w:tcPr>
            <w:tcW w:type="dxa" w:w="1923"/>
          </w:tcPr>
          <w:p>
            <w:pPr>
              <w:spacing w:after="0" w:line="240" w:lineRule="auto"/>
            </w:pPr>
            <w:r>
              <w:rPr>
                <w:sz w:val="17"/>
              </w:rPr>
              <w:t>ФСП ID</w:t>
            </w:r>
          </w:p>
        </w:tc>
        <w:tc>
          <w:tcPr>
            <w:tcW w:type="dxa" w:w="3971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C88"/>
                <w:sz w:val="17"/>
              </w:rPr>
              <w:t>/candidate/fsp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C88"/>
                <w:sz w:val="17"/>
              </w:rPr>
              <w:t>/fsp/*</w:t>
            </w:r>
          </w:p>
        </w:tc>
        <w:tc>
          <w:tcPr>
            <w:tcW w:type="dxa" w:w="3971"/>
          </w:tcPr>
          <w:p>
            <w:pPr>
              <w:spacing w:after="0" w:line="240" w:lineRule="auto"/>
            </w:pPr>
            <w:r>
              <w:rPr>
                <w:sz w:val="17"/>
              </w:rPr>
              <w:t>привязка, обновление, отвязка</w:t>
            </w:r>
          </w:p>
        </w:tc>
      </w:tr>
      <w:tr>
        <w:tc>
          <w:tcPr>
            <w:tcW w:type="dxa" w:w="1923"/>
          </w:tcPr>
          <w:p>
            <w:pPr>
              <w:spacing w:after="0" w:line="240" w:lineRule="auto"/>
            </w:pPr>
            <w:r>
              <w:rPr>
                <w:sz w:val="17"/>
              </w:rPr>
              <w:t>Подбор</w:t>
            </w:r>
          </w:p>
        </w:tc>
        <w:tc>
          <w:tcPr>
            <w:tcW w:type="dxa" w:w="3971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C88"/>
                <w:sz w:val="17"/>
              </w:rPr>
              <w:t>/employer/company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C88"/>
                <w:sz w:val="17"/>
              </w:rPr>
              <w:t>/needs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C88"/>
                <w:sz w:val="17"/>
              </w:rPr>
              <w:t>/selections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C88"/>
                <w:sz w:val="17"/>
              </w:rPr>
              <w:t>/categories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C88"/>
                <w:sz w:val="17"/>
              </w:rPr>
              <w:t>/candidates/*</w:t>
            </w:r>
          </w:p>
        </w:tc>
        <w:tc>
          <w:tcPr>
            <w:tcW w:type="dxa" w:w="3971"/>
          </w:tcPr>
          <w:p>
            <w:pPr>
              <w:spacing w:after="0" w:line="240" w:lineRule="auto"/>
            </w:pPr>
            <w:r>
              <w:rPr>
                <w:sz w:val="17"/>
              </w:rPr>
              <w:t>компания, потребности и вакансии, подборки, категории, поиск, карточки</w:t>
            </w:r>
          </w:p>
        </w:tc>
      </w:tr>
      <w:tr>
        <w:tc>
          <w:tcPr>
            <w:tcW w:type="dxa" w:w="1923"/>
          </w:tcPr>
          <w:p>
            <w:pPr>
              <w:spacing w:after="0" w:line="240" w:lineRule="auto"/>
            </w:pPr>
            <w:r>
              <w:rPr>
                <w:sz w:val="17"/>
              </w:rPr>
              <w:t>Взаимодействие работодателя</w:t>
            </w:r>
          </w:p>
        </w:tc>
        <w:tc>
          <w:tcPr>
            <w:tcW w:type="dxa" w:w="3971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C88"/>
                <w:sz w:val="17"/>
              </w:rPr>
              <w:t>/employer/invitations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C88"/>
                <w:sz w:val="17"/>
              </w:rPr>
              <w:t>/applications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C88"/>
                <w:sz w:val="17"/>
              </w:rPr>
              <w:t>/tasks</w:t>
            </w:r>
          </w:p>
        </w:tc>
        <w:tc>
          <w:tcPr>
            <w:tcW w:type="dxa" w:w="3971"/>
          </w:tcPr>
          <w:p>
            <w:pPr>
              <w:spacing w:after="0" w:line="240" w:lineRule="auto"/>
            </w:pPr>
            <w:r>
              <w:rPr>
                <w:sz w:val="17"/>
              </w:rPr>
              <w:t>приглашения, отклики, задания</w:t>
            </w:r>
          </w:p>
        </w:tc>
      </w:tr>
      <w:tr>
        <w:tc>
          <w:tcPr>
            <w:tcW w:type="dxa" w:w="1923"/>
          </w:tcPr>
          <w:p>
            <w:pPr>
              <w:spacing w:after="0" w:line="240" w:lineRule="auto"/>
            </w:pPr>
            <w:r>
              <w:rPr>
                <w:sz w:val="17"/>
              </w:rPr>
              <w:t>Интеграции</w:t>
            </w:r>
          </w:p>
        </w:tc>
        <w:tc>
          <w:tcPr>
            <w:tcW w:type="dxa" w:w="3971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C88"/>
                <w:sz w:val="17"/>
              </w:rPr>
              <w:t>/employer/webhooks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C88"/>
                <w:sz w:val="17"/>
              </w:rPr>
              <w:t>/employer/candidates/{id}/export</w:t>
            </w:r>
          </w:p>
        </w:tc>
        <w:tc>
          <w:tcPr>
            <w:tcW w:type="dxa" w:w="3971"/>
          </w:tcPr>
          <w:p>
            <w:pPr>
              <w:spacing w:after="0" w:line="240" w:lineRule="auto"/>
            </w:pPr>
            <w:r>
              <w:rPr>
                <w:sz w:val="17"/>
              </w:rPr>
              <w:t>подписка ATS, журнал доставок, JSON Resume</w:t>
            </w:r>
          </w:p>
        </w:tc>
      </w:tr>
      <w:tr>
        <w:tc>
          <w:tcPr>
            <w:tcW w:type="dxa" w:w="1923"/>
          </w:tcPr>
          <w:p>
            <w:pPr>
              <w:spacing w:after="0" w:line="240" w:lineRule="auto"/>
            </w:pPr>
            <w:r>
              <w:rPr>
                <w:sz w:val="17"/>
              </w:rPr>
              <w:t>Модерация</w:t>
            </w:r>
          </w:p>
        </w:tc>
        <w:tc>
          <w:tcPr>
            <w:tcW w:type="dxa" w:w="3971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C88"/>
                <w:sz w:val="17"/>
              </w:rPr>
              <w:t>/admin/*</w:t>
            </w:r>
          </w:p>
        </w:tc>
        <w:tc>
          <w:tcPr>
            <w:tcW w:type="dxa" w:w="3971"/>
          </w:tcPr>
          <w:p>
            <w:pPr>
              <w:spacing w:after="0" w:line="240" w:lineRule="auto"/>
            </w:pPr>
            <w:r>
              <w:rPr>
                <w:sz w:val="17"/>
              </w:rPr>
              <w:t>компании на проверке, метка «Компания проверена»</w:t>
            </w:r>
          </w:p>
        </w:tc>
      </w:tr>
      <w:tr>
        <w:tc>
          <w:tcPr>
            <w:tcW w:type="dxa" w:w="1923"/>
          </w:tcPr>
          <w:p>
            <w:pPr>
              <w:spacing w:after="0" w:line="240" w:lineRule="auto"/>
            </w:pPr>
            <w:r>
              <w:rPr>
                <w:sz w:val="17"/>
              </w:rPr>
              <w:t>Публичные</w:t>
            </w:r>
          </w:p>
        </w:tc>
        <w:tc>
          <w:tcPr>
            <w:tcW w:type="dxa" w:w="3971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3C88"/>
                <w:sz w:val="17"/>
              </w:rPr>
              <w:t>/reference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C88"/>
                <w:sz w:val="17"/>
              </w:rPr>
              <w:t>/vacancies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C88"/>
                <w:sz w:val="17"/>
              </w:rPr>
              <w:t>/assessment/*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C88"/>
                <w:sz w:val="17"/>
              </w:rPr>
              <w:t>/guardian-consent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3C88"/>
                <w:sz w:val="17"/>
              </w:rPr>
              <w:t>/health</w:t>
            </w:r>
          </w:p>
        </w:tc>
        <w:tc>
          <w:tcPr>
            <w:tcW w:type="dxa" w:w="3971"/>
          </w:tcPr>
          <w:p>
            <w:pPr>
              <w:spacing w:after="0" w:line="240" w:lineRule="auto"/>
            </w:pPr>
            <w:r>
              <w:rPr>
                <w:sz w:val="17"/>
              </w:rPr>
              <w:t>справочники, вакансии, механика теста, согласие представителя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>7. Библиотеки и компоненты</w:t>
      </w:r>
    </w:p>
    <w:p>
      <w:r>
        <w:rPr/>
        <w:t>Код открыт и не скомпилирован, распространяется по лицензии MIT (команда Ctrl+Alt+Win); все компоненты – под свободными лицензиями.</w:t>
      </w:r>
    </w:p>
    <w:p>
      <w:r>
        <w:rPr>
          <w:b/>
        </w:rPr>
        <w:t>API</w:t>
      </w:r>
      <w:r>
        <w:rPr/>
        <w:t xml:space="preserve"> (Python 3.10+): FastAPI 0.142.2 (MIT), Starlette 1.7.0 (BSD-3-Clause), Uvicorn 0.54.0 (BSD-3-Clause), Pydantic 2.13.5 и pydantic-settings 2.15.0 (MIT), SQLAlchemy 2.0.54 (MIT), psycopg 3.3.6 (LGPL-3.0), PyJWT 2.15.1 (MIT), cryptography 50.0.2 (Apache-2.0 / BSD), HTTPX 0.28.1 (BSD-3-Clause), email-validator 2.3.0 (Unlicense), python-multipart 0.0.32 (Apache-2.0), ReportLab 5.0.1 (BSD), pypdf 6.19.0 (BSD-3-Clause). Для разработки: pytest 9.1.1 (MIT), ruff 0.16.10 (MIT), python-docx 1.2.0 (MIT).</w:t>
      </w:r>
    </w:p>
    <w:p>
      <w:r>
        <w:rPr>
          <w:b/>
        </w:rPr>
        <w:t>Веб-приложение</w:t>
      </w:r>
      <w:r>
        <w:rPr/>
        <w:t xml:space="preserve"> (Node.js 20+): React и React DOM 19.3.0 (MIT), React Router 7.18.4 (MIT), Vite 8.3.3 (MIT), TypeScript 5.9.3 (Apache-2.0), openapi-typescript 7.13.0 (MIT), oxlint 1.87.0 (MIT), шрифт JetBrains Mono 2.304 из брендбука ФСП (SIL OFL 1.1).</w:t>
      </w:r>
    </w:p>
    <w:p>
      <w:r>
        <w:rPr>
          <w:b/>
        </w:rPr>
        <w:t>Инфраструктура</w:t>
      </w:r>
      <w:r>
        <w:rPr/>
        <w:t>: PostgreSQL 16 (PostgreSQL License), nginx 1.27 (BSD-2-Clause), Mailpit 1.31.4 (MIT) – тестовый почтовый сервер, Keycloak 26.0 (Apache-2.0) – по желанию.</w:t>
      </w:r>
    </w:p>
    <w:p>
      <w:r>
        <w:rPr>
          <w:b/>
        </w:rPr>
        <w:t>Собственные компоненты</w:t>
      </w:r>
      <w:r>
        <w:rPr/>
        <w:t>: банк заданий с программами сборки, проверки и определения грейда; провайдер входа; имитация ФСП ID и реестра; словарь навыков; разбор резюме.</w:t>
      </w:r>
    </w:p>
    <w:p>
      <w:pPr>
        <w:pStyle w:val="Heading1"/>
      </w:pPr>
      <w:r>
        <w:rPr/>
        <w:t>8. Сборка, развёртывание и локальный запуск</w:t>
      </w:r>
    </w:p>
    <w:p>
      <w:r>
        <w:rPr/>
        <w:t>Нужны Python 3.10+ и Node.js 20+ либо Docker с Compose. Внешние сервисы для локального запуска не нужны: SQLite, встроенный провайдер входа и имитация ФСП ID.</w:t>
      </w:r>
    </w:p>
    <w:p>
      <w:r>
        <w:rPr>
          <w:b/>
        </w:rPr>
        <w:t>В контейнерах</w:t>
      </w:r>
      <w:r>
        <w:rPr/>
        <w:t xml:space="preserve"> (из корня репозитория):</w:t>
      </w:r>
    </w:p>
    <w:p>
      <w:pPr>
        <w:shd w:val="clear" w:color="auto" w:fill="F5F6F8"/>
        <w:spacing w:after="120" w:line="240" w:lineRule="auto"/>
      </w:pPr>
      <w:r>
        <w:rPr>
          <w:rFonts w:ascii="Consolas" w:hAnsi="Consolas"/>
          <w:sz w:val="15"/>
        </w:rPr>
        <w:t>docker compose up --build</w:t>
      </w:r>
    </w:p>
    <w:p>
      <w:r>
        <w:rPr/>
        <w:t xml:space="preserve">Поднимаются веб-приложение (http://localhost:5173), API (http://localhost:8000/docs, 4 процесса), PostgreSQL и Mailpit (http://localhost:8025). При первом запуске база заполняется демо-данными (около минуты). Пароли и адреса переопределяются в файле </w:t>
      </w:r>
      <w:r>
        <w:rPr>
          <w:rFonts w:ascii="Consolas" w:hAnsi="Consolas"/>
          <w:color w:val="1F3C88"/>
        </w:rPr>
        <w:t>.env</w:t>
      </w:r>
      <w:r>
        <w:rPr/>
        <w:t xml:space="preserve"> рядом с </w:t>
      </w:r>
      <w:r>
        <w:rPr>
          <w:rFonts w:ascii="Consolas" w:hAnsi="Consolas"/>
          <w:color w:val="1F3C88"/>
        </w:rPr>
        <w:t>docker-compose.yml</w:t>
      </w:r>
      <w:r>
        <w:rPr/>
        <w:t xml:space="preserve">. Профиль </w:t>
      </w:r>
      <w:r>
        <w:rPr>
          <w:rFonts w:ascii="Consolas" w:hAnsi="Consolas"/>
          <w:color w:val="1F3C88"/>
        </w:rPr>
        <w:t>keycloak</w:t>
      </w:r>
      <w:r>
        <w:rPr/>
        <w:t xml:space="preserve"> добавляет Keycloak с realm </w:t>
      </w:r>
      <w:r>
        <w:rPr>
          <w:rFonts w:ascii="Consolas" w:hAnsi="Consolas"/>
          <w:color w:val="1F3C88"/>
        </w:rPr>
        <w:t>platform</w:t>
      </w:r>
      <w:r>
        <w:rPr/>
        <w:t>.</w:t>
      </w:r>
    </w:p>
    <w:p>
      <w:r>
        <w:rPr>
          <w:b/>
        </w:rPr>
        <w:t>Без Docker.</w:t>
      </w:r>
      <w:r>
        <w:rPr/>
        <w:t xml:space="preserve"> API (из каталога </w:t>
      </w:r>
      <w:r>
        <w:rPr>
          <w:rFonts w:ascii="Consolas" w:hAnsi="Consolas"/>
          <w:color w:val="1F3C88"/>
        </w:rPr>
        <w:t>backend</w:t>
      </w:r>
      <w:r>
        <w:rPr/>
        <w:t>):</w:t>
      </w:r>
    </w:p>
    <w:p>
      <w:pPr>
        <w:shd w:val="clear" w:color="auto" w:fill="F5F6F8"/>
        <w:spacing w:after="120" w:line="240" w:lineRule="auto"/>
      </w:pPr>
      <w:r>
        <w:rPr>
          <w:rFonts w:ascii="Consolas" w:hAnsi="Consolas"/>
          <w:sz w:val="15"/>
        </w:rPr>
        <w:t>python -m venv .venv</w:t>
        <w:br/>
      </w:r>
      <w:r>
        <w:rPr>
          <w:rFonts w:ascii="Consolas" w:hAnsi="Consolas"/>
          <w:sz w:val="15"/>
        </w:rPr>
        <w:t>.venv\Scripts\activate</w:t>
        <w:br/>
      </w:r>
      <w:r>
        <w:rPr>
          <w:rFonts w:ascii="Consolas" w:hAnsi="Consolas"/>
          <w:sz w:val="15"/>
        </w:rPr>
        <w:t>pip install -r requirements.txt</w:t>
        <w:br/>
      </w:r>
      <w:r>
        <w:rPr>
          <w:rFonts w:ascii="Consolas" w:hAnsi="Consolas"/>
          <w:sz w:val="15"/>
        </w:rPr>
        <w:t>copy .env.example .env</w:t>
        <w:br/>
      </w:r>
      <w:r>
        <w:rPr>
          <w:rFonts w:ascii="Consolas" w:hAnsi="Consolas"/>
          <w:sz w:val="15"/>
        </w:rPr>
        <w:t>python -m scripts.seed_demo --reset</w:t>
        <w:br/>
      </w:r>
      <w:r>
        <w:rPr>
          <w:rFonts w:ascii="Consolas" w:hAnsi="Consolas"/>
          <w:sz w:val="15"/>
        </w:rPr>
        <w:t>uvicorn app.main:app --port 8000</w:t>
      </w:r>
    </w:p>
    <w:p>
      <w:r>
        <w:rPr/>
        <w:t xml:space="preserve">В Linux и macOS – </w:t>
      </w:r>
      <w:r>
        <w:rPr>
          <w:rFonts w:ascii="Consolas" w:hAnsi="Consolas"/>
          <w:color w:val="1F3C88"/>
        </w:rPr>
        <w:t>source .venv/bin/activate</w:t>
      </w:r>
      <w:r>
        <w:rPr/>
        <w:t xml:space="preserve"> и </w:t>
      </w:r>
      <w:r>
        <w:rPr>
          <w:rFonts w:ascii="Consolas" w:hAnsi="Consolas"/>
          <w:color w:val="1F3C88"/>
        </w:rPr>
        <w:t>cp .env.example .env</w:t>
      </w:r>
      <w:r>
        <w:rPr/>
        <w:t xml:space="preserve">. Файл </w:t>
      </w:r>
      <w:r>
        <w:rPr>
          <w:rFonts w:ascii="Consolas" w:hAnsi="Consolas"/>
          <w:color w:val="1F3C88"/>
        </w:rPr>
        <w:t>.env</w:t>
      </w:r>
      <w:r>
        <w:rPr/>
        <w:t xml:space="preserve"> из примера включает демо-режим; без него API запускается в безопасном режиме, без служебных методов и имитации ФСП ID. Веб-приложение (из каталога </w:t>
      </w:r>
      <w:r>
        <w:rPr>
          <w:rFonts w:ascii="Consolas" w:hAnsi="Consolas"/>
          <w:color w:val="1F3C88"/>
        </w:rPr>
        <w:t>frontend</w:t>
      </w:r>
      <w:r>
        <w:rPr/>
        <w:t>, во втором терминале):</w:t>
      </w:r>
    </w:p>
    <w:p>
      <w:pPr>
        <w:shd w:val="clear" w:color="auto" w:fill="F5F6F8"/>
        <w:spacing w:after="120" w:line="240" w:lineRule="auto"/>
      </w:pPr>
      <w:r>
        <w:rPr>
          <w:rFonts w:ascii="Consolas" w:hAnsi="Consolas"/>
          <w:sz w:val="15"/>
        </w:rPr>
        <w:t>npm install</w:t>
        <w:br/>
      </w:r>
      <w:r>
        <w:rPr>
          <w:rFonts w:ascii="Consolas" w:hAnsi="Consolas"/>
          <w:sz w:val="15"/>
        </w:rPr>
        <w:t>npm run dev</w:t>
      </w:r>
    </w:p>
    <w:p>
      <w:r>
        <w:rPr>
          <w:b/>
        </w:rPr>
        <w:t>Демо-доступ.</w:t>
      </w:r>
      <w:r>
        <w:rPr/>
        <w:t xml:space="preserve"> </w:t>
      </w:r>
      <w:r>
        <w:rPr>
          <w:rFonts w:ascii="Consolas" w:hAnsi="Consolas"/>
          <w:color w:val="1F3C88"/>
        </w:rPr>
        <w:t>seed_demo</w:t>
      </w:r>
      <w:r>
        <w:rPr/>
        <w:t xml:space="preserve"> создаёт 240 кандидатов, 3 компании и 6 вакансий и записывает учётные записи в </w:t>
      </w:r>
      <w:r>
        <w:rPr>
          <w:rFonts w:ascii="Consolas" w:hAnsi="Consolas"/>
          <w:color w:val="1F3C88"/>
        </w:rPr>
        <w:t>backend/data/demo_accounts.json</w:t>
      </w:r>
      <w:r>
        <w:rPr/>
        <w:t xml:space="preserve"> (в Docker – </w:t>
      </w:r>
      <w:r>
        <w:rPr>
          <w:rFonts w:ascii="Consolas" w:hAnsi="Consolas"/>
          <w:color w:val="1F3C88"/>
        </w:rPr>
        <w:t>docker compose exec api cat /data/demo_accounts.json</w:t>
      </w:r>
      <w:r>
        <w:rPr/>
        <w:t xml:space="preserve">): жюри </w:t>
      </w:r>
      <w:r>
        <w:rPr>
          <w:rFonts w:ascii="Consolas" w:hAnsi="Consolas"/>
          <w:color w:val="1F3C88"/>
        </w:rPr>
        <w:t>jury1…jury5@demo-fsp.ru</w:t>
      </w:r>
      <w:r>
        <w:rPr/>
        <w:t xml:space="preserve"> – чистые кандидаты для прохождения теста, работодатели </w:t>
      </w:r>
      <w:r>
        <w:rPr>
          <w:rFonts w:ascii="Consolas" w:hAnsi="Consolas"/>
          <w:color w:val="1F3C88"/>
        </w:rPr>
        <w:t>hr1…hr3@demo-fsp.ru</w:t>
      </w:r>
      <w:r>
        <w:rPr/>
        <w:t>, кандидаты с тестом и без, модератор. На странице входа демо-учётные записи подставляются одним кликом. В демо-режиме есть экспресс-режим теста (несколько заданий вручную, остальные дозаполняются по выбранному профилю, 3-5 минут) и сброс попыток. Все люди, компании и достижения в демо-данных вымышлены.</w:t>
      </w:r>
    </w:p>
    <w:p>
      <w:r>
        <w:rPr>
          <w:b/>
        </w:rPr>
        <w:t>Проверка.</w:t>
      </w:r>
      <w:r>
        <w:rPr/>
        <w:t xml:space="preserve"> </w:t>
      </w:r>
      <w:r>
        <w:rPr>
          <w:rFonts w:ascii="Consolas" w:hAnsi="Consolas"/>
          <w:color w:val="1F3C88"/>
        </w:rPr>
        <w:t>python -m pytest</w:t>
      </w:r>
      <w:r>
        <w:rPr/>
        <w:t xml:space="preserve"> в </w:t>
      </w:r>
      <w:r>
        <w:rPr>
          <w:rFonts w:ascii="Consolas" w:hAnsi="Consolas"/>
          <w:color w:val="1F3C88"/>
        </w:rPr>
        <w:t>backend</w:t>
      </w:r>
      <w:r>
        <w:rPr/>
        <w:t xml:space="preserve"> – 138 автотестов (тот же набор проходит на PostgreSQL 16 через </w:t>
      </w:r>
      <w:r>
        <w:rPr>
          <w:rFonts w:ascii="Consolas" w:hAnsi="Consolas"/>
          <w:color w:val="1F3C88"/>
        </w:rPr>
        <w:t>TEST_DATABASE_URL</w:t>
      </w:r>
      <w:r>
        <w:rPr/>
        <w:t xml:space="preserve">); </w:t>
      </w:r>
      <w:r>
        <w:rPr>
          <w:rFonts w:ascii="Consolas" w:hAnsi="Consolas"/>
          <w:color w:val="1F3C88"/>
        </w:rPr>
        <w:t>ruff check .</w:t>
      </w:r>
      <w:r>
        <w:rPr/>
        <w:t xml:space="preserve"> в корне; </w:t>
      </w:r>
      <w:r>
        <w:rPr>
          <w:rFonts w:ascii="Consolas" w:hAnsi="Consolas"/>
          <w:color w:val="1F3C88"/>
        </w:rPr>
        <w:t>npm run lint</w:t>
      </w:r>
      <w:r>
        <w:rPr/>
        <w:t xml:space="preserve"> и </w:t>
      </w:r>
      <w:r>
        <w:rPr>
          <w:rFonts w:ascii="Consolas" w:hAnsi="Consolas"/>
          <w:color w:val="1F3C88"/>
        </w:rPr>
        <w:t>npm run build</w:t>
      </w:r>
      <w:r>
        <w:rPr/>
        <w:t xml:space="preserve"> во </w:t>
      </w:r>
      <w:r>
        <w:rPr>
          <w:rFonts w:ascii="Consolas" w:hAnsi="Consolas"/>
          <w:color w:val="1F3C88"/>
        </w:rPr>
        <w:t>frontend</w:t>
      </w:r>
      <w:r>
        <w:rPr/>
        <w:t xml:space="preserve">; </w:t>
      </w:r>
      <w:r>
        <w:rPr>
          <w:rFonts w:ascii="Consolas" w:hAnsi="Consolas"/>
          <w:color w:val="1F3C88"/>
        </w:rPr>
        <w:t>python tools/validate_bank.py</w:t>
      </w:r>
      <w:r>
        <w:rPr/>
        <w:t xml:space="preserve"> и </w:t>
      </w:r>
      <w:r>
        <w:rPr>
          <w:rFonts w:ascii="Consolas" w:hAnsi="Consolas"/>
          <w:color w:val="1F3C88"/>
        </w:rPr>
        <w:t>python tools/simulate_candidates.py</w:t>
      </w:r>
      <w:r>
        <w:rPr/>
        <w:t xml:space="preserve"> в </w:t>
      </w:r>
      <w:r>
        <w:rPr>
          <w:rFonts w:ascii="Consolas" w:hAnsi="Consolas"/>
          <w:color w:val="1F3C88"/>
        </w:rPr>
        <w:t>it-assessment-bank</w:t>
      </w:r>
      <w:r>
        <w:rPr/>
        <w:t>.</w:t>
      </w:r>
    </w:p>
    <w:p>
      <w:pPr>
        <w:pStyle w:val="Heading1"/>
      </w:pPr>
      <w:r>
        <w:rPr/>
        <w:t>9. Безопасность и персональные данные</w:t>
      </w:r>
    </w:p>
    <w:p>
      <w:pPr>
        <w:pStyle w:val="ListBullet"/>
      </w:pPr>
      <w:r>
        <w:rPr/>
        <w:t>Обработка данных – с согласия, согласия хранятся с версией и датой; показ профиля работодателям – отдельное согласие.</w:t>
      </w:r>
    </w:p>
    <w:p>
      <w:pPr>
        <w:pStyle w:val="ListBullet"/>
      </w:pPr>
      <w:r>
        <w:rPr/>
        <w:t>Контакты скрыты до принятия приглашения или отклика. По умолчанию работодатель видит фамилию и инициал; кандидат может скрыть город, «О себе», опыт и достижения ФСП.</w:t>
      </w:r>
    </w:p>
    <w:p>
      <w:pPr>
        <w:pStyle w:val="ListBullet"/>
      </w:pPr>
      <w:r>
        <w:rPr/>
        <w:t>Кандидат выгружает свои данные и удаляет учётную запись; при удалении стираются профиль, ответы, переписка и копии писем.</w:t>
      </w:r>
    </w:p>
    <w:p>
      <w:pPr>
        <w:pStyle w:val="ListBullet"/>
      </w:pPr>
      <w:r>
        <w:rPr/>
        <w:t>Роли, проверка принадлежности данных в каждом запросе, журнал аудита просмотров контактов.</w:t>
      </w:r>
    </w:p>
    <w:p>
      <w:pPr>
        <w:pStyle w:val="ListBullet"/>
      </w:pPr>
      <w:r>
        <w:rPr/>
        <w:t>Пароли – хеш scrypt с солью, токены обновления хранятся хешем, ключ подписи – RS256; ограничены частота входа, регистрации и восстановления пароля, размер тела запроса; защита от предзахвата учётной записи и SSRF в вебхуках.</w:t>
      </w:r>
    </w:p>
    <w:p>
      <w:pPr>
        <w:pStyle w:val="ListBullet"/>
      </w:pPr>
      <w:r>
        <w:rPr/>
        <w:t xml:space="preserve">Регистрация только с почтой в домене </w:t>
      </w:r>
      <w:r>
        <w:rPr>
          <w:rFonts w:ascii="Consolas" w:hAnsi="Consolas"/>
          <w:color w:val="1F3C88"/>
        </w:rPr>
        <w:t>.ru</w:t>
      </w:r>
      <w:r>
        <w:rPr/>
        <w:t xml:space="preserve"> (данные граждан РФ обрабатываются в РФ).</w:t>
      </w:r>
    </w:p>
    <w:p>
      <w:pPr>
        <w:pStyle w:val="ListBullet"/>
      </w:pPr>
      <w:r>
        <w:rPr/>
        <w:t>Кандидаты 14-17 лет: тест – с 14 лет; показ работодателям, приглашения и отклики – с 15 лет и с согласия законного представителя; приглашать можно только на предложения с лёгким трудом и сокращённым временем.</w:t>
      </w:r>
    </w:p>
    <w:p>
      <w:pPr>
        <w:pStyle w:val="ListBullet"/>
      </w:pPr>
      <w:r>
        <w:rPr/>
        <w:t>Персональные данные не передаются внешним сервисам. Для эксплуатации сервер и база размещаются в Российской Федерации.</w:t>
      </w:r>
    </w:p>
    <w:p>
      <w:pPr>
        <w:pStyle w:val="Heading1"/>
      </w:pPr>
      <w:r>
        <w:rPr/>
        <w:t>Приложение. Соответствие техническому заданию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4415"/>
            <w:shd w:val="clear" w:color="auto" w:fill="E8EDF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Требование ТЗ</w:t>
            </w:r>
          </w:p>
        </w:tc>
        <w:tc>
          <w:tcPr>
            <w:tcW w:type="dxa" w:w="4415"/>
            <w:shd w:val="clear" w:color="auto" w:fill="E8EDF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Реализация</w:t>
            </w:r>
          </w:p>
        </w:tc>
        <w:tc>
          <w:tcPr>
            <w:tcW w:type="dxa" w:w="1035"/>
            <w:shd w:val="clear" w:color="auto" w:fill="E8EDF7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Раздел</w:t>
            </w:r>
          </w:p>
        </w:tc>
      </w:tr>
      <w:tr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Категория – не из резюме, а через опрос, выбор грейда и тест</w:t>
            </w:r>
          </w:p>
        </w:tc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опрос обязателен, категорию задаёт только тест</w:t>
            </w:r>
          </w:p>
        </w:tc>
        <w:tc>
          <w:tcPr>
            <w:tcW w:type="dxa" w:w="1035"/>
          </w:tcPr>
          <w:p>
            <w:pPr>
              <w:spacing w:after="0" w:line="240" w:lineRule="auto"/>
            </w:pPr>
            <w:r>
              <w:rPr>
                <w:sz w:val="17"/>
              </w:rPr>
              <w:t>2.1, 3.1</w:t>
            </w:r>
          </w:p>
        </w:tc>
      </w:tr>
      <w:tr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Механика тестирования, устойчивая к утечке и сопоставимая по сложности</w:t>
            </w:r>
          </w:p>
        </w:tc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персональный вариант по сиду из банка 720 заданий, единый план уровня</w:t>
            </w:r>
          </w:p>
        </w:tc>
        <w:tc>
          <w:tcPr>
            <w:tcW w:type="dxa" w:w="1035"/>
          </w:tcPr>
          <w:p>
            <w:pPr>
              <w:spacing w:after="0" w:line="240" w:lineRule="auto"/>
            </w:pPr>
            <w:r>
              <w:rPr>
                <w:sz w:val="17"/>
              </w:rPr>
              <w:t>2.3, 2.5</w:t>
            </w:r>
          </w:p>
        </w:tc>
      </w:tr>
      <w:tr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Несколько вакансий и показ формирования тестов</w:t>
            </w:r>
          </w:p>
        </w:tc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6 демо-вакансий и 9 профилей ролей; экран «Как формируется тест»</w:t>
            </w:r>
          </w:p>
        </w:tc>
        <w:tc>
          <w:tcPr>
            <w:tcW w:type="dxa" w:w="1035"/>
          </w:tcPr>
          <w:p>
            <w:pPr>
              <w:spacing w:after="0" w:line="240" w:lineRule="auto"/>
            </w:pPr>
            <w:r>
              <w:rPr>
                <w:sz w:val="17"/>
              </w:rPr>
              <w:t>2.3, 3.2</w:t>
            </w:r>
          </w:p>
        </w:tc>
      </w:tr>
      <w:tr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Грейд не понижается принудительно, смена ограничена по времени</w:t>
            </w:r>
          </w:p>
        </w:tc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рекомендация вместо понижения, 90 / 30 / 180 дней</w:t>
            </w:r>
          </w:p>
        </w:tc>
        <w:tc>
          <w:tcPr>
            <w:tcW w:type="dxa" w:w="1035"/>
          </w:tcPr>
          <w:p>
            <w:pPr>
              <w:spacing w:after="0" w:line="240" w:lineRule="auto"/>
            </w:pPr>
            <w:r>
              <w:rPr>
                <w:sz w:val="17"/>
              </w:rPr>
              <w:t>2.4</w:t>
            </w:r>
          </w:p>
        </w:tc>
      </w:tr>
      <w:tr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Регулярные задания от работодателя</w:t>
            </w:r>
          </w:p>
        </w:tc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автопредложение раз в 14 дней и адресно, автопроверка и оценка работодателем</w:t>
            </w:r>
          </w:p>
        </w:tc>
        <w:tc>
          <w:tcPr>
            <w:tcW w:type="dxa" w:w="1035"/>
          </w:tcPr>
          <w:p>
            <w:pPr>
              <w:spacing w:after="0" w:line="240" w:lineRule="auto"/>
            </w:pPr>
            <w:r>
              <w:rPr>
                <w:sz w:val="17"/>
              </w:rPr>
              <w:t>3.5</w:t>
            </w:r>
          </w:p>
        </w:tc>
      </w:tr>
      <w:tr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Выход на контакт по инициативе работодателя</w:t>
            </w:r>
          </w:p>
        </w:tc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подборка → приглашение с вилкой → принятие → контакты</w:t>
            </w:r>
          </w:p>
        </w:tc>
        <w:tc>
          <w:tcPr>
            <w:tcW w:type="dxa" w:w="1035"/>
          </w:tcPr>
          <w:p>
            <w:pPr>
              <w:spacing w:after="0" w:line="240" w:lineRule="auto"/>
            </w:pPr>
            <w:r>
              <w:rPr>
                <w:sz w:val="17"/>
              </w:rPr>
              <w:t>3.3-3.5</w:t>
            </w:r>
          </w:p>
        </w:tc>
      </w:tr>
      <w:tr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Связь с ФСП ID, совместимость с Keycloak, кандидат без ФСП</w:t>
            </w:r>
          </w:p>
        </w:tc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OIDC + PKCE, токены формата Keycloak, фактор 0 без штрафа</w:t>
            </w:r>
          </w:p>
        </w:tc>
        <w:tc>
          <w:tcPr>
            <w:tcW w:type="dxa" w:w="1035"/>
          </w:tcPr>
          <w:p>
            <w:pPr>
              <w:spacing w:after="0" w:line="240" w:lineRule="auto"/>
            </w:pPr>
            <w:r>
              <w:rPr>
                <w:sz w:val="17"/>
              </w:rPr>
              <w:t>5, 6</w:t>
            </w:r>
          </w:p>
        </w:tc>
      </w:tr>
      <w:tr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Ранжирование внутри категории и объяснимость</w:t>
            </w:r>
          </w:p>
        </w:tc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сила профиля, балл соответствия с разложением по факторам</w:t>
            </w:r>
          </w:p>
        </w:tc>
        <w:tc>
          <w:tcPr>
            <w:tcW w:type="dxa" w:w="1035"/>
          </w:tcPr>
          <w:p>
            <w:pPr>
              <w:spacing w:after="0" w:line="240" w:lineRule="auto"/>
            </w:pPr>
            <w:r>
              <w:rPr>
                <w:sz w:val="17"/>
              </w:rPr>
              <w:t>3.1-3.4</w:t>
            </w:r>
          </w:p>
        </w:tc>
      </w:tr>
      <w:tr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Уточнение запроса без потери подборки</w:t>
            </w:r>
          </w:p>
        </w:tc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цепочка подборок</w:t>
            </w:r>
          </w:p>
        </w:tc>
        <w:tc>
          <w:tcPr>
            <w:tcW w:type="dxa" w:w="1035"/>
          </w:tcPr>
          <w:p>
            <w:pPr>
              <w:spacing w:after="0" w:line="240" w:lineRule="auto"/>
            </w:pPr>
            <w:r>
              <w:rPr>
                <w:sz w:val="17"/>
              </w:rPr>
              <w:t>3.3</w:t>
            </w:r>
          </w:p>
        </w:tc>
      </w:tr>
      <w:tr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Кабинет кандидата: профиль, PDF-резюме с распознаванием, PDF-профиль, тест, категория и история, приглашения, вакансии и отклики, приватность, согласия, ФСП ID</w:t>
            </w:r>
          </w:p>
        </w:tc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реализовано полностью</w:t>
            </w:r>
          </w:p>
        </w:tc>
        <w:tc>
          <w:tcPr>
            <w:tcW w:type="dxa" w:w="1035"/>
          </w:tcPr>
          <w:p>
            <w:pPr>
              <w:spacing w:after="0" w:line="240" w:lineRule="auto"/>
            </w:pPr>
            <w:r>
              <w:rPr>
                <w:sz w:val="17"/>
              </w:rPr>
              <w:t>1.1, 3.5, 9</w:t>
            </w:r>
          </w:p>
        </w:tc>
      </w:tr>
      <w:tr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Кабинет работодателя: компания, потребность, подборка, поиск с фильтром по ФСП, приглашения со статусами, вакансии и отклики</w:t>
            </w:r>
          </w:p>
        </w:tc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реализовано полностью</w:t>
            </w:r>
          </w:p>
        </w:tc>
        <w:tc>
          <w:tcPr>
            <w:tcW w:type="dxa" w:w="1035"/>
          </w:tcPr>
          <w:p>
            <w:pPr>
              <w:spacing w:after="0" w:line="240" w:lineRule="auto"/>
            </w:pPr>
            <w:r>
              <w:rPr>
                <w:sz w:val="17"/>
              </w:rPr>
              <w:t>1.1, 3</w:t>
            </w:r>
          </w:p>
        </w:tc>
      </w:tr>
      <w:tr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Вилка «от-до» в рублях обязательна в вакансии и приглашении</w:t>
            </w:r>
          </w:p>
        </w:tc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проверяется схемой API</w:t>
            </w:r>
          </w:p>
        </w:tc>
        <w:tc>
          <w:tcPr>
            <w:tcW w:type="dxa" w:w="1035"/>
          </w:tcPr>
          <w:p>
            <w:pPr>
              <w:spacing w:after="0" w:line="240" w:lineRule="auto"/>
            </w:pPr>
            <w:r>
              <w:rPr>
                <w:sz w:val="17"/>
              </w:rPr>
              <w:t>3.5</w:t>
            </w:r>
          </w:p>
        </w:tc>
      </w:tr>
      <w:tr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Контакты – только после принятия приглашения или отклика</w:t>
            </w:r>
          </w:p>
        </w:tc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правило видимости и журнал аудита</w:t>
            </w:r>
          </w:p>
        </w:tc>
        <w:tc>
          <w:tcPr>
            <w:tcW w:type="dxa" w:w="1035"/>
          </w:tcPr>
          <w:p>
            <w:pPr>
              <w:spacing w:after="0" w:line="240" w:lineRule="auto"/>
            </w:pPr>
            <w:r>
              <w:rPr>
                <w:sz w:val="17"/>
              </w:rPr>
              <w:t>3.5, 9</w:t>
            </w:r>
          </w:p>
        </w:tc>
      </w:tr>
      <w:tr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Статусы приглашений и откликов видны обеим сторонам</w:t>
            </w:r>
          </w:p>
        </w:tc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статусы и хронология событий</w:t>
            </w:r>
          </w:p>
        </w:tc>
        <w:tc>
          <w:tcPr>
            <w:tcW w:type="dxa" w:w="1035"/>
          </w:tcPr>
          <w:p>
            <w:pPr>
              <w:spacing w:after="0" w:line="240" w:lineRule="auto"/>
            </w:pPr>
            <w:r>
              <w:rPr>
                <w:sz w:val="17"/>
              </w:rPr>
              <w:t>3.5</w:t>
            </w:r>
          </w:p>
        </w:tc>
      </w:tr>
      <w:tr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Регистрация по почте с подтверждением</w:t>
            </w:r>
          </w:p>
        </w:tc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письмо со ссылкой, без подтверждения вход закрыт</w:t>
            </w:r>
          </w:p>
        </w:tc>
        <w:tc>
          <w:tcPr>
            <w:tcW w:type="dxa" w:w="1035"/>
          </w:tcPr>
          <w:p>
            <w:pPr>
              <w:spacing w:after="0" w:line="240" w:lineRule="auto"/>
            </w:pPr>
            <w:r>
              <w:rPr>
                <w:sz w:val="17"/>
              </w:rPr>
              <w:t>6, 9</w:t>
            </w:r>
          </w:p>
        </w:tc>
      </w:tr>
      <w:tr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Собственная процедура валидации и результаты</w:t>
            </w:r>
          </w:p>
        </w:tc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синтетика со скрытым профилем, метрики и сравнение с базовыми методами</w:t>
            </w:r>
          </w:p>
        </w:tc>
        <w:tc>
          <w:tcPr>
            <w:tcW w:type="dxa" w:w="1035"/>
          </w:tcPr>
          <w:p>
            <w:pPr>
              <w:spacing w:after="0" w:line="240" w:lineRule="auto"/>
            </w:pPr>
            <w:r>
              <w:rPr>
                <w:sz w:val="17"/>
              </w:rPr>
              <w:t>4</w:t>
            </w:r>
          </w:p>
        </w:tc>
      </w:tr>
      <w:tr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Плюс: защита от фиктивных вакансий, интеграция с ATS</w:t>
            </w:r>
          </w:p>
        </w:tc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реализация и концепция</w:t>
            </w:r>
          </w:p>
        </w:tc>
        <w:tc>
          <w:tcPr>
            <w:tcW w:type="dxa" w:w="1035"/>
          </w:tcPr>
          <w:p>
            <w:pPr>
              <w:spacing w:after="0" w:line="240" w:lineRule="auto"/>
            </w:pPr>
            <w:r>
              <w:rPr>
                <w:sz w:val="17"/>
              </w:rPr>
              <w:t>3.6</w:t>
            </w:r>
          </w:p>
        </w:tc>
      </w:tr>
      <w:tr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Открытый код, Frontend / Backend / СУБД, Docker, OpenAPI, 152-ФЗ, десятки пользователей</w:t>
            </w:r>
          </w:p>
        </w:tc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см. разделы</w:t>
            </w:r>
          </w:p>
        </w:tc>
        <w:tc>
          <w:tcPr>
            <w:tcW w:type="dxa" w:w="1035"/>
          </w:tcPr>
          <w:p>
            <w:pPr>
              <w:spacing w:after="0" w:line="240" w:lineRule="auto"/>
            </w:pPr>
            <w:r>
              <w:rPr>
                <w:sz w:val="17"/>
              </w:rPr>
              <w:t>1, 4.2, 6-9</w:t>
            </w:r>
          </w:p>
        </w:tc>
      </w:tr>
      <w:tr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Адаптивная вёрстка (опционально)</w:t>
            </w:r>
          </w:p>
        </w:tc>
        <w:tc>
          <w:tcPr>
            <w:tcW w:type="dxa" w:w="4415"/>
          </w:tcPr>
          <w:p>
            <w:pPr>
              <w:spacing w:after="0" w:line="240" w:lineRule="auto"/>
            </w:pPr>
            <w:r>
              <w:rPr>
                <w:sz w:val="17"/>
              </w:rPr>
              <w:t>кабинеты работают на телефоне и планшете</w:t>
            </w:r>
          </w:p>
        </w:tc>
        <w:tc>
          <w:tcPr>
            <w:tcW w:type="dxa" w:w="1035"/>
          </w:tcPr>
          <w:p>
            <w:pPr>
              <w:spacing w:after="0" w:line="240" w:lineRule="auto"/>
            </w:pPr>
            <w:r>
              <w:rPr>
                <w:sz w:val="17"/>
              </w:rPr>
              <w:t>–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B6475"/>
        <w:sz w:val="15"/>
      </w:rPr>
      <w:t>Платформа подбора ИТ-специалистов ФСП – пояснительная записка</w:t>
      <w:tab/>
      <w:tab/>
    </w:r>
    <w:r>
      <w:rPr>
        <w:color w:val="5B6475"/>
        <w:sz w:val="15"/>
      </w:rPr>
      <w:fldChar w:fldCharType="begin"/>
    </w:r>
    <w:r>
      <w:rPr>
        <w:color w:val="5B6475"/>
        <w:sz w:val="15"/>
      </w:rPr>
      <w:instrText xml:space="preserve">PAGE</w:instrText>
    </w:r>
    <w:r>
      <w:rPr>
        <w:color w:val="5B6475"/>
        <w:sz w:val="15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402FF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02F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A1F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40"/>
      <w:ind w:left="720"/>
      <w:contextualSpacing/>
    </w:pPr>
    <w:rPr>
      <w:rFonts w:ascii="Arial" w:hAnsi="Arial" w:cs="Arial" w:eastAsia="Arial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 w:cs="Arial" w:eastAsia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Arial" w:hAnsi="Arial" w:cs="Arial" w:eastAsia="Arial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Arial" w:hAnsi="Arial" w:cs="Arial" w:eastAsia="Arial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Цифровая платформа подбора ИТ-специалистов с верифицированным профилем ФСП – пояснительная записка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