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46" w:rsidRPr="006A1F23" w:rsidRDefault="003D6B08" w:rsidP="001B409D">
      <w:pPr>
        <w:rPr>
          <w:rFonts w:ascii="Times New Roman" w:eastAsiaTheme="majorEastAsia" w:hAnsi="Times New Roman" w:cs="Times New Roman"/>
          <w:b/>
          <w:sz w:val="28"/>
        </w:rPr>
      </w:pPr>
      <w:r w:rsidRPr="006A1F23">
        <w:rPr>
          <w:rFonts w:ascii="Times New Roman" w:eastAsiaTheme="majorEastAsia" w:hAnsi="Times New Roman" w:cs="Times New Roman"/>
          <w:b/>
          <w:sz w:val="28"/>
        </w:rPr>
        <w:t>增進</w:t>
      </w:r>
      <w:r w:rsidR="0073669B" w:rsidRPr="006A1F23">
        <w:rPr>
          <w:rFonts w:ascii="Times New Roman" w:eastAsiaTheme="majorEastAsia" w:hAnsi="Times New Roman" w:cs="Times New Roman"/>
          <w:b/>
          <w:sz w:val="28"/>
        </w:rPr>
        <w:t>台中</w:t>
      </w:r>
      <w:r w:rsidR="00C17274" w:rsidRPr="006A1F23">
        <w:rPr>
          <w:rFonts w:ascii="Times New Roman" w:eastAsiaTheme="majorEastAsia" w:hAnsi="Times New Roman" w:cs="Times New Roman"/>
          <w:b/>
          <w:sz w:val="28"/>
        </w:rPr>
        <w:t>海岸地帶紅樹林</w:t>
      </w:r>
      <w:proofErr w:type="gramStart"/>
      <w:r w:rsidR="00C17274" w:rsidRPr="006A1F23">
        <w:rPr>
          <w:rFonts w:ascii="Times New Roman" w:eastAsiaTheme="majorEastAsia" w:hAnsi="Times New Roman" w:cs="Times New Roman"/>
          <w:b/>
          <w:sz w:val="28"/>
        </w:rPr>
        <w:t>藍</w:t>
      </w:r>
      <w:r w:rsidR="00455A6A" w:rsidRPr="006A1F23">
        <w:rPr>
          <w:rFonts w:ascii="Times New Roman" w:eastAsiaTheme="majorEastAsia" w:hAnsi="Times New Roman" w:cs="Times New Roman"/>
          <w:b/>
          <w:sz w:val="28"/>
        </w:rPr>
        <w:t>碳</w:t>
      </w:r>
      <w:r w:rsidR="00C17274" w:rsidRPr="006A1F23">
        <w:rPr>
          <w:rFonts w:ascii="Times New Roman" w:eastAsiaTheme="majorEastAsia" w:hAnsi="Times New Roman" w:cs="Times New Roman"/>
          <w:b/>
          <w:sz w:val="28"/>
        </w:rPr>
        <w:t>封</w:t>
      </w:r>
      <w:r w:rsidRPr="006A1F23">
        <w:rPr>
          <w:rFonts w:ascii="Times New Roman" w:eastAsiaTheme="majorEastAsia" w:hAnsi="Times New Roman" w:cs="Times New Roman"/>
          <w:b/>
          <w:sz w:val="28"/>
        </w:rPr>
        <w:t>儲</w:t>
      </w:r>
      <w:proofErr w:type="gramEnd"/>
      <w:r w:rsidRPr="006A1F23">
        <w:rPr>
          <w:rFonts w:ascii="Times New Roman" w:eastAsiaTheme="majorEastAsia" w:hAnsi="Times New Roman" w:cs="Times New Roman"/>
          <w:b/>
          <w:sz w:val="28"/>
        </w:rPr>
        <w:t>計畫</w:t>
      </w:r>
    </w:p>
    <w:p w:rsidR="003D6B08" w:rsidRPr="006A1F23" w:rsidRDefault="003D6B08" w:rsidP="001B409D">
      <w:pPr>
        <w:rPr>
          <w:rFonts w:ascii="Times New Roman" w:eastAsiaTheme="majorEastAsia" w:hAnsi="Times New Roman" w:cs="Times New Roman"/>
          <w:b/>
          <w:sz w:val="28"/>
        </w:rPr>
      </w:pPr>
      <w:r w:rsidRPr="006A1F23">
        <w:rPr>
          <w:rFonts w:ascii="Times New Roman" w:eastAsiaTheme="majorEastAsia" w:hAnsi="Times New Roman" w:cs="Times New Roman"/>
          <w:b/>
          <w:sz w:val="28"/>
        </w:rPr>
        <w:t>Enhanc</w:t>
      </w:r>
      <w:r w:rsidR="00C17274" w:rsidRPr="006A1F23">
        <w:rPr>
          <w:rFonts w:ascii="Times New Roman" w:eastAsiaTheme="majorEastAsia" w:hAnsi="Times New Roman" w:cs="Times New Roman"/>
          <w:b/>
          <w:sz w:val="28"/>
        </w:rPr>
        <w:t xml:space="preserve">ement of Blue Carbon Stock and Sequestration </w:t>
      </w:r>
      <w:r w:rsidRPr="006A1F23">
        <w:rPr>
          <w:rFonts w:ascii="Times New Roman" w:eastAsiaTheme="majorEastAsia" w:hAnsi="Times New Roman" w:cs="Times New Roman"/>
          <w:b/>
          <w:sz w:val="28"/>
        </w:rPr>
        <w:t xml:space="preserve">in the Mangrove Ecosystems, </w:t>
      </w:r>
      <w:r w:rsidR="0073669B" w:rsidRPr="006A1F23">
        <w:rPr>
          <w:rFonts w:ascii="Times New Roman" w:eastAsiaTheme="majorEastAsia" w:hAnsi="Times New Roman" w:cs="Times New Roman"/>
          <w:b/>
          <w:sz w:val="28"/>
        </w:rPr>
        <w:t>Taichung</w:t>
      </w:r>
      <w:r w:rsidRPr="006A1F23">
        <w:rPr>
          <w:rFonts w:ascii="Times New Roman" w:eastAsiaTheme="majorEastAsia" w:hAnsi="Times New Roman" w:cs="Times New Roman"/>
          <w:b/>
          <w:sz w:val="28"/>
        </w:rPr>
        <w:t xml:space="preserve">, </w:t>
      </w:r>
      <w:r w:rsidR="0073669B" w:rsidRPr="006A1F23">
        <w:rPr>
          <w:rFonts w:ascii="Times New Roman" w:eastAsiaTheme="majorEastAsia" w:hAnsi="Times New Roman" w:cs="Times New Roman"/>
          <w:b/>
          <w:sz w:val="28"/>
        </w:rPr>
        <w:t>Central</w:t>
      </w:r>
      <w:r w:rsidRPr="006A1F23">
        <w:rPr>
          <w:rFonts w:ascii="Times New Roman" w:eastAsiaTheme="majorEastAsia" w:hAnsi="Times New Roman" w:cs="Times New Roman"/>
          <w:b/>
          <w:sz w:val="28"/>
        </w:rPr>
        <w:t xml:space="preserve"> Taiwan </w:t>
      </w:r>
    </w:p>
    <w:p w:rsidR="00455A6A" w:rsidRDefault="00455A6A" w:rsidP="001B409D">
      <w:bookmarkStart w:id="0" w:name="_GoBack"/>
      <w:bookmarkEnd w:id="0"/>
    </w:p>
    <w:p w:rsidR="009E564B" w:rsidRPr="009E564B" w:rsidRDefault="009E564B" w:rsidP="001B409D">
      <w:pPr>
        <w:rPr>
          <w:b/>
          <w:sz w:val="28"/>
        </w:rPr>
      </w:pPr>
      <w:r w:rsidRPr="009E564B">
        <w:rPr>
          <w:b/>
          <w:sz w:val="28"/>
        </w:rPr>
        <w:t>紅樹林的藍碳</w:t>
      </w:r>
    </w:p>
    <w:p w:rsidR="00455A6A" w:rsidRDefault="00455A6A" w:rsidP="001B409D">
      <w:pPr>
        <w:ind w:firstLineChars="152" w:firstLine="365"/>
        <w:rPr>
          <w:rFonts w:ascii="Times New Roman" w:hAnsi="Times New Roman" w:cs="Times New Roman"/>
          <w:color w:val="000000"/>
          <w:szCs w:val="29"/>
          <w:shd w:val="clear" w:color="auto" w:fill="FFFFFF"/>
        </w:rPr>
      </w:pPr>
      <w:r>
        <w:t>「</w:t>
      </w:r>
      <w:proofErr w:type="gramStart"/>
      <w:r>
        <w:t>藍碳」</w:t>
      </w:r>
      <w:proofErr w:type="gramEnd"/>
      <w:r w:rsidR="00C17274">
        <w:rPr>
          <w:rFonts w:hint="eastAsia"/>
        </w:rPr>
        <w:t>(blue ca</w:t>
      </w:r>
      <w:r>
        <w:rPr>
          <w:rFonts w:hint="eastAsia"/>
        </w:rPr>
        <w:t>rbon)</w:t>
      </w:r>
      <w:r>
        <w:t>這個概念首次正式由</w:t>
      </w:r>
      <w:r>
        <w:rPr>
          <w:rFonts w:hint="eastAsia"/>
        </w:rPr>
        <w:t>2</w:t>
      </w:r>
      <w:r>
        <w:t>009</w:t>
      </w:r>
      <w:r>
        <w:t>年的一次聯合國多機構</w:t>
      </w:r>
      <w:r>
        <w:rPr>
          <w:rFonts w:hint="eastAsia"/>
        </w:rPr>
        <w:t>(UNEP,</w:t>
      </w:r>
      <w:r>
        <w:t>FAO and IOC/UNESCO)</w:t>
      </w:r>
      <w:r>
        <w:t>聯席會議</w:t>
      </w:r>
      <w:r>
        <w:rPr>
          <w:rFonts w:hint="eastAsia"/>
        </w:rPr>
        <w:t>所</w:t>
      </w:r>
      <w:r>
        <w:t>提出，主旨為世界各國應加強研究、重視、保育與增進海岸生態系</w:t>
      </w:r>
      <w:proofErr w:type="gramStart"/>
      <w:r>
        <w:t>的吸碳</w:t>
      </w:r>
      <w:proofErr w:type="gramEnd"/>
      <w:r>
        <w:rPr>
          <w:rFonts w:hint="eastAsia"/>
        </w:rPr>
        <w:t xml:space="preserve"> (absorbin</w:t>
      </w:r>
      <w:r>
        <w:t>g</w:t>
      </w:r>
      <w:r>
        <w:rPr>
          <w:rFonts w:hint="eastAsia"/>
        </w:rPr>
        <w:t xml:space="preserve"> carbon)</w:t>
      </w:r>
      <w:r>
        <w:t xml:space="preserve"> </w:t>
      </w:r>
      <w:r>
        <w:t>與</w:t>
      </w:r>
      <w:proofErr w:type="gramStart"/>
      <w:r>
        <w:t>封碳</w:t>
      </w:r>
      <w:r>
        <w:rPr>
          <w:rFonts w:hint="eastAsia"/>
        </w:rPr>
        <w:t>(</w:t>
      </w:r>
      <w:proofErr w:type="gramEnd"/>
      <w:r>
        <w:rPr>
          <w:rFonts w:hint="eastAsia"/>
        </w:rPr>
        <w:t>sequestering</w:t>
      </w:r>
      <w:r>
        <w:t>/storing</w:t>
      </w:r>
      <w:r>
        <w:rPr>
          <w:rFonts w:hint="eastAsia"/>
        </w:rPr>
        <w:t xml:space="preserve"> carbon</w:t>
      </w:r>
      <w:r>
        <w:t>)</w:t>
      </w:r>
      <w:r>
        <w:t>角色</w:t>
      </w:r>
      <w:r w:rsidRPr="000E7313">
        <w:rPr>
          <w:rFonts w:ascii="Times New Roman" w:hAnsi="Times New Roman" w:cs="Times New Roman"/>
          <w:szCs w:val="24"/>
        </w:rPr>
        <w:t>(</w:t>
      </w:r>
      <w:r w:rsidRPr="000E7313">
        <w:rPr>
          <w:rFonts w:ascii="Times New Roman" w:hAnsi="Times New Roman" w:cs="Times New Roman"/>
          <w:kern w:val="0"/>
          <w:szCs w:val="24"/>
        </w:rPr>
        <w:t>Nelleman</w:t>
      </w:r>
      <w:r w:rsidR="000E7313" w:rsidRPr="000E7313">
        <w:rPr>
          <w:rFonts w:ascii="Times New Roman" w:hAnsi="Times New Roman" w:cs="Times New Roman"/>
          <w:kern w:val="0"/>
          <w:szCs w:val="24"/>
        </w:rPr>
        <w:t xml:space="preserve"> et al., 2009)</w:t>
      </w:r>
      <w:r w:rsidR="000E7313" w:rsidRPr="000E7313">
        <w:rPr>
          <w:rFonts w:ascii="Times New Roman" w:hAnsi="Times New Roman" w:cs="Times New Roman"/>
          <w:kern w:val="0"/>
          <w:szCs w:val="24"/>
        </w:rPr>
        <w:t>。國際自然保育聯盟</w:t>
      </w:r>
      <w:r w:rsidR="000E7313" w:rsidRPr="000E7313">
        <w:rPr>
          <w:rFonts w:ascii="Times New Roman" w:hAnsi="Times New Roman" w:cs="Times New Roman"/>
          <w:kern w:val="0"/>
          <w:szCs w:val="24"/>
        </w:rPr>
        <w:t xml:space="preserve">(IUCN) </w:t>
      </w:r>
      <w:r w:rsidR="000E7313">
        <w:rPr>
          <w:rFonts w:ascii="Times New Roman" w:hAnsi="Times New Roman" w:cs="Times New Roman"/>
          <w:kern w:val="0"/>
          <w:szCs w:val="24"/>
        </w:rPr>
        <w:t>隨即</w:t>
      </w:r>
      <w:r w:rsidR="00C17274">
        <w:rPr>
          <w:rFonts w:ascii="Times New Roman" w:hAnsi="Times New Roman" w:cs="Times New Roman"/>
          <w:kern w:val="0"/>
          <w:szCs w:val="24"/>
        </w:rPr>
        <w:t>對海岸生態系</w:t>
      </w:r>
      <w:proofErr w:type="gramStart"/>
      <w:r w:rsidR="00C17274">
        <w:rPr>
          <w:rFonts w:ascii="Times New Roman" w:hAnsi="Times New Roman" w:cs="Times New Roman"/>
          <w:kern w:val="0"/>
          <w:szCs w:val="24"/>
        </w:rPr>
        <w:t>──</w:t>
      </w:r>
      <w:proofErr w:type="gramEnd"/>
      <w:r w:rsidR="000E7313">
        <w:rPr>
          <w:rFonts w:ascii="Times New Roman" w:hAnsi="Times New Roman" w:cs="Times New Roman"/>
          <w:kern w:val="0"/>
          <w:szCs w:val="24"/>
        </w:rPr>
        <w:t>鹽沼澤地、紅樹林、海草地、海帶及珊瑚礁的碳管理</w:t>
      </w:r>
      <w:r w:rsidR="00C17274">
        <w:rPr>
          <w:rFonts w:ascii="Times New Roman" w:hAnsi="Times New Roman" w:cs="Times New Roman"/>
          <w:kern w:val="0"/>
          <w:szCs w:val="24"/>
        </w:rPr>
        <w:t>提出了</w:t>
      </w:r>
      <w:r w:rsidR="000E7313">
        <w:rPr>
          <w:rFonts w:ascii="Times New Roman" w:hAnsi="Times New Roman" w:cs="Times New Roman"/>
          <w:kern w:val="0"/>
          <w:szCs w:val="24"/>
        </w:rPr>
        <w:t>潛力評估</w:t>
      </w:r>
      <w:r w:rsidR="000E7313">
        <w:rPr>
          <w:rFonts w:ascii="Times New Roman" w:hAnsi="Times New Roman" w:cs="Times New Roman" w:hint="eastAsia"/>
          <w:kern w:val="0"/>
          <w:szCs w:val="24"/>
        </w:rPr>
        <w:t>(</w:t>
      </w:r>
      <w:proofErr w:type="spellStart"/>
      <w:r w:rsidR="000E7313">
        <w:rPr>
          <w:rFonts w:ascii="Times New Roman" w:hAnsi="Times New Roman" w:cs="Times New Roman" w:hint="eastAsia"/>
          <w:kern w:val="0"/>
          <w:szCs w:val="24"/>
        </w:rPr>
        <w:t>Laffoley</w:t>
      </w:r>
      <w:proofErr w:type="spellEnd"/>
      <w:r w:rsidR="000E7313">
        <w:rPr>
          <w:rFonts w:ascii="Times New Roman" w:hAnsi="Times New Roman" w:cs="Times New Roman" w:hint="eastAsia"/>
          <w:kern w:val="0"/>
          <w:szCs w:val="24"/>
        </w:rPr>
        <w:t xml:space="preserve"> and </w:t>
      </w:r>
      <w:proofErr w:type="spellStart"/>
      <w:r w:rsidR="000E7313">
        <w:rPr>
          <w:rFonts w:ascii="Times New Roman" w:hAnsi="Times New Roman" w:cs="Times New Roman" w:hint="eastAsia"/>
          <w:kern w:val="0"/>
          <w:szCs w:val="24"/>
        </w:rPr>
        <w:t>Grimsditchm</w:t>
      </w:r>
      <w:proofErr w:type="spellEnd"/>
      <w:r w:rsidR="000E7313">
        <w:rPr>
          <w:rFonts w:ascii="Times New Roman" w:hAnsi="Times New Roman" w:cs="Times New Roman" w:hint="eastAsia"/>
          <w:kern w:val="0"/>
          <w:szCs w:val="24"/>
        </w:rPr>
        <w:t xml:space="preserve"> 2009)</w:t>
      </w:r>
      <w:r w:rsidR="000E7313">
        <w:rPr>
          <w:rFonts w:ascii="Times New Roman" w:hAnsi="Times New Roman" w:cs="Times New Roman" w:hint="eastAsia"/>
          <w:kern w:val="0"/>
          <w:szCs w:val="24"/>
        </w:rPr>
        <w:t>。該報告</w:t>
      </w:r>
      <w:r w:rsidR="001E494F">
        <w:rPr>
          <w:rFonts w:ascii="Times New Roman" w:hAnsi="Times New Roman" w:cs="Times New Roman" w:hint="eastAsia"/>
          <w:kern w:val="0"/>
          <w:szCs w:val="24"/>
        </w:rPr>
        <w:t>認定</w:t>
      </w:r>
      <w:r w:rsidR="000E7313">
        <w:rPr>
          <w:rFonts w:ascii="Times New Roman" w:hAnsi="Times New Roman" w:cs="Times New Roman" w:hint="eastAsia"/>
          <w:kern w:val="0"/>
          <w:szCs w:val="24"/>
        </w:rPr>
        <w:t>海岸生態系</w:t>
      </w:r>
      <w:r w:rsidR="001E494F">
        <w:rPr>
          <w:rFonts w:ascii="Times New Roman" w:hAnsi="Times New Roman" w:cs="Times New Roman" w:hint="eastAsia"/>
          <w:kern w:val="0"/>
          <w:szCs w:val="24"/>
        </w:rPr>
        <w:t>管理</w:t>
      </w:r>
      <w:r w:rsidR="000E7313">
        <w:rPr>
          <w:rFonts w:ascii="Times New Roman" w:hAnsi="Times New Roman" w:cs="Times New Roman" w:hint="eastAsia"/>
          <w:kern w:val="0"/>
          <w:szCs w:val="24"/>
        </w:rPr>
        <w:t>有四項</w:t>
      </w:r>
      <w:r w:rsidR="001E494F">
        <w:rPr>
          <w:rFonts w:ascii="Times New Roman" w:hAnsi="Times New Roman" w:cs="Times New Roman" w:hint="eastAsia"/>
          <w:kern w:val="0"/>
          <w:szCs w:val="24"/>
        </w:rPr>
        <w:t>重</w:t>
      </w:r>
      <w:r w:rsidR="000E7313">
        <w:rPr>
          <w:rFonts w:ascii="Times New Roman" w:hAnsi="Times New Roman" w:cs="Times New Roman" w:hint="eastAsia"/>
          <w:kern w:val="0"/>
          <w:szCs w:val="24"/>
        </w:rPr>
        <w:t>點：</w:t>
      </w:r>
      <w:r w:rsidR="001E494F">
        <w:rPr>
          <w:rFonts w:ascii="Times New Roman" w:hAnsi="Times New Roman" w:cs="Times New Roman" w:hint="eastAsia"/>
          <w:kern w:val="0"/>
          <w:szCs w:val="24"/>
        </w:rPr>
        <w:t>（一）該</w:t>
      </w:r>
      <w:r w:rsidR="000E7313">
        <w:rPr>
          <w:rFonts w:ascii="Times New Roman" w:hAnsi="Times New Roman" w:cs="Times New Roman" w:hint="eastAsia"/>
          <w:kern w:val="0"/>
          <w:szCs w:val="24"/>
        </w:rPr>
        <w:t>等生態系的土壤與沈積物面積雖</w:t>
      </w:r>
      <w:r w:rsidR="003D6B08">
        <w:rPr>
          <w:rFonts w:ascii="Times New Roman" w:hAnsi="Times New Roman" w:cs="Times New Roman" w:hint="eastAsia"/>
          <w:kern w:val="0"/>
          <w:szCs w:val="24"/>
        </w:rPr>
        <w:t>不廣但是超比例地吸取與封存</w:t>
      </w:r>
      <w:r w:rsidR="001E494F">
        <w:rPr>
          <w:rFonts w:ascii="Times New Roman" w:hAnsi="Times New Roman" w:cs="Times New Roman" w:hint="eastAsia"/>
          <w:kern w:val="0"/>
          <w:szCs w:val="24"/>
        </w:rPr>
        <w:t>二氧化碳，主要原因</w:t>
      </w:r>
      <w:r w:rsidR="00FB436B">
        <w:rPr>
          <w:rFonts w:ascii="Times New Roman" w:hAnsi="Times New Roman" w:cs="Times New Roman" w:hint="eastAsia"/>
          <w:kern w:val="0"/>
          <w:szCs w:val="24"/>
        </w:rPr>
        <w:t>在於</w:t>
      </w:r>
      <w:r w:rsidR="001E494F">
        <w:rPr>
          <w:rFonts w:ascii="Times New Roman" w:hAnsi="Times New Roman" w:cs="Times New Roman" w:hint="eastAsia"/>
          <w:kern w:val="0"/>
          <w:szCs w:val="24"/>
        </w:rPr>
        <w:t>該等地區</w:t>
      </w:r>
      <w:r w:rsidR="003D6B08">
        <w:rPr>
          <w:rFonts w:ascii="Times New Roman" w:hAnsi="Times New Roman" w:cs="Times New Roman" w:hint="eastAsia"/>
          <w:kern w:val="0"/>
          <w:szCs w:val="24"/>
        </w:rPr>
        <w:t>溫室氣體</w:t>
      </w:r>
      <w:r w:rsidR="003D6B08">
        <w:rPr>
          <w:rFonts w:ascii="Times New Roman" w:hAnsi="Times New Roman" w:cs="Times New Roman" w:hint="eastAsia"/>
          <w:kern w:val="0"/>
          <w:szCs w:val="24"/>
        </w:rPr>
        <w:t>(CH</w:t>
      </w:r>
      <w:r w:rsidR="003D6B08" w:rsidRPr="003D6B08">
        <w:rPr>
          <w:rFonts w:ascii="Times New Roman" w:hAnsi="Times New Roman" w:cs="Times New Roman" w:hint="eastAsia"/>
          <w:kern w:val="0"/>
          <w:szCs w:val="24"/>
          <w:vertAlign w:val="subscript"/>
        </w:rPr>
        <w:t>4</w:t>
      </w:r>
      <w:r w:rsidR="003D6B08">
        <w:rPr>
          <w:rFonts w:ascii="Times New Roman" w:hAnsi="Times New Roman" w:cs="Times New Roman" w:hint="eastAsia"/>
          <w:kern w:val="0"/>
          <w:szCs w:val="24"/>
        </w:rPr>
        <w:t xml:space="preserve"> and CO</w:t>
      </w:r>
      <w:r w:rsidR="003D6B08" w:rsidRPr="003D6B08">
        <w:rPr>
          <w:rFonts w:ascii="Times New Roman" w:hAnsi="Times New Roman" w:cs="Times New Roman" w:hint="eastAsia"/>
          <w:kern w:val="0"/>
          <w:szCs w:val="24"/>
          <w:vertAlign w:val="subscript"/>
        </w:rPr>
        <w:t>2</w:t>
      </w:r>
      <w:r w:rsidR="003D6B08">
        <w:rPr>
          <w:rFonts w:ascii="Times New Roman" w:hAnsi="Times New Roman" w:cs="Times New Roman" w:hint="eastAsia"/>
          <w:kern w:val="0"/>
          <w:szCs w:val="24"/>
        </w:rPr>
        <w:t>)</w:t>
      </w:r>
      <w:r w:rsidR="001E494F">
        <w:rPr>
          <w:rFonts w:ascii="Times New Roman" w:hAnsi="Times New Roman" w:cs="Times New Roman" w:hint="eastAsia"/>
          <w:kern w:val="0"/>
          <w:szCs w:val="24"/>
        </w:rPr>
        <w:t>排放</w:t>
      </w:r>
      <w:r w:rsidR="003D6B08">
        <w:rPr>
          <w:rFonts w:ascii="Times New Roman" w:hAnsi="Times New Roman" w:cs="Times New Roman" w:hint="eastAsia"/>
          <w:kern w:val="0"/>
          <w:szCs w:val="24"/>
        </w:rPr>
        <w:t>潛能</w:t>
      </w:r>
      <w:r w:rsidR="001E494F">
        <w:rPr>
          <w:rFonts w:ascii="Times New Roman" w:hAnsi="Times New Roman" w:cs="Times New Roman" w:hint="eastAsia"/>
          <w:kern w:val="0"/>
          <w:szCs w:val="24"/>
        </w:rPr>
        <w:t>偏</w:t>
      </w:r>
      <w:r w:rsidR="003D6B08">
        <w:rPr>
          <w:rFonts w:ascii="Times New Roman" w:hAnsi="Times New Roman" w:cs="Times New Roman" w:hint="eastAsia"/>
          <w:kern w:val="0"/>
          <w:szCs w:val="24"/>
        </w:rPr>
        <w:t>低；</w:t>
      </w:r>
      <w:r w:rsidR="001E494F">
        <w:rPr>
          <w:rFonts w:ascii="Times New Roman" w:hAnsi="Times New Roman" w:cs="Times New Roman" w:hint="eastAsia"/>
          <w:kern w:val="0"/>
          <w:szCs w:val="24"/>
        </w:rPr>
        <w:t>（二）</w:t>
      </w:r>
      <w:r w:rsidR="00DA711A">
        <w:rPr>
          <w:rFonts w:ascii="Times New Roman" w:hAnsi="Times New Roman" w:cs="Times New Roman" w:hint="eastAsia"/>
          <w:kern w:val="0"/>
          <w:szCs w:val="24"/>
        </w:rPr>
        <w:t>也因此</w:t>
      </w:r>
      <w:r w:rsidR="001E494F">
        <w:rPr>
          <w:rFonts w:ascii="Times New Roman" w:hAnsi="Times New Roman" w:cs="Times New Roman" w:hint="eastAsia"/>
          <w:kern w:val="0"/>
          <w:szCs w:val="24"/>
        </w:rPr>
        <w:t>，</w:t>
      </w:r>
      <w:r w:rsidR="00DA711A">
        <w:rPr>
          <w:rFonts w:ascii="Times New Roman" w:hAnsi="Times New Roman" w:cs="Times New Roman" w:hint="eastAsia"/>
          <w:kern w:val="0"/>
          <w:szCs w:val="24"/>
        </w:rPr>
        <w:t>有必要仔細</w:t>
      </w:r>
      <w:r w:rsidR="001E494F">
        <w:rPr>
          <w:rFonts w:ascii="Times New Roman" w:hAnsi="Times New Roman" w:cs="Times New Roman" w:hint="eastAsia"/>
          <w:kern w:val="0"/>
          <w:szCs w:val="24"/>
        </w:rPr>
        <w:t>盤點</w:t>
      </w:r>
      <w:r w:rsidR="00DA711A">
        <w:rPr>
          <w:rFonts w:ascii="Times New Roman" w:hAnsi="Times New Roman" w:cs="Times New Roman" w:hint="eastAsia"/>
          <w:kern w:val="0"/>
          <w:szCs w:val="24"/>
        </w:rPr>
        <w:t>該</w:t>
      </w:r>
      <w:r w:rsidR="003D6B08">
        <w:rPr>
          <w:rFonts w:ascii="Times New Roman" w:hAnsi="Times New Roman" w:cs="Times New Roman" w:hint="eastAsia"/>
          <w:kern w:val="0"/>
          <w:szCs w:val="24"/>
        </w:rPr>
        <w:t>等生態</w:t>
      </w:r>
      <w:r w:rsidR="00DA711A">
        <w:rPr>
          <w:rFonts w:ascii="Times New Roman" w:hAnsi="Times New Roman" w:cs="Times New Roman" w:hint="eastAsia"/>
          <w:kern w:val="0"/>
          <w:szCs w:val="24"/>
        </w:rPr>
        <w:t>系</w:t>
      </w:r>
      <w:r w:rsidR="003D6B08">
        <w:rPr>
          <w:rFonts w:ascii="Times New Roman" w:hAnsi="Times New Roman" w:cs="Times New Roman" w:hint="eastAsia"/>
          <w:kern w:val="0"/>
          <w:szCs w:val="24"/>
        </w:rPr>
        <w:t>的碳倉儲量</w:t>
      </w:r>
      <w:r w:rsidR="003D6B08">
        <w:rPr>
          <w:rFonts w:ascii="Times New Roman" w:hAnsi="Times New Roman" w:cs="Times New Roman" w:hint="eastAsia"/>
          <w:kern w:val="0"/>
          <w:szCs w:val="24"/>
        </w:rPr>
        <w:t>(carbon inventory)</w:t>
      </w:r>
      <w:r w:rsidR="003D6B08">
        <w:rPr>
          <w:rFonts w:ascii="Times New Roman" w:hAnsi="Times New Roman" w:cs="Times New Roman"/>
          <w:kern w:val="0"/>
          <w:szCs w:val="24"/>
        </w:rPr>
        <w:t>；</w:t>
      </w:r>
      <w:r w:rsidR="001E494F">
        <w:rPr>
          <w:rFonts w:ascii="Times New Roman" w:hAnsi="Times New Roman" w:cs="Times New Roman"/>
          <w:kern w:val="0"/>
          <w:szCs w:val="24"/>
        </w:rPr>
        <w:t>（三）</w:t>
      </w:r>
      <w:r w:rsidR="00DA711A">
        <w:rPr>
          <w:rFonts w:ascii="Times New Roman" w:hAnsi="Times New Roman" w:cs="Times New Roman"/>
          <w:kern w:val="0"/>
          <w:szCs w:val="24"/>
        </w:rPr>
        <w:t>目前全球</w:t>
      </w:r>
      <w:r w:rsidR="001E494F">
        <w:rPr>
          <w:rFonts w:ascii="Times New Roman" w:hAnsi="Times New Roman" w:cs="Times New Roman"/>
          <w:kern w:val="0"/>
          <w:szCs w:val="24"/>
        </w:rPr>
        <w:t>碳預算盤點中並沒有把海岸生態系的</w:t>
      </w:r>
      <w:proofErr w:type="gramStart"/>
      <w:r w:rsidR="001E494F">
        <w:rPr>
          <w:rFonts w:ascii="Times New Roman" w:hAnsi="Times New Roman" w:cs="Times New Roman"/>
          <w:kern w:val="0"/>
          <w:szCs w:val="24"/>
        </w:rPr>
        <w:t>排碳量或儲碳量</w:t>
      </w:r>
      <w:proofErr w:type="gramEnd"/>
      <w:r w:rsidR="001E494F">
        <w:rPr>
          <w:rFonts w:ascii="Times New Roman" w:hAnsi="Times New Roman" w:cs="Times New Roman"/>
          <w:kern w:val="0"/>
          <w:szCs w:val="24"/>
        </w:rPr>
        <w:t>明確計入，不利於日後氣候治理；（四）這些海岸</w:t>
      </w:r>
      <w:proofErr w:type="gramStart"/>
      <w:r w:rsidR="001E494F">
        <w:rPr>
          <w:rFonts w:ascii="Times New Roman" w:hAnsi="Times New Roman" w:cs="Times New Roman"/>
          <w:kern w:val="0"/>
          <w:szCs w:val="24"/>
        </w:rPr>
        <w:t>生態系</w:t>
      </w:r>
      <w:r w:rsidR="00FB436B">
        <w:rPr>
          <w:rFonts w:ascii="Times New Roman" w:hAnsi="Times New Roman" w:cs="Times New Roman"/>
          <w:kern w:val="0"/>
          <w:szCs w:val="24"/>
        </w:rPr>
        <w:t>正</w:t>
      </w:r>
      <w:r w:rsidR="001E494F">
        <w:rPr>
          <w:rFonts w:ascii="Times New Roman" w:hAnsi="Times New Roman" w:cs="Times New Roman"/>
          <w:kern w:val="0"/>
          <w:szCs w:val="24"/>
        </w:rPr>
        <w:t>日益</w:t>
      </w:r>
      <w:proofErr w:type="gramEnd"/>
      <w:r w:rsidR="001E494F">
        <w:rPr>
          <w:rFonts w:ascii="Times New Roman" w:hAnsi="Times New Roman" w:cs="Times New Roman"/>
          <w:kern w:val="0"/>
          <w:szCs w:val="24"/>
        </w:rPr>
        <w:t>受到破壞</w:t>
      </w:r>
      <w:r w:rsidR="00FB436B">
        <w:rPr>
          <w:rFonts w:ascii="Times New Roman" w:hAnsi="Times New Roman" w:cs="Times New Roman"/>
          <w:kern w:val="0"/>
          <w:szCs w:val="24"/>
        </w:rPr>
        <w:t>與損失中</w:t>
      </w:r>
      <w:r w:rsidR="00CB0D9B">
        <w:rPr>
          <w:rFonts w:ascii="Times New Roman" w:hAnsi="Times New Roman" w:cs="Times New Roman" w:hint="eastAsia"/>
          <w:kern w:val="0"/>
          <w:szCs w:val="24"/>
        </w:rPr>
        <w:t>(</w:t>
      </w:r>
      <w:r w:rsidR="00CB0D9B" w:rsidRPr="00CB0D9B">
        <w:rPr>
          <w:rFonts w:ascii="Times New Roman" w:hAnsi="Times New Roman" w:cs="Times New Roman"/>
          <w:color w:val="000000"/>
          <w:kern w:val="0"/>
          <w:szCs w:val="18"/>
        </w:rPr>
        <w:t xml:space="preserve">Hamilton and </w:t>
      </w:r>
      <w:proofErr w:type="spellStart"/>
      <w:r w:rsidR="00CB0D9B" w:rsidRPr="00CB0D9B">
        <w:rPr>
          <w:rFonts w:ascii="Times New Roman" w:hAnsi="Times New Roman" w:cs="Times New Roman"/>
          <w:color w:val="000000"/>
          <w:kern w:val="0"/>
          <w:szCs w:val="18"/>
        </w:rPr>
        <w:t>Friess</w:t>
      </w:r>
      <w:proofErr w:type="spellEnd"/>
      <w:r w:rsidR="00CB0D9B" w:rsidRPr="00CB0D9B">
        <w:rPr>
          <w:rFonts w:ascii="Times New Roman" w:hAnsi="Times New Roman" w:cs="Times New Roman"/>
          <w:color w:val="000000"/>
          <w:kern w:val="0"/>
          <w:szCs w:val="18"/>
        </w:rPr>
        <w:t>, 2018</w:t>
      </w:r>
      <w:r w:rsidR="009E564B">
        <w:rPr>
          <w:rFonts w:ascii="Times New Roman" w:hAnsi="Times New Roman" w:cs="Times New Roman"/>
          <w:color w:val="000000"/>
          <w:kern w:val="0"/>
          <w:szCs w:val="18"/>
        </w:rPr>
        <w:t xml:space="preserve">; </w:t>
      </w:r>
      <w:r w:rsidR="009E564B">
        <w:rPr>
          <w:rFonts w:ascii="Arial" w:hAnsi="Arial" w:cs="Arial"/>
          <w:color w:val="222222"/>
          <w:sz w:val="20"/>
          <w:szCs w:val="20"/>
          <w:shd w:val="clear" w:color="auto" w:fill="FFFFFF"/>
        </w:rPr>
        <w:t>Bryan-Brown et al., 2020</w:t>
      </w:r>
      <w:proofErr w:type="gramStart"/>
      <w:r w:rsidR="00CB0D9B" w:rsidRPr="00CB0D9B">
        <w:rPr>
          <w:rFonts w:ascii="Times New Roman" w:hAnsi="Times New Roman" w:cs="Times New Roman"/>
          <w:color w:val="000000"/>
          <w:kern w:val="0"/>
          <w:szCs w:val="18"/>
        </w:rPr>
        <w:t>)</w:t>
      </w:r>
      <w:r w:rsidR="001E494F">
        <w:rPr>
          <w:rFonts w:ascii="Times New Roman" w:hAnsi="Times New Roman" w:cs="Times New Roman"/>
          <w:kern w:val="0"/>
          <w:szCs w:val="24"/>
        </w:rPr>
        <w:t>，</w:t>
      </w:r>
      <w:proofErr w:type="gramEnd"/>
      <w:r w:rsidR="001E494F">
        <w:rPr>
          <w:rFonts w:ascii="Times New Roman" w:hAnsi="Times New Roman" w:cs="Times New Roman"/>
          <w:kern w:val="0"/>
          <w:szCs w:val="24"/>
        </w:rPr>
        <w:t>有必要</w:t>
      </w:r>
      <w:r w:rsidR="009E564B">
        <w:rPr>
          <w:rFonts w:ascii="Times New Roman" w:hAnsi="Times New Roman" w:cs="Times New Roman"/>
          <w:kern w:val="0"/>
          <w:szCs w:val="24"/>
        </w:rPr>
        <w:t>加強</w:t>
      </w:r>
      <w:r w:rsidR="001E494F">
        <w:rPr>
          <w:rFonts w:ascii="Times New Roman" w:hAnsi="Times New Roman" w:cs="Times New Roman"/>
          <w:kern w:val="0"/>
          <w:szCs w:val="24"/>
        </w:rPr>
        <w:t>保育</w:t>
      </w:r>
      <w:r w:rsidR="00FB436B">
        <w:rPr>
          <w:rFonts w:ascii="Times New Roman" w:hAnsi="Times New Roman" w:cs="Times New Roman"/>
          <w:kern w:val="0"/>
          <w:szCs w:val="24"/>
        </w:rPr>
        <w:t>及</w:t>
      </w:r>
      <w:r w:rsidR="001E494F">
        <w:rPr>
          <w:rFonts w:ascii="Times New Roman" w:hAnsi="Times New Roman" w:cs="Times New Roman"/>
          <w:kern w:val="0"/>
          <w:szCs w:val="24"/>
        </w:rPr>
        <w:t>恢復。</w:t>
      </w:r>
      <w:r w:rsidR="00C17274">
        <w:rPr>
          <w:rFonts w:ascii="Times New Roman" w:hAnsi="Times New Roman" w:cs="Times New Roman"/>
          <w:kern w:val="0"/>
          <w:szCs w:val="24"/>
        </w:rPr>
        <w:t>政策制訂者需認清碳封存牽涉三個主要參數：（一）每年移入</w:t>
      </w:r>
      <w:r w:rsidR="00CB0D9B">
        <w:rPr>
          <w:rFonts w:ascii="Times New Roman" w:hAnsi="Times New Roman" w:cs="Times New Roman"/>
          <w:kern w:val="0"/>
          <w:szCs w:val="24"/>
        </w:rPr>
        <w:t>缺</w:t>
      </w:r>
      <w:r w:rsidR="00C17274">
        <w:rPr>
          <w:rFonts w:ascii="Times New Roman" w:hAnsi="Times New Roman" w:cs="Times New Roman"/>
          <w:kern w:val="0"/>
          <w:szCs w:val="24"/>
        </w:rPr>
        <w:t>氧</w:t>
      </w:r>
      <w:r w:rsidR="00CB0D9B">
        <w:rPr>
          <w:rFonts w:ascii="Times New Roman" w:hAnsi="Times New Roman" w:cs="Times New Roman" w:hint="eastAsia"/>
          <w:kern w:val="0"/>
          <w:szCs w:val="24"/>
        </w:rPr>
        <w:t>(a</w:t>
      </w:r>
      <w:r w:rsidR="00CB0D9B">
        <w:rPr>
          <w:rFonts w:ascii="Times New Roman" w:hAnsi="Times New Roman" w:cs="Times New Roman"/>
          <w:kern w:val="0"/>
          <w:szCs w:val="24"/>
        </w:rPr>
        <w:t>naerobic)</w:t>
      </w:r>
      <w:r w:rsidR="00CB0D9B">
        <w:rPr>
          <w:rFonts w:ascii="Times New Roman" w:hAnsi="Times New Roman" w:cs="Times New Roman"/>
          <w:kern w:val="0"/>
          <w:szCs w:val="24"/>
        </w:rPr>
        <w:t>環境中土壤與沈積物</w:t>
      </w:r>
      <w:proofErr w:type="gramStart"/>
      <w:r w:rsidR="00C17274">
        <w:rPr>
          <w:rFonts w:ascii="Times New Roman" w:hAnsi="Times New Roman" w:cs="Times New Roman"/>
          <w:kern w:val="0"/>
          <w:szCs w:val="24"/>
        </w:rPr>
        <w:t>的碳通量</w:t>
      </w:r>
      <w:proofErr w:type="gramEnd"/>
      <w:r w:rsidR="00C17274">
        <w:rPr>
          <w:rFonts w:ascii="Times New Roman" w:hAnsi="Times New Roman" w:cs="Times New Roman"/>
          <w:kern w:val="0"/>
          <w:szCs w:val="24"/>
        </w:rPr>
        <w:t>，</w:t>
      </w:r>
      <w:proofErr w:type="gramStart"/>
      <w:r w:rsidR="00C17274">
        <w:rPr>
          <w:rFonts w:ascii="Times New Roman" w:hAnsi="Times New Roman" w:cs="Times New Roman"/>
          <w:kern w:val="0"/>
          <w:szCs w:val="24"/>
        </w:rPr>
        <w:t>在厭養環境</w:t>
      </w:r>
      <w:proofErr w:type="gramEnd"/>
      <w:r w:rsidR="00C17274">
        <w:rPr>
          <w:rFonts w:ascii="Times New Roman" w:hAnsi="Times New Roman" w:cs="Times New Roman"/>
          <w:kern w:val="0"/>
          <w:szCs w:val="24"/>
        </w:rPr>
        <w:t>中該</w:t>
      </w:r>
      <w:proofErr w:type="gramStart"/>
      <w:r w:rsidR="00C17274">
        <w:rPr>
          <w:rFonts w:ascii="Times New Roman" w:hAnsi="Times New Roman" w:cs="Times New Roman"/>
          <w:kern w:val="0"/>
          <w:szCs w:val="24"/>
        </w:rPr>
        <w:t>等碳不再</w:t>
      </w:r>
      <w:proofErr w:type="gramEnd"/>
      <w:r w:rsidR="00C17274">
        <w:rPr>
          <w:rFonts w:ascii="Times New Roman" w:hAnsi="Times New Roman" w:cs="Times New Roman"/>
          <w:kern w:val="0"/>
          <w:szCs w:val="24"/>
        </w:rPr>
        <w:t>被氧化，而能封存於沈積物中；（二）地面上與地面下的生質</w:t>
      </w:r>
      <w:r w:rsidR="00C17274">
        <w:rPr>
          <w:rFonts w:ascii="Times New Roman" w:hAnsi="Times New Roman" w:cs="Times New Roman" w:hint="eastAsia"/>
          <w:kern w:val="0"/>
          <w:szCs w:val="24"/>
        </w:rPr>
        <w:t>(biomass)</w:t>
      </w:r>
      <w:r w:rsidR="00C17274">
        <w:rPr>
          <w:rFonts w:ascii="Times New Roman" w:hAnsi="Times New Roman" w:cs="Times New Roman"/>
          <w:kern w:val="0"/>
          <w:szCs w:val="24"/>
        </w:rPr>
        <w:t>數量；（三）地面以下的</w:t>
      </w:r>
      <w:proofErr w:type="gramStart"/>
      <w:r w:rsidR="00C17274">
        <w:rPr>
          <w:rFonts w:ascii="Times New Roman" w:hAnsi="Times New Roman" w:cs="Times New Roman"/>
          <w:kern w:val="0"/>
          <w:szCs w:val="24"/>
        </w:rPr>
        <w:t>總儲碳量</w:t>
      </w:r>
      <w:proofErr w:type="gramEnd"/>
      <w:r w:rsidR="00C17274">
        <w:rPr>
          <w:rFonts w:ascii="Times New Roman" w:hAnsi="Times New Roman" w:cs="Times New Roman"/>
          <w:kern w:val="0"/>
          <w:szCs w:val="24"/>
        </w:rPr>
        <w:t>是以往歷史封存的總和結果</w:t>
      </w:r>
      <w:r w:rsidR="00CB0D9B">
        <w:rPr>
          <w:rFonts w:ascii="Times New Roman" w:hAnsi="Times New Roman" w:cs="Times New Roman" w:hint="eastAsia"/>
          <w:kern w:val="0"/>
          <w:szCs w:val="24"/>
        </w:rPr>
        <w:t>(</w:t>
      </w:r>
      <w:proofErr w:type="spellStart"/>
      <w:r w:rsidR="00CB0D9B" w:rsidRPr="00CB0D9B">
        <w:rPr>
          <w:rFonts w:ascii="Times New Roman" w:hAnsi="Times New Roman" w:cs="Times New Roman"/>
          <w:kern w:val="0"/>
          <w:szCs w:val="24"/>
        </w:rPr>
        <w:t>Sifleet</w:t>
      </w:r>
      <w:proofErr w:type="spellEnd"/>
      <w:r w:rsidR="00CB0D9B" w:rsidRPr="00CB0D9B">
        <w:rPr>
          <w:rFonts w:ascii="Times New Roman" w:hAnsi="Times New Roman" w:cs="Times New Roman"/>
          <w:kern w:val="0"/>
          <w:szCs w:val="24"/>
        </w:rPr>
        <w:t xml:space="preserve"> et al., 2011)</w:t>
      </w:r>
      <w:r w:rsidR="00C17274">
        <w:rPr>
          <w:rFonts w:ascii="Times New Roman" w:hAnsi="Times New Roman" w:cs="Times New Roman"/>
          <w:kern w:val="0"/>
          <w:szCs w:val="24"/>
        </w:rPr>
        <w:t>。</w:t>
      </w:r>
      <w:r w:rsidR="009E564B">
        <w:rPr>
          <w:rFonts w:ascii="Times New Roman" w:hAnsi="Times New Roman" w:cs="Times New Roman"/>
          <w:kern w:val="0"/>
          <w:szCs w:val="24"/>
        </w:rPr>
        <w:t>經過近十年的比較研究，學者建議紅樹林</w:t>
      </w:r>
      <w:proofErr w:type="gramStart"/>
      <w:r w:rsidR="009E564B">
        <w:rPr>
          <w:rFonts w:ascii="Times New Roman" w:hAnsi="Times New Roman" w:cs="Times New Roman"/>
          <w:kern w:val="0"/>
          <w:szCs w:val="24"/>
        </w:rPr>
        <w:t>的儲碳增進</w:t>
      </w:r>
      <w:proofErr w:type="gramEnd"/>
      <w:r w:rsidR="009E564B">
        <w:rPr>
          <w:rFonts w:ascii="Times New Roman" w:hAnsi="Times New Roman" w:cs="Times New Roman"/>
          <w:kern w:val="0"/>
          <w:szCs w:val="24"/>
        </w:rPr>
        <w:t>是國家層級最有效益</w:t>
      </w:r>
      <w:proofErr w:type="gramStart"/>
      <w:r w:rsidR="009E564B">
        <w:rPr>
          <w:rFonts w:ascii="Times New Roman" w:hAnsi="Times New Roman" w:cs="Times New Roman"/>
          <w:kern w:val="0"/>
          <w:szCs w:val="24"/>
        </w:rPr>
        <w:t>的減碳途徑</w:t>
      </w:r>
      <w:proofErr w:type="gramEnd"/>
      <w:r w:rsidR="009E564B">
        <w:rPr>
          <w:rFonts w:ascii="Times New Roman" w:hAnsi="Times New Roman" w:cs="Times New Roman"/>
          <w:kern w:val="0"/>
          <w:szCs w:val="24"/>
        </w:rPr>
        <w:t>之自然解方</w:t>
      </w:r>
      <w:r w:rsidR="009E564B">
        <w:rPr>
          <w:rFonts w:ascii="Times New Roman" w:hAnsi="Times New Roman" w:cs="Times New Roman" w:hint="eastAsia"/>
          <w:kern w:val="0"/>
          <w:szCs w:val="24"/>
        </w:rPr>
        <w:t>(</w:t>
      </w:r>
      <w:proofErr w:type="spellStart"/>
      <w:r w:rsidR="009E564B"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>Taillardat</w:t>
      </w:r>
      <w:proofErr w:type="spellEnd"/>
      <w:r w:rsidR="009E564B">
        <w:rPr>
          <w:rFonts w:ascii="Times New Roman" w:hAnsi="Times New Roman" w:cs="Times New Roman"/>
          <w:color w:val="000000"/>
          <w:szCs w:val="29"/>
          <w:shd w:val="clear" w:color="auto" w:fill="FFFFFF"/>
        </w:rPr>
        <w:t xml:space="preserve"> et al., 2018)</w:t>
      </w:r>
      <w:r w:rsidR="009E564B">
        <w:rPr>
          <w:rFonts w:ascii="Times New Roman" w:hAnsi="Times New Roman" w:cs="Times New Roman"/>
          <w:color w:val="000000"/>
          <w:szCs w:val="29"/>
          <w:shd w:val="clear" w:color="auto" w:fill="FFFFFF"/>
        </w:rPr>
        <w:t>。</w:t>
      </w:r>
    </w:p>
    <w:p w:rsidR="00856694" w:rsidRDefault="00856694" w:rsidP="001B409D">
      <w:pPr>
        <w:ind w:firstLineChars="152" w:firstLine="365"/>
        <w:rPr>
          <w:rFonts w:ascii="Times New Roman" w:hAnsi="Times New Roman" w:cs="Times New Roman"/>
          <w:color w:val="000000"/>
          <w:szCs w:val="29"/>
          <w:shd w:val="clear" w:color="auto" w:fill="FFFFFF"/>
        </w:rPr>
      </w:pPr>
    </w:p>
    <w:p w:rsidR="00856694" w:rsidRPr="006A1F23" w:rsidRDefault="00856694" w:rsidP="001B409D">
      <w:pPr>
        <w:ind w:firstLineChars="152" w:firstLine="365"/>
        <w:rPr>
          <w:rFonts w:asciiTheme="minorEastAsia" w:hAnsiTheme="minorEastAsia" w:cs="Arial"/>
          <w:szCs w:val="24"/>
          <w:bdr w:val="none" w:sz="0" w:space="0" w:color="auto" w:frame="1"/>
          <w:shd w:val="clear" w:color="auto" w:fill="FEFEFE"/>
        </w:rPr>
      </w:pPr>
      <w:r w:rsidRPr="00953B5B">
        <w:rPr>
          <w:rFonts w:ascii="Times New Roman" w:hAnsi="Times New Roman" w:cs="Times New Roman"/>
          <w:color w:val="222222"/>
          <w:szCs w:val="24"/>
          <w:shd w:val="clear" w:color="auto" w:fill="FFFFFF"/>
        </w:rPr>
        <w:t>Lovelock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等人</w:t>
      </w:r>
      <w:proofErr w:type="gramStart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（</w:t>
      </w:r>
      <w:proofErr w:type="gramEnd"/>
      <w:r w:rsidRPr="00953B5B">
        <w:rPr>
          <w:rFonts w:ascii="Times New Roman" w:hAnsi="Times New Roman" w:cs="Times New Roman"/>
          <w:color w:val="222222"/>
          <w:szCs w:val="24"/>
          <w:shd w:val="clear" w:color="auto" w:fill="FFFFFF"/>
        </w:rPr>
        <w:t>Lovelock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et al., 2020</w:t>
      </w:r>
      <w:proofErr w:type="gramStart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）</w:t>
      </w:r>
      <w:proofErr w:type="gramEnd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比較了三種植物生態系</w:t>
      </w:r>
      <w:proofErr w:type="gramStart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的藍碳年度</w:t>
      </w:r>
      <w:proofErr w:type="gramEnd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埋藏量（圖</w:t>
      </w:r>
      <w:r w:rsidR="00A16AAB">
        <w:rPr>
          <w:rFonts w:ascii="Times New Roman" w:hAnsi="Times New Roman" w:cs="Times New Roman"/>
          <w:color w:val="222222"/>
          <w:szCs w:val="24"/>
          <w:shd w:val="clear" w:color="auto" w:fill="FFFFFF"/>
        </w:rPr>
        <w:t>一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），顯示紅樹林的</w:t>
      </w:r>
      <w:r w:rsidR="00A16AAB">
        <w:rPr>
          <w:rFonts w:ascii="Times New Roman" w:hAnsi="Times New Roman" w:cs="Times New Roman"/>
          <w:color w:val="222222"/>
          <w:szCs w:val="24"/>
          <w:shd w:val="clear" w:color="auto" w:fill="FFFFFF"/>
        </w:rPr>
        <w:t>碳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埋藏量能是最高的（深藍與淺藍分別代表低估與高估值），紅樹林的全球年度</w:t>
      </w:r>
      <w:proofErr w:type="gramStart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埋藏探量可</w:t>
      </w:r>
      <w:proofErr w:type="gramEnd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達</w:t>
      </w:r>
      <w:r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23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–</w:t>
      </w:r>
      <w:proofErr w:type="gramEnd"/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33Tg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。</w:t>
      </w:r>
      <w:r w:rsidR="00DB223C">
        <w:rPr>
          <w:rFonts w:ascii="Times New Roman" w:hAnsi="Times New Roman" w:cs="Times New Roman"/>
          <w:color w:val="222222"/>
          <w:szCs w:val="24"/>
          <w:shd w:val="clear" w:color="auto" w:fill="FFFFFF"/>
        </w:rPr>
        <w:t>就每公頃的碳移除量也是紅樹林最有效率，每公頃的</w:t>
      </w:r>
      <w:proofErr w:type="gramStart"/>
      <w:r w:rsidR="00DB223C">
        <w:rPr>
          <w:rFonts w:ascii="Times New Roman" w:hAnsi="Times New Roman" w:cs="Times New Roman"/>
          <w:color w:val="222222"/>
          <w:szCs w:val="24"/>
          <w:shd w:val="clear" w:color="auto" w:fill="FFFFFF"/>
        </w:rPr>
        <w:t>年度碳通量</w:t>
      </w:r>
      <w:proofErr w:type="gramEnd"/>
      <w:r w:rsidR="00DB223C">
        <w:rPr>
          <w:rFonts w:ascii="Times New Roman" w:hAnsi="Times New Roman" w:cs="Times New Roman"/>
          <w:color w:val="222222"/>
          <w:szCs w:val="24"/>
          <w:shd w:val="clear" w:color="auto" w:fill="FFFFFF"/>
        </w:rPr>
        <w:t>可達</w:t>
      </w:r>
      <w:r w:rsidR="00A16AAB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9</w:t>
      </w:r>
      <w:r w:rsidR="00A16AAB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公噸</w:t>
      </w:r>
      <w:r w:rsidR="00DB223C">
        <w:rPr>
          <w:rFonts w:ascii="Times New Roman" w:hAnsi="Times New Roman" w:cs="Times New Roman"/>
          <w:color w:val="222222"/>
          <w:szCs w:val="24"/>
          <w:shd w:val="clear" w:color="auto" w:fill="FFFFFF"/>
        </w:rPr>
        <w:t>（圖</w:t>
      </w:r>
      <w:r w:rsidR="00A16AAB">
        <w:rPr>
          <w:rFonts w:ascii="Times New Roman" w:hAnsi="Times New Roman" w:cs="Times New Roman"/>
          <w:color w:val="222222"/>
          <w:szCs w:val="24"/>
          <w:shd w:val="clear" w:color="auto" w:fill="FFFFFF"/>
        </w:rPr>
        <w:t>二）；若以歐盟</w:t>
      </w:r>
      <w:r w:rsidR="009A4DAA">
        <w:rPr>
          <w:rFonts w:ascii="Times New Roman" w:hAnsi="Times New Roman" w:cs="Times New Roman"/>
          <w:color w:val="222222"/>
          <w:szCs w:val="24"/>
          <w:shd w:val="clear" w:color="auto" w:fill="FFFFFF"/>
        </w:rPr>
        <w:t>徵收碳稅各國的平均稅率</w:t>
      </w:r>
      <w:r w:rsidR="00A16AAB">
        <w:rPr>
          <w:rFonts w:ascii="Times New Roman" w:hAnsi="Times New Roman" w:cs="Times New Roman"/>
          <w:color w:val="222222"/>
          <w:szCs w:val="24"/>
          <w:shd w:val="clear" w:color="auto" w:fill="FFFFFF"/>
        </w:rPr>
        <w:t>每公噸</w:t>
      </w:r>
      <w:r w:rsidR="009A4DAA">
        <w:rPr>
          <w:rFonts w:ascii="Times New Roman" w:hAnsi="Times New Roman" w:cs="Times New Roman"/>
          <w:color w:val="222222"/>
          <w:szCs w:val="24"/>
          <w:shd w:val="clear" w:color="auto" w:fill="FFFFFF"/>
        </w:rPr>
        <w:t>42.77</w:t>
      </w:r>
      <w:r w:rsidR="00A16AAB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歐</w:t>
      </w:r>
      <w:r w:rsidR="00A16AAB">
        <w:rPr>
          <w:rFonts w:ascii="Times New Roman" w:hAnsi="Times New Roman" w:cs="Times New Roman"/>
          <w:color w:val="222222"/>
          <w:szCs w:val="24"/>
          <w:shd w:val="clear" w:color="auto" w:fill="FFFFFF"/>
        </w:rPr>
        <w:t>元</w:t>
      </w:r>
      <w:r w:rsidR="009A4DAA">
        <w:rPr>
          <w:rFonts w:ascii="Times New Roman" w:hAnsi="Times New Roman" w:cs="Times New Roman"/>
          <w:color w:val="222222"/>
          <w:szCs w:val="24"/>
          <w:shd w:val="clear" w:color="auto" w:fill="FFFFFF"/>
        </w:rPr>
        <w:t>計價</w:t>
      </w:r>
      <w:r w:rsidR="009A4DAA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(2022-04-01)</w:t>
      </w:r>
      <w:r w:rsidR="009A4DAA">
        <w:rPr>
          <w:rFonts w:ascii="Times New Roman" w:hAnsi="Times New Roman" w:cs="Times New Roman"/>
          <w:color w:val="222222"/>
          <w:szCs w:val="24"/>
          <w:shd w:val="clear" w:color="auto" w:fill="FFFFFF"/>
        </w:rPr>
        <w:t>，</w:t>
      </w:r>
      <w:proofErr w:type="gramStart"/>
      <w:r w:rsidR="009A4DAA" w:rsidRPr="006A1F23">
        <w:rPr>
          <w:rFonts w:asciiTheme="minorEastAsia" w:hAnsiTheme="minorEastAsia" w:cs="Times New Roman"/>
          <w:szCs w:val="24"/>
          <w:shd w:val="clear" w:color="auto" w:fill="FFFFFF"/>
        </w:rPr>
        <w:t>（</w:t>
      </w:r>
      <w:proofErr w:type="gramEnd"/>
      <w:r w:rsidR="009A4DAA" w:rsidRPr="006A1F23">
        <w:rPr>
          <w:rFonts w:asciiTheme="minorEastAsia" w:hAnsiTheme="minorEastAsia" w:cs="Arial"/>
          <w:szCs w:val="24"/>
          <w:shd w:val="clear" w:color="auto" w:fill="FEFEFE"/>
        </w:rPr>
        <w:t>Source: The World Bank, “Carbon Pricing Dashboard,” last updated Apr. 1,　2022,</w:t>
      </w:r>
      <w:proofErr w:type="gramStart"/>
      <w:r w:rsidR="009A4DAA" w:rsidRPr="006A1F23">
        <w:rPr>
          <w:rFonts w:asciiTheme="minorEastAsia" w:hAnsiTheme="minorEastAsia" w:cs="Arial"/>
          <w:szCs w:val="24"/>
          <w:shd w:val="clear" w:color="auto" w:fill="FEFEFE"/>
        </w:rPr>
        <w:t> </w:t>
      </w:r>
      <w:r w:rsidR="006A1F23">
        <w:rPr>
          <w:rFonts w:asciiTheme="minorEastAsia" w:hAnsiTheme="minorEastAsia" w:cs="Arial"/>
          <w:szCs w:val="24"/>
          <w:shd w:val="clear" w:color="auto" w:fill="FEFEFE"/>
        </w:rPr>
        <w:t xml:space="preserve"> </w:t>
      </w:r>
      <w:proofErr w:type="gramEnd"/>
      <w:r w:rsidR="009A4DAA" w:rsidRPr="006A1F23">
        <w:rPr>
          <w:rFonts w:asciiTheme="minorEastAsia" w:hAnsiTheme="minorEastAsia" w:cs="Arial"/>
          <w:szCs w:val="24"/>
          <w:bdr w:val="none" w:sz="0" w:space="0" w:color="auto" w:frame="1"/>
          <w:shd w:val="clear" w:color="auto" w:fill="FEFEFE"/>
        </w:rPr>
        <w:fldChar w:fldCharType="begin"/>
      </w:r>
      <w:r w:rsidR="009A4DAA" w:rsidRPr="006A1F23">
        <w:rPr>
          <w:rFonts w:asciiTheme="minorEastAsia" w:hAnsiTheme="minorEastAsia" w:cs="Arial"/>
          <w:szCs w:val="24"/>
          <w:bdr w:val="none" w:sz="0" w:space="0" w:color="auto" w:frame="1"/>
          <w:shd w:val="clear" w:color="auto" w:fill="FEFEFE"/>
        </w:rPr>
        <w:instrText xml:space="preserve"> HYPERLINK "https://www.carbonpricingdashboard.worldbank.org/map_data" </w:instrText>
      </w:r>
      <w:r w:rsidR="009A4DAA" w:rsidRPr="006A1F23">
        <w:rPr>
          <w:rFonts w:asciiTheme="minorEastAsia" w:hAnsiTheme="minorEastAsia" w:cs="Arial"/>
          <w:szCs w:val="24"/>
          <w:bdr w:val="none" w:sz="0" w:space="0" w:color="auto" w:frame="1"/>
          <w:shd w:val="clear" w:color="auto" w:fill="FEFEFE"/>
        </w:rPr>
        <w:fldChar w:fldCharType="separate"/>
      </w:r>
      <w:r w:rsidR="009A4DAA" w:rsidRPr="006A1F23">
        <w:rPr>
          <w:rStyle w:val="a3"/>
          <w:rFonts w:asciiTheme="minorEastAsia" w:hAnsiTheme="minorEastAsia" w:cs="Arial"/>
          <w:color w:val="auto"/>
          <w:szCs w:val="24"/>
          <w:bdr w:val="none" w:sz="0" w:space="0" w:color="auto" w:frame="1"/>
          <w:shd w:val="clear" w:color="auto" w:fill="FEFEFE"/>
        </w:rPr>
        <w:t>https://www.carbonpricingdashboard.worldbank.org/map_data</w:t>
      </w:r>
      <w:r w:rsidR="009A4DAA" w:rsidRPr="006A1F23">
        <w:rPr>
          <w:rFonts w:asciiTheme="minorEastAsia" w:hAnsiTheme="minorEastAsia" w:cs="Arial"/>
          <w:szCs w:val="24"/>
          <w:bdr w:val="none" w:sz="0" w:space="0" w:color="auto" w:frame="1"/>
          <w:shd w:val="clear" w:color="auto" w:fill="FEFEFE"/>
        </w:rPr>
        <w:fldChar w:fldCharType="end"/>
      </w:r>
      <w:r w:rsidR="009A4DAA" w:rsidRPr="006A1F23">
        <w:rPr>
          <w:rFonts w:asciiTheme="minorEastAsia" w:hAnsiTheme="minorEastAsia" w:cs="Arial"/>
          <w:szCs w:val="24"/>
          <w:shd w:val="clear" w:color="auto" w:fill="FEFEFE"/>
        </w:rPr>
        <w:t>）</w:t>
      </w:r>
      <w:r w:rsidR="009A4DAA" w:rsidRPr="006A1F23">
        <w:rPr>
          <w:rFonts w:asciiTheme="minorEastAsia" w:hAnsiTheme="minorEastAsia" w:cs="Arial" w:hint="eastAsia"/>
          <w:szCs w:val="24"/>
          <w:shd w:val="clear" w:color="auto" w:fill="FEFEFE"/>
        </w:rPr>
        <w:t>，</w:t>
      </w:r>
      <w:r w:rsidR="009A4DAA" w:rsidRPr="006A1F23">
        <w:rPr>
          <w:rFonts w:asciiTheme="minorEastAsia" w:hAnsiTheme="minorEastAsia" w:cs="Times New Roman"/>
          <w:szCs w:val="24"/>
          <w:shd w:val="clear" w:color="auto" w:fill="FFFFFF"/>
        </w:rPr>
        <w:t>折合約為新台幣</w:t>
      </w:r>
      <w:r w:rsidR="009A4DAA" w:rsidRPr="006A1F23">
        <w:rPr>
          <w:rFonts w:asciiTheme="minorEastAsia" w:hAnsiTheme="minorEastAsia" w:cs="Times New Roman" w:hint="eastAsia"/>
          <w:szCs w:val="24"/>
          <w:shd w:val="clear" w:color="auto" w:fill="FFFFFF"/>
        </w:rPr>
        <w:t>11,960</w:t>
      </w:r>
      <w:r w:rsidR="009A4DAA" w:rsidRPr="006A1F23">
        <w:rPr>
          <w:rFonts w:asciiTheme="minorEastAsia" w:hAnsiTheme="minorEastAsia" w:cs="Times New Roman"/>
          <w:szCs w:val="24"/>
          <w:shd w:val="clear" w:color="auto" w:fill="FFFFFF"/>
        </w:rPr>
        <w:t>元，</w:t>
      </w:r>
      <w:r w:rsidR="009A4DAA" w:rsidRPr="006A1F23">
        <w:rPr>
          <w:rFonts w:asciiTheme="minorEastAsia" w:hAnsiTheme="minorEastAsia" w:cs="Times New Roman" w:hint="eastAsia"/>
          <w:szCs w:val="24"/>
          <w:shd w:val="clear" w:color="auto" w:fill="FFFFFF"/>
        </w:rPr>
        <w:t>相較農業土壤的</w:t>
      </w:r>
      <w:r w:rsidR="006A1F23" w:rsidRPr="006A1F23">
        <w:rPr>
          <w:rFonts w:asciiTheme="minorEastAsia" w:hAnsiTheme="minorEastAsia" w:cs="Times New Roman" w:hint="eastAsia"/>
          <w:szCs w:val="24"/>
          <w:shd w:val="clear" w:color="auto" w:fill="FFFFFF"/>
        </w:rPr>
        <w:t>最高</w:t>
      </w:r>
      <w:r w:rsidR="009A4DAA" w:rsidRPr="006A1F23">
        <w:rPr>
          <w:rFonts w:asciiTheme="minorEastAsia" w:hAnsiTheme="minorEastAsia" w:cs="Times New Roman" w:hint="eastAsia"/>
          <w:szCs w:val="24"/>
          <w:shd w:val="clear" w:color="auto" w:fill="FFFFFF"/>
        </w:rPr>
        <w:t>碳封存量</w:t>
      </w:r>
      <w:r w:rsidR="006A1F23" w:rsidRPr="006A1F23">
        <w:rPr>
          <w:rFonts w:asciiTheme="minorEastAsia" w:hAnsiTheme="minorEastAsia" w:cs="Times New Roman" w:hint="eastAsia"/>
          <w:szCs w:val="24"/>
          <w:shd w:val="clear" w:color="auto" w:fill="FFFFFF"/>
        </w:rPr>
        <w:t>每公頃</w:t>
      </w:r>
      <w:r w:rsidR="006A1F23" w:rsidRPr="006A1F23">
        <w:rPr>
          <w:rFonts w:asciiTheme="minorEastAsia" w:hAnsiTheme="minorEastAsia" w:hint="eastAsia"/>
          <w:szCs w:val="24"/>
        </w:rPr>
        <w:t>3.21公噸</w:t>
      </w:r>
      <w:r w:rsidR="006A1F23">
        <w:rPr>
          <w:rFonts w:asciiTheme="minorEastAsia" w:hAnsiTheme="minorEastAsia" w:hint="eastAsia"/>
          <w:szCs w:val="24"/>
        </w:rPr>
        <w:t xml:space="preserve"> </w:t>
      </w:r>
      <w:r w:rsidR="00A16AAB" w:rsidRPr="006A1F23">
        <w:rPr>
          <w:rFonts w:asciiTheme="minorEastAsia" w:hAnsiTheme="minorEastAsia" w:hint="eastAsia"/>
          <w:szCs w:val="24"/>
        </w:rPr>
        <w:t>(</w:t>
      </w:r>
      <w:proofErr w:type="spellStart"/>
      <w:r w:rsidR="00A16AAB" w:rsidRPr="006A1F23">
        <w:rPr>
          <w:rFonts w:asciiTheme="minorEastAsia" w:hAnsiTheme="minorEastAsia" w:hint="eastAsia"/>
          <w:szCs w:val="24"/>
        </w:rPr>
        <w:t>Bolinder</w:t>
      </w:r>
      <w:proofErr w:type="spellEnd"/>
      <w:r w:rsidR="00A16AAB" w:rsidRPr="006A1F23">
        <w:rPr>
          <w:rFonts w:asciiTheme="minorEastAsia" w:hAnsiTheme="minorEastAsia" w:hint="eastAsia"/>
          <w:szCs w:val="24"/>
        </w:rPr>
        <w:t xml:space="preserve"> et al 2020)</w:t>
      </w:r>
      <w:r w:rsidR="006A1F23">
        <w:rPr>
          <w:rFonts w:asciiTheme="minorEastAsia" w:hAnsiTheme="minorEastAsia"/>
          <w:szCs w:val="24"/>
        </w:rPr>
        <w:t xml:space="preserve"> </w:t>
      </w:r>
      <w:r w:rsidR="009A4DAA" w:rsidRPr="006A1F23">
        <w:rPr>
          <w:rFonts w:asciiTheme="minorEastAsia" w:hAnsiTheme="minorEastAsia" w:hint="eastAsia"/>
          <w:szCs w:val="24"/>
        </w:rPr>
        <w:t>所</w:t>
      </w:r>
      <w:r w:rsidR="006A1F23">
        <w:rPr>
          <w:rFonts w:asciiTheme="minorEastAsia" w:hAnsiTheme="minorEastAsia" w:hint="eastAsia"/>
          <w:szCs w:val="24"/>
        </w:rPr>
        <w:t>可衍生</w:t>
      </w:r>
      <w:r w:rsidR="009A4DAA" w:rsidRPr="006A1F23">
        <w:rPr>
          <w:rFonts w:asciiTheme="minorEastAsia" w:hAnsiTheme="minorEastAsia" w:hint="eastAsia"/>
          <w:szCs w:val="24"/>
        </w:rPr>
        <w:t>的碳權</w:t>
      </w:r>
      <w:r w:rsidR="006A1F23">
        <w:rPr>
          <w:rFonts w:asciiTheme="minorEastAsia" w:hAnsiTheme="minorEastAsia" w:hint="eastAsia"/>
          <w:szCs w:val="24"/>
        </w:rPr>
        <w:t>價格</w:t>
      </w:r>
      <w:r w:rsidR="009A4DAA" w:rsidRPr="006A1F23">
        <w:rPr>
          <w:rFonts w:asciiTheme="minorEastAsia" w:hAnsiTheme="minorEastAsia" w:hint="eastAsia"/>
          <w:szCs w:val="24"/>
        </w:rPr>
        <w:t>高出</w:t>
      </w:r>
      <w:r w:rsidR="006A1F23" w:rsidRPr="006A1F23">
        <w:rPr>
          <w:rFonts w:asciiTheme="minorEastAsia" w:hAnsiTheme="minorEastAsia" w:hint="eastAsia"/>
          <w:szCs w:val="24"/>
        </w:rPr>
        <w:t>約</w:t>
      </w:r>
      <w:r w:rsidR="006A1F23">
        <w:rPr>
          <w:rFonts w:asciiTheme="minorEastAsia" w:hAnsiTheme="minorEastAsia" w:hint="eastAsia"/>
          <w:szCs w:val="24"/>
        </w:rPr>
        <w:t>3</w:t>
      </w:r>
      <w:r w:rsidR="006A1F23" w:rsidRPr="006A1F23">
        <w:rPr>
          <w:rFonts w:asciiTheme="minorEastAsia" w:hAnsiTheme="minorEastAsia" w:hint="eastAsia"/>
          <w:szCs w:val="24"/>
        </w:rPr>
        <w:t>倍，顯為更為有利的投資標的。</w:t>
      </w:r>
    </w:p>
    <w:p w:rsidR="00856694" w:rsidRPr="006A1F23" w:rsidRDefault="00856694" w:rsidP="001B409D">
      <w:pPr>
        <w:ind w:firstLineChars="152" w:firstLine="365"/>
        <w:rPr>
          <w:rFonts w:asciiTheme="minorEastAsia" w:hAnsiTheme="minorEastAsia" w:cs="Times New Roman"/>
          <w:szCs w:val="24"/>
          <w:shd w:val="clear" w:color="auto" w:fill="FFFFFF"/>
        </w:rPr>
      </w:pPr>
    </w:p>
    <w:p w:rsidR="00856694" w:rsidRDefault="00856694" w:rsidP="001B409D">
      <w:pPr>
        <w:ind w:firstLineChars="152" w:firstLine="365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noProof/>
          <w:kern w:val="0"/>
          <w:szCs w:val="24"/>
        </w:rPr>
        <w:lastRenderedPageBreak/>
        <w:drawing>
          <wp:inline distT="0" distB="0" distL="0" distR="0">
            <wp:extent cx="1978016" cy="1541800"/>
            <wp:effectExtent l="0" t="0" r="381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in Lovelock 2021 on blue carbon a comparison of annual burial in soi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572" cy="15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3" w:rsidRDefault="00A16AAB" w:rsidP="001B409D">
      <w:pPr>
        <w:ind w:firstLineChars="152" w:firstLine="36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圖一</w:t>
      </w:r>
      <w:r w:rsidR="00856694">
        <w:rPr>
          <w:rFonts w:ascii="Times New Roman" w:hAnsi="Times New Roman" w:cs="Times New Roman"/>
          <w:color w:val="222222"/>
          <w:szCs w:val="24"/>
          <w:shd w:val="clear" w:color="auto" w:fill="FFFFFF"/>
        </w:rPr>
        <w:t>、紅樹林的全球年度埋藏量居於海岸地區植物生態系之冠。本圖取自</w:t>
      </w:r>
      <w:r w:rsidR="00856694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Lovelock et al., 2020.</w:t>
      </w:r>
    </w:p>
    <w:p w:rsidR="00DB223C" w:rsidRDefault="00DB223C" w:rsidP="001B409D">
      <w:pPr>
        <w:ind w:firstLineChars="152" w:firstLine="36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:rsidR="00DB223C" w:rsidRDefault="00DB223C" w:rsidP="001B409D">
      <w:pPr>
        <w:ind w:firstLineChars="152" w:firstLine="36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Cs w:val="24"/>
          <w:shd w:val="clear" w:color="auto" w:fill="FFFFFF"/>
        </w:rPr>
        <w:drawing>
          <wp:inline distT="0" distB="0" distL="0" distR="0">
            <wp:extent cx="2961685" cy="177215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in Lovelock 2021 on blue carbon annual burial comparis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85" cy="17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3C" w:rsidRDefault="00A16AAB" w:rsidP="001B409D">
      <w:pPr>
        <w:ind w:firstLineChars="152" w:firstLine="36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圖二</w:t>
      </w:r>
      <w:r w:rsidR="00DB223C">
        <w:rPr>
          <w:rFonts w:ascii="Times New Roman" w:hAnsi="Times New Roman" w:cs="Times New Roman"/>
          <w:color w:val="222222"/>
          <w:szCs w:val="24"/>
          <w:shd w:val="clear" w:color="auto" w:fill="FFFFFF"/>
        </w:rPr>
        <w:t>、紅樹林復育的年度碳移除量居於海岸地區植物生態系之冠，可達每公頃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9</w:t>
      </w:r>
      <w:proofErr w:type="gramStart"/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百萬</w:t>
      </w:r>
      <w:proofErr w:type="gramEnd"/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公克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(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每公頃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9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公噸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)</w:t>
      </w:r>
      <w:r w:rsidR="00DB223C">
        <w:rPr>
          <w:rFonts w:ascii="Times New Roman" w:hAnsi="Times New Roman" w:cs="Times New Roman"/>
          <w:color w:val="222222"/>
          <w:szCs w:val="24"/>
          <w:shd w:val="clear" w:color="auto" w:fill="FFFFFF"/>
        </w:rPr>
        <w:t>。本圖取自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Lovelock et al., 2020</w:t>
      </w:r>
      <w:r w:rsidR="00DB223C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DB223C" w:rsidRDefault="00DB223C" w:rsidP="001B409D">
      <w:pPr>
        <w:ind w:firstLineChars="152" w:firstLine="36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:rsidR="00856694" w:rsidRDefault="00856694" w:rsidP="001B409D">
      <w:pPr>
        <w:ind w:firstLineChars="152" w:firstLine="365"/>
        <w:rPr>
          <w:rFonts w:ascii="Times New Roman" w:hAnsi="Times New Roman" w:cs="Times New Roman"/>
          <w:szCs w:val="24"/>
        </w:rPr>
      </w:pPr>
    </w:p>
    <w:p w:rsidR="00C17274" w:rsidRPr="009E564B" w:rsidRDefault="000F520E" w:rsidP="001B409D">
      <w:pPr>
        <w:rPr>
          <w:rFonts w:ascii="Times New Roman" w:hAnsi="Times New Roman" w:cs="Times New Roman"/>
          <w:b/>
          <w:sz w:val="28"/>
          <w:szCs w:val="24"/>
        </w:rPr>
      </w:pPr>
      <w:r w:rsidRPr="009E564B">
        <w:rPr>
          <w:rFonts w:ascii="Times New Roman" w:hAnsi="Times New Roman" w:cs="Times New Roman" w:hint="eastAsia"/>
          <w:b/>
          <w:sz w:val="28"/>
          <w:szCs w:val="24"/>
        </w:rPr>
        <w:t>紅樹林</w:t>
      </w:r>
      <w:r w:rsidR="009E564B">
        <w:rPr>
          <w:rFonts w:ascii="Times New Roman" w:hAnsi="Times New Roman" w:cs="Times New Roman" w:hint="eastAsia"/>
          <w:b/>
          <w:sz w:val="28"/>
          <w:szCs w:val="24"/>
        </w:rPr>
        <w:t>的</w:t>
      </w:r>
      <w:r w:rsidRPr="009E564B">
        <w:rPr>
          <w:rFonts w:ascii="Times New Roman" w:hAnsi="Times New Roman" w:cs="Times New Roman" w:hint="eastAsia"/>
          <w:b/>
          <w:sz w:val="28"/>
          <w:szCs w:val="24"/>
        </w:rPr>
        <w:t>碳儲量</w:t>
      </w:r>
      <w:r w:rsidR="009E564B">
        <w:rPr>
          <w:rFonts w:ascii="Times New Roman" w:hAnsi="Times New Roman" w:cs="Times New Roman" w:hint="eastAsia"/>
          <w:b/>
          <w:sz w:val="28"/>
          <w:szCs w:val="24"/>
        </w:rPr>
        <w:t>與碳管理</w:t>
      </w:r>
    </w:p>
    <w:p w:rsidR="000F520E" w:rsidRDefault="000F520E" w:rsidP="001B409D">
      <w:pPr>
        <w:ind w:firstLineChars="152" w:firstLine="365"/>
        <w:rPr>
          <w:rFonts w:ascii="Times New Roman" w:hAnsi="Times New Roman" w:cs="Times New Roman"/>
          <w:szCs w:val="24"/>
        </w:rPr>
      </w:pPr>
    </w:p>
    <w:p w:rsidR="000F520E" w:rsidRDefault="000F520E" w:rsidP="001B409D">
      <w:pPr>
        <w:ind w:firstLineChars="152" w:firstLine="365"/>
        <w:rPr>
          <w:rFonts w:ascii="Times New Roman" w:hAnsi="Times New Roman" w:cs="Times New Roman"/>
          <w:kern w:val="0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Alongi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 (2020)</w:t>
      </w:r>
      <w:r>
        <w:rPr>
          <w:rFonts w:ascii="Times New Roman" w:hAnsi="Times New Roman" w:cs="Times New Roman"/>
          <w:szCs w:val="24"/>
        </w:rPr>
        <w:t>整理了全球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個國家、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>26</w:t>
      </w:r>
      <w:r>
        <w:rPr>
          <w:rFonts w:ascii="Times New Roman" w:hAnsi="Times New Roman" w:cs="Times New Roman"/>
          <w:szCs w:val="24"/>
        </w:rPr>
        <w:t>個測量的</w:t>
      </w:r>
      <w:proofErr w:type="gramStart"/>
      <w:r>
        <w:rPr>
          <w:rFonts w:ascii="Times New Roman" w:hAnsi="Times New Roman" w:cs="Times New Roman"/>
          <w:szCs w:val="24"/>
        </w:rPr>
        <w:t>紅樹林碳儲數據</w:t>
      </w:r>
      <w:proofErr w:type="gramEnd"/>
      <w:r>
        <w:rPr>
          <w:rFonts w:ascii="Times New Roman" w:hAnsi="Times New Roman" w:cs="Times New Roman"/>
          <w:szCs w:val="24"/>
        </w:rPr>
        <w:t>，不同地點的碳儲量變化很大，高低之間超過一個數量級。茲以東南亞數據為例（表一），</w:t>
      </w:r>
      <w:r w:rsidR="00090D3C">
        <w:rPr>
          <w:rFonts w:ascii="Times New Roman" w:hAnsi="Times New Roman" w:cs="Times New Roman"/>
          <w:szCs w:val="24"/>
        </w:rPr>
        <w:t>八個國家紅樹林的碳儲存能力介於每公頃</w:t>
      </w:r>
      <w:r w:rsidR="00090D3C">
        <w:rPr>
          <w:rFonts w:ascii="Times New Roman" w:hAnsi="Times New Roman" w:cs="Times New Roman" w:hint="eastAsia"/>
          <w:szCs w:val="24"/>
        </w:rPr>
        <w:t>206</w:t>
      </w:r>
      <w:r w:rsidR="00090D3C">
        <w:rPr>
          <w:rFonts w:ascii="Times New Roman" w:hAnsi="Times New Roman" w:cs="Times New Roman" w:hint="eastAsia"/>
          <w:szCs w:val="24"/>
        </w:rPr>
        <w:t xml:space="preserve">　</w:t>
      </w:r>
      <w:proofErr w:type="gramStart"/>
      <w:r w:rsidR="00090D3C">
        <w:rPr>
          <w:rFonts w:ascii="Times New Roman" w:hAnsi="Times New Roman" w:cs="Times New Roman"/>
          <w:szCs w:val="24"/>
        </w:rPr>
        <w:t>–</w:t>
      </w:r>
      <w:proofErr w:type="gramEnd"/>
      <w:r w:rsidR="00090D3C">
        <w:rPr>
          <w:rFonts w:ascii="Times New Roman" w:hAnsi="Times New Roman" w:cs="Times New Roman" w:hint="eastAsia"/>
          <w:szCs w:val="24"/>
        </w:rPr>
        <w:t xml:space="preserve">　</w:t>
      </w:r>
      <w:r w:rsidR="00090D3C">
        <w:rPr>
          <w:rFonts w:ascii="Times New Roman" w:hAnsi="Times New Roman" w:cs="Times New Roman" w:hint="eastAsia"/>
          <w:szCs w:val="24"/>
        </w:rPr>
        <w:t>969</w:t>
      </w:r>
      <w:proofErr w:type="gramStart"/>
      <w:r w:rsidR="00090D3C">
        <w:rPr>
          <w:rFonts w:ascii="Times New Roman" w:hAnsi="Times New Roman" w:cs="Times New Roman" w:hint="eastAsia"/>
          <w:szCs w:val="24"/>
        </w:rPr>
        <w:t>百萬</w:t>
      </w:r>
      <w:proofErr w:type="gramEnd"/>
      <w:r w:rsidR="00090D3C">
        <w:rPr>
          <w:rFonts w:ascii="Times New Roman" w:hAnsi="Times New Roman" w:cs="Times New Roman" w:hint="eastAsia"/>
          <w:szCs w:val="24"/>
        </w:rPr>
        <w:t>公克</w:t>
      </w:r>
      <w:proofErr w:type="gramStart"/>
      <w:r w:rsidR="00090D3C">
        <w:rPr>
          <w:rFonts w:ascii="Times New Roman" w:hAnsi="Times New Roman" w:cs="Times New Roman" w:hint="eastAsia"/>
          <w:szCs w:val="24"/>
        </w:rPr>
        <w:t>之間，</w:t>
      </w:r>
      <w:proofErr w:type="gramEnd"/>
      <w:r w:rsidR="00090D3C">
        <w:rPr>
          <w:rFonts w:ascii="Times New Roman" w:hAnsi="Times New Roman" w:cs="Times New Roman" w:hint="eastAsia"/>
          <w:szCs w:val="24"/>
        </w:rPr>
        <w:t>平均值為每公頃</w:t>
      </w:r>
      <w:r w:rsidR="00090D3C">
        <w:rPr>
          <w:rFonts w:ascii="Times New Roman" w:hAnsi="Times New Roman" w:cs="Times New Roman" w:hint="eastAsia"/>
          <w:szCs w:val="24"/>
        </w:rPr>
        <w:t>660</w:t>
      </w:r>
      <w:proofErr w:type="gramStart"/>
      <w:r w:rsidR="00090D3C">
        <w:rPr>
          <w:rFonts w:ascii="Times New Roman" w:hAnsi="Times New Roman" w:cs="Times New Roman" w:hint="eastAsia"/>
          <w:szCs w:val="24"/>
        </w:rPr>
        <w:t>百萬</w:t>
      </w:r>
      <w:proofErr w:type="gramEnd"/>
      <w:r w:rsidR="00090D3C">
        <w:rPr>
          <w:rFonts w:ascii="Times New Roman" w:hAnsi="Times New Roman" w:cs="Times New Roman" w:hint="eastAsia"/>
          <w:szCs w:val="24"/>
        </w:rPr>
        <w:t>公克。其中</w:t>
      </w:r>
      <w:r w:rsidR="00836B0C" w:rsidRPr="00836B0C">
        <w:rPr>
          <w:rFonts w:ascii="Times New Roman" w:hAnsi="Times New Roman" w:cs="Times New Roman"/>
          <w:kern w:val="0"/>
          <w:szCs w:val="24"/>
        </w:rPr>
        <w:t>地面下</w:t>
      </w:r>
      <w:r w:rsidR="00836B0C" w:rsidRPr="00836B0C">
        <w:rPr>
          <w:rFonts w:ascii="Times New Roman" w:hAnsi="Times New Roman" w:cs="Times New Roman"/>
          <w:kern w:val="0"/>
          <w:szCs w:val="24"/>
        </w:rPr>
        <w:t>1</w:t>
      </w:r>
      <w:r w:rsidR="00836B0C" w:rsidRPr="00836B0C">
        <w:rPr>
          <w:rFonts w:ascii="Times New Roman" w:hAnsi="Times New Roman" w:cs="Times New Roman"/>
          <w:kern w:val="0"/>
          <w:szCs w:val="24"/>
        </w:rPr>
        <w:t>公尺土壤</w:t>
      </w:r>
      <w:r w:rsidR="00836B0C">
        <w:rPr>
          <w:rFonts w:ascii="Times New Roman" w:hAnsi="Times New Roman" w:cs="Times New Roman"/>
          <w:kern w:val="0"/>
          <w:szCs w:val="24"/>
        </w:rPr>
        <w:t>的</w:t>
      </w:r>
      <w:r w:rsidR="00836B0C" w:rsidRPr="00836B0C">
        <w:rPr>
          <w:rFonts w:ascii="Times New Roman" w:hAnsi="Times New Roman" w:cs="Times New Roman"/>
          <w:kern w:val="0"/>
          <w:szCs w:val="24"/>
        </w:rPr>
        <w:t>有機</w:t>
      </w:r>
      <w:r w:rsidR="00836B0C">
        <w:rPr>
          <w:rFonts w:ascii="Times New Roman" w:hAnsi="Times New Roman" w:cs="Times New Roman"/>
          <w:kern w:val="0"/>
          <w:szCs w:val="24"/>
        </w:rPr>
        <w:t>碳</w:t>
      </w:r>
      <w:r w:rsidR="00836B0C" w:rsidRPr="00836B0C">
        <w:rPr>
          <w:rFonts w:ascii="Times New Roman" w:hAnsi="Times New Roman" w:cs="Times New Roman"/>
          <w:kern w:val="0"/>
          <w:szCs w:val="24"/>
        </w:rPr>
        <w:t>含量</w:t>
      </w:r>
      <w:r w:rsidR="00836B0C">
        <w:rPr>
          <w:rFonts w:ascii="Times New Roman" w:hAnsi="Times New Roman" w:cs="Times New Roman"/>
          <w:kern w:val="0"/>
          <w:szCs w:val="24"/>
        </w:rPr>
        <w:t>（</w:t>
      </w:r>
      <w:proofErr w:type="spellStart"/>
      <w:r w:rsidR="00836B0C" w:rsidRPr="00836B0C">
        <w:rPr>
          <w:rFonts w:ascii="Times New Roman" w:hAnsi="Times New Roman" w:cs="Times New Roman"/>
          <w:kern w:val="0"/>
          <w:szCs w:val="24"/>
        </w:rPr>
        <w:t>SCorg</w:t>
      </w:r>
      <w:proofErr w:type="spellEnd"/>
      <w:r w:rsidR="00836B0C">
        <w:rPr>
          <w:rFonts w:ascii="Times New Roman" w:hAnsi="Times New Roman" w:cs="Times New Roman"/>
          <w:kern w:val="0"/>
          <w:szCs w:val="24"/>
        </w:rPr>
        <w:t>）佔據</w:t>
      </w:r>
      <w:r w:rsidR="00836B0C">
        <w:rPr>
          <w:rFonts w:ascii="Times New Roman" w:hAnsi="Times New Roman" w:cs="Times New Roman"/>
          <w:bCs/>
          <w:kern w:val="0"/>
          <w:szCs w:val="24"/>
        </w:rPr>
        <w:t>總有機碳含量（</w:t>
      </w:r>
      <w:r w:rsidR="00836B0C" w:rsidRPr="00836B0C">
        <w:rPr>
          <w:rFonts w:ascii="Times New Roman" w:hAnsi="Times New Roman" w:cs="Times New Roman"/>
          <w:bCs/>
          <w:kern w:val="0"/>
          <w:szCs w:val="24"/>
        </w:rPr>
        <w:t xml:space="preserve">Total </w:t>
      </w:r>
      <w:proofErr w:type="spellStart"/>
      <w:r w:rsidR="00836B0C" w:rsidRPr="00836B0C">
        <w:rPr>
          <w:rFonts w:ascii="Times New Roman" w:hAnsi="Times New Roman" w:cs="Times New Roman"/>
          <w:bCs/>
          <w:kern w:val="0"/>
          <w:szCs w:val="24"/>
        </w:rPr>
        <w:t>Corg</w:t>
      </w:r>
      <w:proofErr w:type="spellEnd"/>
      <w:r w:rsidR="00836B0C" w:rsidRPr="00836B0C">
        <w:rPr>
          <w:rFonts w:ascii="Times New Roman" w:hAnsi="Times New Roman" w:cs="Times New Roman"/>
          <w:bCs/>
          <w:kern w:val="0"/>
          <w:szCs w:val="24"/>
        </w:rPr>
        <w:t xml:space="preserve"> Stock</w:t>
      </w:r>
      <w:r w:rsidR="00836B0C">
        <w:rPr>
          <w:rFonts w:ascii="Times New Roman" w:hAnsi="Times New Roman" w:cs="Times New Roman"/>
          <w:bCs/>
          <w:kern w:val="0"/>
          <w:szCs w:val="24"/>
        </w:rPr>
        <w:t>）的</w:t>
      </w:r>
      <w:r w:rsidR="00090D3C">
        <w:rPr>
          <w:rFonts w:ascii="Times New Roman" w:hAnsi="Times New Roman" w:cs="Times New Roman"/>
          <w:bCs/>
          <w:kern w:val="0"/>
          <w:szCs w:val="24"/>
        </w:rPr>
        <w:t>最</w:t>
      </w:r>
      <w:proofErr w:type="gramStart"/>
      <w:r w:rsidR="00836B0C">
        <w:rPr>
          <w:rFonts w:ascii="Times New Roman" w:hAnsi="Times New Roman" w:cs="Times New Roman"/>
          <w:bCs/>
          <w:kern w:val="0"/>
          <w:szCs w:val="24"/>
        </w:rPr>
        <w:t>大宗</w:t>
      </w:r>
      <w:r w:rsidR="00090D3C">
        <w:rPr>
          <w:rFonts w:ascii="Times New Roman" w:hAnsi="Times New Roman" w:cs="Times New Roman"/>
          <w:bCs/>
          <w:kern w:val="0"/>
          <w:szCs w:val="24"/>
        </w:rPr>
        <w:t>（</w:t>
      </w:r>
      <w:proofErr w:type="gramEnd"/>
      <w:r w:rsidR="00090D3C">
        <w:rPr>
          <w:rFonts w:ascii="Times New Roman" w:hAnsi="Times New Roman" w:cs="Times New Roman"/>
          <w:bCs/>
          <w:kern w:val="0"/>
          <w:szCs w:val="24"/>
        </w:rPr>
        <w:t>平均</w:t>
      </w:r>
      <w:r w:rsidR="00090D3C">
        <w:rPr>
          <w:rFonts w:ascii="Times New Roman" w:hAnsi="Times New Roman" w:cs="Times New Roman" w:hint="eastAsia"/>
          <w:szCs w:val="24"/>
        </w:rPr>
        <w:t>每公頃</w:t>
      </w:r>
      <w:r w:rsidR="00090D3C">
        <w:rPr>
          <w:rFonts w:ascii="Times New Roman" w:hAnsi="Times New Roman" w:cs="Times New Roman"/>
          <w:szCs w:val="24"/>
        </w:rPr>
        <w:t>435</w:t>
      </w:r>
      <w:proofErr w:type="gramStart"/>
      <w:r w:rsidR="00090D3C">
        <w:rPr>
          <w:rFonts w:ascii="Times New Roman" w:hAnsi="Times New Roman" w:cs="Times New Roman" w:hint="eastAsia"/>
          <w:szCs w:val="24"/>
        </w:rPr>
        <w:t>百萬</w:t>
      </w:r>
      <w:proofErr w:type="gramEnd"/>
      <w:r w:rsidR="00090D3C">
        <w:rPr>
          <w:rFonts w:ascii="Times New Roman" w:hAnsi="Times New Roman" w:cs="Times New Roman" w:hint="eastAsia"/>
          <w:szCs w:val="24"/>
        </w:rPr>
        <w:t>公克</w:t>
      </w:r>
      <w:r w:rsidR="00090D3C">
        <w:rPr>
          <w:rFonts w:ascii="Times New Roman" w:hAnsi="Times New Roman" w:cs="Times New Roman" w:hint="eastAsia"/>
          <w:bCs/>
          <w:kern w:val="0"/>
          <w:szCs w:val="24"/>
        </w:rPr>
        <w:t>），約</w:t>
      </w:r>
      <w:proofErr w:type="gramStart"/>
      <w:r w:rsidR="00090D3C">
        <w:rPr>
          <w:rFonts w:ascii="Times New Roman" w:hAnsi="Times New Roman" w:cs="Times New Roman" w:hint="eastAsia"/>
          <w:bCs/>
          <w:kern w:val="0"/>
          <w:szCs w:val="24"/>
        </w:rPr>
        <w:t>佔</w:t>
      </w:r>
      <w:proofErr w:type="gramEnd"/>
      <w:r w:rsidR="00090D3C">
        <w:rPr>
          <w:rFonts w:ascii="Times New Roman" w:hAnsi="Times New Roman" w:cs="Times New Roman" w:hint="eastAsia"/>
          <w:bCs/>
          <w:kern w:val="0"/>
          <w:szCs w:val="24"/>
        </w:rPr>
        <w:t>總量的</w:t>
      </w:r>
      <w:r w:rsidR="001A7D85">
        <w:rPr>
          <w:rFonts w:ascii="Times New Roman" w:hAnsi="Times New Roman" w:cs="Times New Roman" w:hint="eastAsia"/>
          <w:bCs/>
          <w:kern w:val="0"/>
          <w:szCs w:val="24"/>
        </w:rPr>
        <w:t>三分之二</w:t>
      </w:r>
      <w:r w:rsidR="00090D3C">
        <w:rPr>
          <w:rFonts w:ascii="Times New Roman" w:hAnsi="Times New Roman" w:cs="Times New Roman" w:hint="eastAsia"/>
          <w:bCs/>
          <w:kern w:val="0"/>
          <w:szCs w:val="24"/>
        </w:rPr>
        <w:t>；</w:t>
      </w:r>
      <w:r w:rsidR="00836B0C">
        <w:rPr>
          <w:rFonts w:ascii="Times New Roman" w:hAnsi="Times New Roman" w:cs="Times New Roman"/>
          <w:bCs/>
          <w:kern w:val="0"/>
          <w:szCs w:val="24"/>
        </w:rPr>
        <w:t>而</w:t>
      </w:r>
      <w:r w:rsidR="00836B0C" w:rsidRPr="00836B0C">
        <w:rPr>
          <w:rFonts w:ascii="Times New Roman" w:hAnsi="Times New Roman" w:cs="Times New Roman"/>
          <w:kern w:val="0"/>
          <w:szCs w:val="24"/>
        </w:rPr>
        <w:t>地面以上生質量</w:t>
      </w:r>
      <w:r w:rsidR="00836B0C">
        <w:rPr>
          <w:rFonts w:ascii="Times New Roman" w:hAnsi="Times New Roman" w:cs="Times New Roman"/>
          <w:kern w:val="0"/>
          <w:szCs w:val="24"/>
        </w:rPr>
        <w:t>（</w:t>
      </w:r>
      <w:proofErr w:type="spellStart"/>
      <w:r w:rsidR="00836B0C" w:rsidRPr="00836B0C">
        <w:rPr>
          <w:rFonts w:ascii="Times New Roman" w:hAnsi="Times New Roman" w:cs="Times New Roman"/>
          <w:kern w:val="0"/>
          <w:szCs w:val="24"/>
        </w:rPr>
        <w:t>AGBCorg</w:t>
      </w:r>
      <w:proofErr w:type="spellEnd"/>
      <w:r w:rsidR="00836B0C">
        <w:rPr>
          <w:rFonts w:ascii="Times New Roman" w:hAnsi="Times New Roman" w:cs="Times New Roman"/>
          <w:kern w:val="0"/>
          <w:szCs w:val="24"/>
        </w:rPr>
        <w:t>）與</w:t>
      </w:r>
      <w:r w:rsidR="00836B0C" w:rsidRPr="00836B0C">
        <w:rPr>
          <w:rFonts w:ascii="Times New Roman" w:hAnsi="Times New Roman" w:cs="Times New Roman"/>
          <w:kern w:val="0"/>
          <w:szCs w:val="24"/>
        </w:rPr>
        <w:t>地面以下根</w:t>
      </w:r>
      <w:r w:rsidR="00836B0C">
        <w:rPr>
          <w:rFonts w:ascii="Times New Roman" w:hAnsi="Times New Roman" w:cs="Times New Roman"/>
          <w:kern w:val="0"/>
          <w:szCs w:val="24"/>
        </w:rPr>
        <w:t>系</w:t>
      </w:r>
      <w:r w:rsidR="00836B0C" w:rsidRPr="00836B0C">
        <w:rPr>
          <w:rFonts w:ascii="Times New Roman" w:hAnsi="Times New Roman" w:cs="Times New Roman"/>
          <w:kern w:val="0"/>
          <w:szCs w:val="24"/>
        </w:rPr>
        <w:t>生質量</w:t>
      </w:r>
      <w:r w:rsidR="00836B0C">
        <w:rPr>
          <w:rFonts w:ascii="Times New Roman" w:hAnsi="Times New Roman" w:cs="Times New Roman"/>
          <w:kern w:val="0"/>
          <w:szCs w:val="24"/>
        </w:rPr>
        <w:t>（</w:t>
      </w:r>
      <w:proofErr w:type="spellStart"/>
      <w:r w:rsidR="00836B0C" w:rsidRPr="00836B0C">
        <w:rPr>
          <w:rFonts w:ascii="Times New Roman" w:hAnsi="Times New Roman" w:cs="Times New Roman"/>
          <w:kern w:val="0"/>
          <w:szCs w:val="24"/>
        </w:rPr>
        <w:t>BGBCorg</w:t>
      </w:r>
      <w:proofErr w:type="spellEnd"/>
      <w:r w:rsidR="00836B0C">
        <w:rPr>
          <w:rFonts w:ascii="Times New Roman" w:hAnsi="Times New Roman" w:cs="Times New Roman"/>
          <w:kern w:val="0"/>
          <w:szCs w:val="24"/>
        </w:rPr>
        <w:t>）的量只</w:t>
      </w:r>
      <w:proofErr w:type="gramStart"/>
      <w:r w:rsidR="00836B0C">
        <w:rPr>
          <w:rFonts w:ascii="Times New Roman" w:hAnsi="Times New Roman" w:cs="Times New Roman"/>
          <w:kern w:val="0"/>
          <w:szCs w:val="24"/>
        </w:rPr>
        <w:t>佔</w:t>
      </w:r>
      <w:proofErr w:type="gramEnd"/>
      <w:r w:rsidR="00836B0C">
        <w:rPr>
          <w:rFonts w:ascii="Times New Roman" w:hAnsi="Times New Roman" w:cs="Times New Roman"/>
          <w:kern w:val="0"/>
          <w:szCs w:val="24"/>
        </w:rPr>
        <w:t>紅樹林</w:t>
      </w:r>
      <w:proofErr w:type="gramStart"/>
      <w:r w:rsidR="00836B0C">
        <w:rPr>
          <w:rFonts w:ascii="Times New Roman" w:hAnsi="Times New Roman" w:cs="Times New Roman"/>
          <w:kern w:val="0"/>
          <w:szCs w:val="24"/>
        </w:rPr>
        <w:t>生態系碳儲量</w:t>
      </w:r>
      <w:proofErr w:type="gramEnd"/>
      <w:r w:rsidR="00836B0C">
        <w:rPr>
          <w:rFonts w:ascii="Times New Roman" w:hAnsi="Times New Roman" w:cs="Times New Roman"/>
          <w:kern w:val="0"/>
          <w:szCs w:val="24"/>
        </w:rPr>
        <w:t>的</w:t>
      </w:r>
      <w:r w:rsidR="001A7D85">
        <w:rPr>
          <w:rFonts w:ascii="Times New Roman" w:hAnsi="Times New Roman" w:cs="Times New Roman"/>
          <w:kern w:val="0"/>
          <w:szCs w:val="24"/>
        </w:rPr>
        <w:t>三分之一上下</w:t>
      </w:r>
      <w:r w:rsidR="00836B0C">
        <w:rPr>
          <w:rFonts w:ascii="Times New Roman" w:hAnsi="Times New Roman" w:cs="Times New Roman"/>
          <w:kern w:val="0"/>
          <w:szCs w:val="24"/>
        </w:rPr>
        <w:t>；況且，紅樹林</w:t>
      </w:r>
      <w:r w:rsidR="001A7D85">
        <w:rPr>
          <w:rFonts w:ascii="Times New Roman" w:hAnsi="Times New Roman" w:cs="Times New Roman"/>
          <w:kern w:val="0"/>
          <w:szCs w:val="24"/>
        </w:rPr>
        <w:t>的</w:t>
      </w:r>
      <w:r w:rsidR="00836B0C">
        <w:rPr>
          <w:rFonts w:ascii="Times New Roman" w:hAnsi="Times New Roman" w:cs="Times New Roman"/>
          <w:kern w:val="0"/>
          <w:szCs w:val="24"/>
        </w:rPr>
        <w:t>生</w:t>
      </w:r>
      <w:proofErr w:type="gramStart"/>
      <w:r w:rsidR="00836B0C">
        <w:rPr>
          <w:rFonts w:ascii="Times New Roman" w:hAnsi="Times New Roman" w:cs="Times New Roman"/>
          <w:kern w:val="0"/>
          <w:szCs w:val="24"/>
        </w:rPr>
        <w:t>質僅為碳</w:t>
      </w:r>
      <w:proofErr w:type="gramEnd"/>
      <w:r w:rsidR="00836B0C">
        <w:rPr>
          <w:rFonts w:ascii="Times New Roman" w:hAnsi="Times New Roman" w:cs="Times New Roman"/>
          <w:kern w:val="0"/>
          <w:szCs w:val="24"/>
        </w:rPr>
        <w:t>的暫時儲存庫，</w:t>
      </w:r>
      <w:r w:rsidR="001A7D85">
        <w:rPr>
          <w:rFonts w:ascii="Times New Roman" w:hAnsi="Times New Roman" w:cs="Times New Roman"/>
          <w:kern w:val="0"/>
          <w:szCs w:val="24"/>
        </w:rPr>
        <w:t>隨時</w:t>
      </w:r>
      <w:r w:rsidR="00836B0C">
        <w:rPr>
          <w:rFonts w:ascii="Times New Roman" w:hAnsi="Times New Roman" w:cs="Times New Roman"/>
          <w:kern w:val="0"/>
          <w:szCs w:val="24"/>
        </w:rPr>
        <w:t>暴露在被毀滅或氧化的可能性之中，唯有確保紅樹林的健康發展，並促使</w:t>
      </w:r>
      <w:proofErr w:type="gramStart"/>
      <w:r w:rsidR="00836B0C">
        <w:rPr>
          <w:rFonts w:ascii="Times New Roman" w:hAnsi="Times New Roman" w:cs="Times New Roman"/>
          <w:kern w:val="0"/>
          <w:szCs w:val="24"/>
        </w:rPr>
        <w:t>其殘枝敗葉</w:t>
      </w:r>
      <w:proofErr w:type="gramEnd"/>
      <w:r w:rsidR="00836B0C">
        <w:rPr>
          <w:rFonts w:ascii="Times New Roman" w:hAnsi="Times New Roman" w:cs="Times New Roman"/>
          <w:kern w:val="0"/>
          <w:szCs w:val="24"/>
        </w:rPr>
        <w:t>最後</w:t>
      </w:r>
      <w:proofErr w:type="gramStart"/>
      <w:r w:rsidR="001A7D85">
        <w:rPr>
          <w:rFonts w:ascii="Times New Roman" w:hAnsi="Times New Roman" w:cs="Times New Roman"/>
          <w:kern w:val="0"/>
          <w:szCs w:val="24"/>
        </w:rPr>
        <w:t>能</w:t>
      </w:r>
      <w:r w:rsidR="00836B0C">
        <w:rPr>
          <w:rFonts w:ascii="Times New Roman" w:hAnsi="Times New Roman" w:cs="Times New Roman"/>
          <w:kern w:val="0"/>
          <w:szCs w:val="24"/>
        </w:rPr>
        <w:t>埋</w:t>
      </w:r>
      <w:r w:rsidR="001A7D85">
        <w:rPr>
          <w:rFonts w:ascii="Times New Roman" w:hAnsi="Times New Roman" w:cs="Times New Roman"/>
          <w:kern w:val="0"/>
          <w:szCs w:val="24"/>
        </w:rPr>
        <w:t>積</w:t>
      </w:r>
      <w:r w:rsidR="00836B0C">
        <w:rPr>
          <w:rFonts w:ascii="Times New Roman" w:hAnsi="Times New Roman" w:cs="Times New Roman"/>
          <w:kern w:val="0"/>
          <w:szCs w:val="24"/>
        </w:rPr>
        <w:t>在</w:t>
      </w:r>
      <w:proofErr w:type="gramEnd"/>
      <w:r w:rsidR="00836B0C">
        <w:rPr>
          <w:rFonts w:ascii="Times New Roman" w:hAnsi="Times New Roman" w:cs="Times New Roman"/>
          <w:kern w:val="0"/>
          <w:szCs w:val="24"/>
        </w:rPr>
        <w:t>紅</w:t>
      </w:r>
      <w:r w:rsidR="001A7D85">
        <w:rPr>
          <w:rFonts w:ascii="Times New Roman" w:hAnsi="Times New Roman" w:cs="Times New Roman"/>
          <w:kern w:val="0"/>
          <w:szCs w:val="24"/>
        </w:rPr>
        <w:t>樹</w:t>
      </w:r>
      <w:r w:rsidR="00836B0C">
        <w:rPr>
          <w:rFonts w:ascii="Times New Roman" w:hAnsi="Times New Roman" w:cs="Times New Roman"/>
          <w:kern w:val="0"/>
          <w:szCs w:val="24"/>
        </w:rPr>
        <w:t>林的土壤與沈積</w:t>
      </w:r>
      <w:r w:rsidR="00090D3C">
        <w:rPr>
          <w:rFonts w:ascii="Times New Roman" w:hAnsi="Times New Roman" w:cs="Times New Roman"/>
          <w:kern w:val="0"/>
          <w:szCs w:val="24"/>
        </w:rPr>
        <w:t>物中</w:t>
      </w:r>
      <w:r w:rsidR="001A7D85">
        <w:rPr>
          <w:rFonts w:ascii="Times New Roman" w:hAnsi="Times New Roman" w:cs="Times New Roman"/>
          <w:kern w:val="0"/>
          <w:szCs w:val="24"/>
        </w:rPr>
        <w:t>才為上策；</w:t>
      </w:r>
      <w:proofErr w:type="gramStart"/>
      <w:r w:rsidR="001A7D85">
        <w:rPr>
          <w:rFonts w:ascii="Times New Roman" w:hAnsi="Times New Roman" w:cs="Times New Roman"/>
          <w:kern w:val="0"/>
          <w:szCs w:val="24"/>
        </w:rPr>
        <w:t>此外</w:t>
      </w:r>
      <w:r w:rsidR="00090D3C">
        <w:rPr>
          <w:rFonts w:ascii="Times New Roman" w:hAnsi="Times New Roman" w:cs="Times New Roman"/>
          <w:kern w:val="0"/>
          <w:szCs w:val="24"/>
        </w:rPr>
        <w:t>，</w:t>
      </w:r>
      <w:proofErr w:type="gramEnd"/>
      <w:r w:rsidR="00090D3C">
        <w:rPr>
          <w:rFonts w:ascii="Times New Roman" w:hAnsi="Times New Roman" w:cs="Times New Roman"/>
          <w:kern w:val="0"/>
          <w:szCs w:val="24"/>
        </w:rPr>
        <w:t>紅樹林的根系系統</w:t>
      </w:r>
      <w:r w:rsidR="001A7D85">
        <w:rPr>
          <w:rFonts w:ascii="Times New Roman" w:hAnsi="Times New Roman" w:cs="Times New Roman"/>
          <w:kern w:val="0"/>
          <w:szCs w:val="24"/>
        </w:rPr>
        <w:t>與土壤中的微生物</w:t>
      </w:r>
      <w:r w:rsidR="00090D3C">
        <w:rPr>
          <w:rFonts w:ascii="Times New Roman" w:hAnsi="Times New Roman" w:cs="Times New Roman"/>
          <w:kern w:val="0"/>
          <w:szCs w:val="24"/>
        </w:rPr>
        <w:t>有助於土壤</w:t>
      </w:r>
      <w:r w:rsidR="00090D3C">
        <w:rPr>
          <w:rFonts w:ascii="Times New Roman" w:hAnsi="Times New Roman" w:cs="Times New Roman"/>
          <w:kern w:val="0"/>
          <w:szCs w:val="24"/>
        </w:rPr>
        <w:t>/</w:t>
      </w:r>
      <w:r w:rsidR="00090D3C">
        <w:rPr>
          <w:rFonts w:ascii="Times New Roman" w:hAnsi="Times New Roman" w:cs="Times New Roman"/>
          <w:kern w:val="0"/>
          <w:szCs w:val="24"/>
        </w:rPr>
        <w:t>沈積物的有機碳保存不受氧化</w:t>
      </w:r>
      <w:r w:rsidR="001A7D85">
        <w:rPr>
          <w:rFonts w:ascii="Times New Roman" w:hAnsi="Times New Roman" w:cs="Times New Roman"/>
          <w:kern w:val="0"/>
          <w:szCs w:val="24"/>
        </w:rPr>
        <w:t>也很重要</w:t>
      </w:r>
      <w:r w:rsidR="00090D3C">
        <w:rPr>
          <w:rFonts w:ascii="Times New Roman" w:hAnsi="Times New Roman" w:cs="Times New Roman"/>
          <w:kern w:val="0"/>
          <w:szCs w:val="24"/>
        </w:rPr>
        <w:t>，</w:t>
      </w:r>
      <w:r w:rsidR="001A7D85">
        <w:rPr>
          <w:rFonts w:ascii="Times New Roman" w:hAnsi="Times New Roman" w:cs="Times New Roman"/>
          <w:kern w:val="0"/>
          <w:szCs w:val="24"/>
        </w:rPr>
        <w:t>這兩項因素將是本計畫所側重的面向，藉以</w:t>
      </w:r>
      <w:r w:rsidR="00090D3C">
        <w:rPr>
          <w:rFonts w:ascii="Times New Roman" w:hAnsi="Times New Roman" w:cs="Times New Roman"/>
          <w:kern w:val="0"/>
          <w:szCs w:val="24"/>
        </w:rPr>
        <w:t>增益紅樹林的有機碳終極封存</w:t>
      </w:r>
      <w:r w:rsidR="00836B0C">
        <w:rPr>
          <w:rFonts w:ascii="Times New Roman" w:hAnsi="Times New Roman" w:cs="Times New Roman"/>
          <w:kern w:val="0"/>
          <w:szCs w:val="24"/>
        </w:rPr>
        <w:t>。</w:t>
      </w:r>
    </w:p>
    <w:p w:rsidR="00A92414" w:rsidRDefault="00A92414" w:rsidP="001B409D">
      <w:pPr>
        <w:ind w:firstLineChars="152" w:firstLine="365"/>
        <w:rPr>
          <w:rFonts w:ascii="Times New Roman" w:hAnsi="Times New Roman" w:cs="Times New Roman"/>
          <w:kern w:val="0"/>
          <w:szCs w:val="24"/>
        </w:rPr>
      </w:pPr>
    </w:p>
    <w:p w:rsidR="00836B0C" w:rsidRDefault="00836B0C" w:rsidP="001B409D">
      <w:pPr>
        <w:ind w:firstLineChars="152" w:firstLine="365"/>
        <w:rPr>
          <w:rFonts w:ascii="Times New Roman" w:hAnsi="Times New Roman" w:cs="Times New Roman"/>
          <w:szCs w:val="24"/>
        </w:rPr>
      </w:pPr>
    </w:p>
    <w:p w:rsidR="000F520E" w:rsidRPr="000F520E" w:rsidRDefault="000F520E" w:rsidP="001B409D">
      <w:pPr>
        <w:ind w:firstLineChars="152" w:firstLine="365"/>
        <w:rPr>
          <w:rFonts w:ascii="Times New Roman" w:hAnsi="Times New Roman" w:cs="Times New Roman"/>
          <w:szCs w:val="24"/>
        </w:rPr>
      </w:pPr>
      <w:r w:rsidRPr="000F520E"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227944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0E" w:rsidRDefault="000F520E" w:rsidP="001B409D">
      <w:pPr>
        <w:ind w:firstLineChars="152" w:firstLine="365"/>
        <w:rPr>
          <w:rFonts w:ascii="Times New Roman" w:hAnsi="Times New Roman" w:cs="Times New Roman"/>
          <w:szCs w:val="24"/>
        </w:rPr>
      </w:pPr>
      <w:r w:rsidRPr="000F520E"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131946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0E" w:rsidRDefault="000F520E" w:rsidP="001B409D">
      <w:pPr>
        <w:ind w:firstLineChars="152" w:firstLine="365"/>
        <w:rPr>
          <w:rFonts w:ascii="Times New Roman" w:hAnsi="Times New Roman" w:cs="Times New Roman"/>
          <w:szCs w:val="24"/>
        </w:rPr>
      </w:pPr>
    </w:p>
    <w:p w:rsidR="000F520E" w:rsidRDefault="000F520E" w:rsidP="001B409D">
      <w:pPr>
        <w:ind w:firstLineChars="152" w:firstLine="365"/>
        <w:rPr>
          <w:rFonts w:ascii="Times New Roman" w:hAnsi="Times New Roman" w:cs="Times New Roman"/>
          <w:bCs/>
          <w:kern w:val="0"/>
          <w:szCs w:val="24"/>
        </w:rPr>
      </w:pPr>
      <w:r w:rsidRPr="00836B0C">
        <w:rPr>
          <w:rFonts w:ascii="Times New Roman" w:hAnsi="Times New Roman" w:cs="Times New Roman"/>
          <w:szCs w:val="24"/>
        </w:rPr>
        <w:t>表一、</w:t>
      </w:r>
      <w:proofErr w:type="spellStart"/>
      <w:r w:rsidRPr="00836B0C">
        <w:rPr>
          <w:rFonts w:ascii="Times New Roman" w:hAnsi="Times New Roman" w:cs="Times New Roman"/>
          <w:kern w:val="0"/>
          <w:szCs w:val="24"/>
        </w:rPr>
        <w:t>AGBCorg</w:t>
      </w:r>
      <w:proofErr w:type="spellEnd"/>
      <w:r w:rsidRPr="00836B0C">
        <w:rPr>
          <w:rFonts w:ascii="Times New Roman" w:hAnsi="Times New Roman" w:cs="Times New Roman"/>
          <w:kern w:val="0"/>
          <w:szCs w:val="24"/>
        </w:rPr>
        <w:t>：地面以上生質量；</w:t>
      </w:r>
      <w:proofErr w:type="spellStart"/>
      <w:r w:rsidRPr="00836B0C">
        <w:rPr>
          <w:rFonts w:ascii="Times New Roman" w:hAnsi="Times New Roman" w:cs="Times New Roman"/>
          <w:kern w:val="0"/>
          <w:szCs w:val="24"/>
        </w:rPr>
        <w:t>BGBCorg</w:t>
      </w:r>
      <w:proofErr w:type="spellEnd"/>
      <w:r w:rsidRPr="00836B0C">
        <w:rPr>
          <w:rFonts w:ascii="Times New Roman" w:hAnsi="Times New Roman" w:cs="Times New Roman"/>
          <w:kern w:val="0"/>
          <w:szCs w:val="24"/>
        </w:rPr>
        <w:t>：地面以下根</w:t>
      </w:r>
      <w:r w:rsidR="00836B0C">
        <w:rPr>
          <w:rFonts w:ascii="Times New Roman" w:hAnsi="Times New Roman" w:cs="Times New Roman"/>
          <w:kern w:val="0"/>
          <w:szCs w:val="24"/>
        </w:rPr>
        <w:t>系</w:t>
      </w:r>
      <w:r w:rsidRPr="00836B0C">
        <w:rPr>
          <w:rFonts w:ascii="Times New Roman" w:hAnsi="Times New Roman" w:cs="Times New Roman"/>
          <w:kern w:val="0"/>
          <w:szCs w:val="24"/>
        </w:rPr>
        <w:t>生質量；</w:t>
      </w:r>
      <w:proofErr w:type="spellStart"/>
      <w:r w:rsidR="00836B0C" w:rsidRPr="00836B0C">
        <w:rPr>
          <w:rFonts w:ascii="Times New Roman" w:hAnsi="Times New Roman" w:cs="Times New Roman"/>
          <w:kern w:val="0"/>
          <w:szCs w:val="24"/>
        </w:rPr>
        <w:t>SCorg</w:t>
      </w:r>
      <w:proofErr w:type="spellEnd"/>
      <w:r w:rsidR="00836B0C" w:rsidRPr="00836B0C">
        <w:rPr>
          <w:rFonts w:ascii="Times New Roman" w:hAnsi="Times New Roman" w:cs="Times New Roman"/>
          <w:kern w:val="0"/>
          <w:szCs w:val="24"/>
        </w:rPr>
        <w:t>：地面下</w:t>
      </w:r>
      <w:r w:rsidR="00836B0C" w:rsidRPr="00836B0C">
        <w:rPr>
          <w:rFonts w:ascii="Times New Roman" w:hAnsi="Times New Roman" w:cs="Times New Roman"/>
          <w:kern w:val="0"/>
          <w:szCs w:val="24"/>
        </w:rPr>
        <w:t>1</w:t>
      </w:r>
      <w:r w:rsidR="00836B0C" w:rsidRPr="00836B0C">
        <w:rPr>
          <w:rFonts w:ascii="Times New Roman" w:hAnsi="Times New Roman" w:cs="Times New Roman"/>
          <w:kern w:val="0"/>
          <w:szCs w:val="24"/>
        </w:rPr>
        <w:t>公尺土壤有機</w:t>
      </w:r>
      <w:r w:rsidR="00836B0C">
        <w:rPr>
          <w:rFonts w:ascii="Times New Roman" w:hAnsi="Times New Roman" w:cs="Times New Roman"/>
          <w:kern w:val="0"/>
          <w:szCs w:val="24"/>
        </w:rPr>
        <w:t>碳</w:t>
      </w:r>
      <w:r w:rsidR="00836B0C" w:rsidRPr="00836B0C">
        <w:rPr>
          <w:rFonts w:ascii="Times New Roman" w:hAnsi="Times New Roman" w:cs="Times New Roman"/>
          <w:kern w:val="0"/>
          <w:szCs w:val="24"/>
        </w:rPr>
        <w:t>含量；</w:t>
      </w:r>
      <w:r w:rsidR="00836B0C" w:rsidRPr="00836B0C">
        <w:rPr>
          <w:rFonts w:ascii="Times New Roman" w:hAnsi="Times New Roman" w:cs="Times New Roman"/>
          <w:bCs/>
          <w:kern w:val="0"/>
          <w:szCs w:val="24"/>
        </w:rPr>
        <w:t xml:space="preserve">Total </w:t>
      </w:r>
      <w:proofErr w:type="spellStart"/>
      <w:r w:rsidR="00836B0C" w:rsidRPr="00836B0C">
        <w:rPr>
          <w:rFonts w:ascii="Times New Roman" w:hAnsi="Times New Roman" w:cs="Times New Roman"/>
          <w:bCs/>
          <w:kern w:val="0"/>
          <w:szCs w:val="24"/>
        </w:rPr>
        <w:t>Corg</w:t>
      </w:r>
      <w:proofErr w:type="spellEnd"/>
      <w:r w:rsidR="00836B0C" w:rsidRPr="00836B0C">
        <w:rPr>
          <w:rFonts w:ascii="Times New Roman" w:hAnsi="Times New Roman" w:cs="Times New Roman"/>
          <w:bCs/>
          <w:kern w:val="0"/>
          <w:szCs w:val="24"/>
        </w:rPr>
        <w:t xml:space="preserve"> Stock</w:t>
      </w:r>
      <w:r w:rsidR="00836B0C">
        <w:rPr>
          <w:rFonts w:ascii="Times New Roman" w:hAnsi="Times New Roman" w:cs="Times New Roman"/>
          <w:bCs/>
          <w:kern w:val="0"/>
          <w:szCs w:val="24"/>
        </w:rPr>
        <w:t>：總有機碳含量。</w:t>
      </w:r>
      <w:r w:rsidR="00090D3C">
        <w:rPr>
          <w:rFonts w:ascii="Times New Roman" w:hAnsi="Times New Roman" w:cs="Times New Roman"/>
          <w:bCs/>
          <w:kern w:val="0"/>
          <w:szCs w:val="24"/>
        </w:rPr>
        <w:t>計量單位為百萬公克</w:t>
      </w:r>
      <w:r w:rsidR="00090D3C">
        <w:rPr>
          <w:rFonts w:ascii="Times New Roman" w:hAnsi="Times New Roman" w:cs="Times New Roman"/>
          <w:bCs/>
          <w:kern w:val="0"/>
          <w:szCs w:val="24"/>
        </w:rPr>
        <w:t>/</w:t>
      </w:r>
      <w:r w:rsidR="00090D3C">
        <w:rPr>
          <w:rFonts w:ascii="Times New Roman" w:hAnsi="Times New Roman" w:cs="Times New Roman"/>
          <w:bCs/>
          <w:kern w:val="0"/>
          <w:szCs w:val="24"/>
        </w:rPr>
        <w:t>公</w:t>
      </w:r>
      <w:r w:rsidR="00DB223C">
        <w:rPr>
          <w:rFonts w:ascii="Times New Roman" w:hAnsi="Times New Roman" w:cs="Times New Roman"/>
          <w:bCs/>
          <w:kern w:val="0"/>
          <w:szCs w:val="24"/>
        </w:rPr>
        <w:t>頃</w:t>
      </w:r>
      <w:r w:rsidR="00090D3C">
        <w:rPr>
          <w:rFonts w:ascii="Times New Roman" w:hAnsi="Times New Roman" w:cs="Times New Roman" w:hint="eastAsia"/>
          <w:bCs/>
          <w:kern w:val="0"/>
          <w:szCs w:val="24"/>
        </w:rPr>
        <w:t>(Mg/ha)</w:t>
      </w:r>
      <w:r w:rsidR="00090D3C">
        <w:rPr>
          <w:rFonts w:ascii="Times New Roman" w:hAnsi="Times New Roman" w:cs="Times New Roman" w:hint="eastAsia"/>
          <w:bCs/>
          <w:kern w:val="0"/>
          <w:szCs w:val="24"/>
        </w:rPr>
        <w:t>。</w:t>
      </w:r>
      <w:r w:rsidR="009E564B">
        <w:rPr>
          <w:rFonts w:ascii="Times New Roman" w:hAnsi="Times New Roman" w:cs="Times New Roman" w:hint="eastAsia"/>
          <w:bCs/>
          <w:kern w:val="0"/>
          <w:szCs w:val="24"/>
        </w:rPr>
        <w:t>擷取自</w:t>
      </w:r>
      <w:proofErr w:type="spellStart"/>
      <w:r w:rsidR="009E564B">
        <w:rPr>
          <w:rFonts w:ascii="Times New Roman" w:hAnsi="Times New Roman" w:cs="Times New Roman" w:hint="eastAsia"/>
          <w:bCs/>
          <w:kern w:val="0"/>
          <w:szCs w:val="24"/>
        </w:rPr>
        <w:t>Alo</w:t>
      </w:r>
      <w:r w:rsidR="009E564B">
        <w:rPr>
          <w:rFonts w:ascii="Times New Roman" w:hAnsi="Times New Roman" w:cs="Times New Roman"/>
          <w:bCs/>
          <w:kern w:val="0"/>
          <w:szCs w:val="24"/>
        </w:rPr>
        <w:t>n</w:t>
      </w:r>
      <w:r w:rsidR="009E564B">
        <w:rPr>
          <w:rFonts w:ascii="Times New Roman" w:hAnsi="Times New Roman" w:cs="Times New Roman" w:hint="eastAsia"/>
          <w:bCs/>
          <w:kern w:val="0"/>
          <w:szCs w:val="24"/>
        </w:rPr>
        <w:t>gi</w:t>
      </w:r>
      <w:proofErr w:type="spellEnd"/>
      <w:r w:rsidR="009E564B">
        <w:rPr>
          <w:rFonts w:ascii="Times New Roman" w:hAnsi="Times New Roman" w:cs="Times New Roman" w:hint="eastAsia"/>
          <w:bCs/>
          <w:kern w:val="0"/>
          <w:szCs w:val="24"/>
        </w:rPr>
        <w:t xml:space="preserve"> 2020.</w:t>
      </w:r>
    </w:p>
    <w:p w:rsidR="00090D3C" w:rsidRPr="00836B0C" w:rsidRDefault="00090D3C" w:rsidP="001B409D">
      <w:pPr>
        <w:ind w:firstLineChars="152" w:firstLine="365"/>
        <w:rPr>
          <w:rFonts w:ascii="Times New Roman" w:hAnsi="Times New Roman" w:cs="Times New Roman"/>
          <w:szCs w:val="24"/>
        </w:rPr>
      </w:pPr>
    </w:p>
    <w:p w:rsidR="00DB223C" w:rsidRDefault="006A1F23" w:rsidP="001B409D">
      <w:pPr>
        <w:ind w:firstLineChars="152" w:firstLine="365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t>影響紅樹林棲地的因素眾多（圖三），</w:t>
      </w:r>
      <w:r w:rsidR="001B409D">
        <w:rPr>
          <w:rFonts w:ascii="Times New Roman" w:hAnsi="Times New Roman" w:cs="Times New Roman" w:hint="eastAsia"/>
          <w:noProof/>
          <w:szCs w:val="24"/>
        </w:rPr>
        <w:t>概分天然的海平面變化、地形、風速、波浪強度、溫度、雨量、養料、沈積物供應等，也與人類的影響有關，例如相關海岸基礎設施、河川集水區與海岸帶的經營管理。</w:t>
      </w:r>
    </w:p>
    <w:p w:rsidR="000F520E" w:rsidRDefault="00DB223C" w:rsidP="001B409D">
      <w:pPr>
        <w:ind w:firstLineChars="152" w:firstLine="3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926481" cy="3049246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depicting carbon fate in mangroove system in Lovelock 2021 on blue carb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38" cy="30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3C" w:rsidRDefault="00DB223C" w:rsidP="001B409D">
      <w:pPr>
        <w:ind w:firstLineChars="152" w:firstLine="3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t>圖三、</w:t>
      </w:r>
      <w:r w:rsidR="00A16AAB">
        <w:rPr>
          <w:rFonts w:ascii="Times New Roman" w:hAnsi="Times New Roman" w:cs="Times New Roman"/>
          <w:noProof/>
          <w:szCs w:val="24"/>
        </w:rPr>
        <w:t>紅樹林生態系碳收支的影響因素示意圖。</w:t>
      </w:r>
      <w:r w:rsidR="00A16AAB">
        <w:rPr>
          <w:rFonts w:ascii="Times New Roman" w:hAnsi="Times New Roman" w:cs="Times New Roman"/>
          <w:color w:val="222222"/>
          <w:szCs w:val="24"/>
          <w:shd w:val="clear" w:color="auto" w:fill="FFFFFF"/>
        </w:rPr>
        <w:t>本圖取自</w:t>
      </w:r>
      <w:r w:rsidR="00A16AAB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Lovelock et al., 2020</w:t>
      </w:r>
      <w:r w:rsidR="00A16AAB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A92414" w:rsidRPr="009E564B" w:rsidRDefault="00A92414" w:rsidP="001B409D">
      <w:pPr>
        <w:rPr>
          <w:rFonts w:ascii="Times New Roman" w:hAnsi="Times New Roman" w:cs="Times New Roman"/>
          <w:b/>
          <w:sz w:val="28"/>
          <w:szCs w:val="24"/>
        </w:rPr>
      </w:pPr>
      <w:r w:rsidRPr="009E564B">
        <w:rPr>
          <w:rFonts w:ascii="Times New Roman" w:hAnsi="Times New Roman" w:cs="Times New Roman"/>
          <w:b/>
          <w:sz w:val="28"/>
          <w:szCs w:val="24"/>
        </w:rPr>
        <w:t>研究地點</w:t>
      </w:r>
    </w:p>
    <w:p w:rsidR="00A92414" w:rsidRDefault="0073669B" w:rsidP="001B409D">
      <w:pPr>
        <w:ind w:firstLineChars="152" w:firstLine="365"/>
        <w:rPr>
          <w:rFonts w:ascii="Segoe UI" w:hAnsi="Segoe UI" w:cs="Segoe UI"/>
          <w:color w:val="202122"/>
          <w:szCs w:val="24"/>
          <w:shd w:val="clear" w:color="auto" w:fill="FFFFFF"/>
        </w:rPr>
      </w:pPr>
      <w:r>
        <w:rPr>
          <w:rFonts w:ascii="Times New Roman" w:hAnsi="Times New Roman" w:cs="Times New Roman"/>
          <w:kern w:val="0"/>
          <w:szCs w:val="24"/>
        </w:rPr>
        <w:t>台灣西部海岸共有</w:t>
      </w:r>
      <w:r>
        <w:rPr>
          <w:rFonts w:ascii="Times New Roman" w:hAnsi="Times New Roman" w:cs="Times New Roman" w:hint="eastAsia"/>
          <w:kern w:val="0"/>
          <w:szCs w:val="24"/>
        </w:rPr>
        <w:t>14</w:t>
      </w:r>
      <w:r>
        <w:rPr>
          <w:rFonts w:ascii="Times New Roman" w:hAnsi="Times New Roman" w:cs="Times New Roman" w:hint="eastAsia"/>
          <w:kern w:val="0"/>
          <w:szCs w:val="24"/>
        </w:rPr>
        <w:t>個</w:t>
      </w:r>
      <w:r>
        <w:rPr>
          <w:rFonts w:ascii="Times New Roman" w:hAnsi="Times New Roman" w:cs="Times New Roman"/>
          <w:kern w:val="0"/>
          <w:szCs w:val="24"/>
        </w:rPr>
        <w:t>紅樹林濕地</w:t>
      </w:r>
      <w:r w:rsidR="009E564B">
        <w:rPr>
          <w:rFonts w:ascii="Times New Roman" w:hAnsi="Times New Roman" w:cs="Times New Roman" w:hint="eastAsia"/>
          <w:kern w:val="0"/>
          <w:szCs w:val="24"/>
        </w:rPr>
        <w:t>零星</w:t>
      </w:r>
      <w:r>
        <w:rPr>
          <w:rFonts w:ascii="Times New Roman" w:hAnsi="Times New Roman" w:cs="Times New Roman"/>
          <w:kern w:val="0"/>
          <w:szCs w:val="24"/>
        </w:rPr>
        <w:t>分佈於各縣市，多年來因海岸河口地的開發及保育的相關爭議，目前僅在新北市淡水河</w:t>
      </w:r>
      <w:proofErr w:type="gramStart"/>
      <w:r>
        <w:rPr>
          <w:rFonts w:ascii="Times New Roman" w:hAnsi="Times New Roman" w:cs="Times New Roman"/>
          <w:kern w:val="0"/>
          <w:szCs w:val="24"/>
        </w:rPr>
        <w:t>沿岸、</w:t>
      </w:r>
      <w:proofErr w:type="gramEnd"/>
      <w:r>
        <w:rPr>
          <w:rFonts w:ascii="Times New Roman" w:hAnsi="Times New Roman" w:cs="Times New Roman"/>
          <w:kern w:val="0"/>
          <w:szCs w:val="24"/>
        </w:rPr>
        <w:t>苗栗</w:t>
      </w:r>
      <w:r>
        <w:rPr>
          <w:rFonts w:ascii="Times New Roman" w:hAnsi="Times New Roman" w:cs="Times New Roman" w:hint="eastAsia"/>
          <w:kern w:val="0"/>
          <w:szCs w:val="24"/>
        </w:rPr>
        <w:t>縣</w:t>
      </w:r>
      <w:r>
        <w:rPr>
          <w:rFonts w:ascii="Times New Roman" w:hAnsi="Times New Roman" w:cs="Times New Roman"/>
          <w:kern w:val="0"/>
          <w:szCs w:val="24"/>
        </w:rPr>
        <w:t>中港溪出海口、台中市大安區溫仔</w:t>
      </w:r>
      <w:proofErr w:type="gramStart"/>
      <w:r>
        <w:rPr>
          <w:rFonts w:ascii="Times New Roman" w:hAnsi="Times New Roman" w:cs="Times New Roman"/>
          <w:kern w:val="0"/>
          <w:szCs w:val="24"/>
        </w:rPr>
        <w:t>寮</w:t>
      </w:r>
      <w:proofErr w:type="gramEnd"/>
      <w:r>
        <w:rPr>
          <w:rFonts w:ascii="Times New Roman" w:hAnsi="Times New Roman" w:cs="Times New Roman"/>
          <w:kern w:val="0"/>
          <w:szCs w:val="24"/>
        </w:rPr>
        <w:t>河口及台南市安南區四草濕地</w:t>
      </w:r>
      <w:r w:rsidRPr="0073669B">
        <w:rPr>
          <w:rFonts w:ascii="Segoe UI" w:hAnsi="Segoe UI" w:cs="Segoe UI"/>
          <w:color w:val="202122"/>
          <w:szCs w:val="24"/>
          <w:shd w:val="clear" w:color="auto" w:fill="FFFFFF"/>
        </w:rPr>
        <w:t>有較集中的分佈。</w:t>
      </w:r>
      <w:r>
        <w:rPr>
          <w:rFonts w:ascii="Segoe UI" w:hAnsi="Segoe UI" w:cs="Segoe UI"/>
          <w:color w:val="202122"/>
          <w:szCs w:val="24"/>
          <w:shd w:val="clear" w:color="auto" w:fill="FFFFFF"/>
        </w:rPr>
        <w:t>本</w:t>
      </w:r>
      <w:r w:rsidR="009E564B">
        <w:rPr>
          <w:rFonts w:ascii="Segoe UI" w:hAnsi="Segoe UI" w:cs="Segoe UI"/>
          <w:color w:val="202122"/>
          <w:szCs w:val="24"/>
          <w:shd w:val="clear" w:color="auto" w:fill="FFFFFF"/>
        </w:rPr>
        <w:t>計畫</w:t>
      </w:r>
      <w:r>
        <w:rPr>
          <w:rFonts w:ascii="Segoe UI" w:hAnsi="Segoe UI" w:cs="Segoe UI"/>
          <w:color w:val="202122"/>
          <w:szCs w:val="24"/>
          <w:shd w:val="clear" w:color="auto" w:fill="FFFFFF"/>
        </w:rPr>
        <w:t>選定</w:t>
      </w:r>
      <w:r w:rsidR="00434E62">
        <w:rPr>
          <w:rFonts w:ascii="Segoe UI" w:hAnsi="Segoe UI" w:cs="Segoe UI"/>
          <w:color w:val="202122"/>
          <w:szCs w:val="24"/>
          <w:shd w:val="clear" w:color="auto" w:fill="FFFFFF"/>
        </w:rPr>
        <w:t>台中溫仔</w:t>
      </w:r>
      <w:proofErr w:type="gramStart"/>
      <w:r w:rsidR="00434E62">
        <w:rPr>
          <w:rFonts w:ascii="Segoe UI" w:hAnsi="Segoe UI" w:cs="Segoe UI"/>
          <w:color w:val="202122"/>
          <w:szCs w:val="24"/>
          <w:shd w:val="clear" w:color="auto" w:fill="FFFFFF"/>
        </w:rPr>
        <w:t>寮</w:t>
      </w:r>
      <w:proofErr w:type="gramEnd"/>
      <w:r w:rsidR="00434E62">
        <w:rPr>
          <w:rFonts w:ascii="Segoe UI" w:hAnsi="Segoe UI" w:cs="Segoe UI"/>
          <w:color w:val="202122"/>
          <w:szCs w:val="24"/>
          <w:shd w:val="clear" w:color="auto" w:fill="FFFFFF"/>
        </w:rPr>
        <w:t>河口紅樹林濕地</w:t>
      </w:r>
      <w:r w:rsidR="009E564B">
        <w:rPr>
          <w:rFonts w:ascii="Segoe UI" w:hAnsi="Segoe UI" w:cs="Segoe UI"/>
          <w:color w:val="202122"/>
          <w:szCs w:val="24"/>
          <w:shd w:val="clear" w:color="auto" w:fill="FFFFFF"/>
        </w:rPr>
        <w:t>作</w:t>
      </w:r>
      <w:r w:rsidR="00434E62">
        <w:rPr>
          <w:rFonts w:ascii="Segoe UI" w:hAnsi="Segoe UI" w:cs="Segoe UI"/>
          <w:color w:val="202122"/>
          <w:szCs w:val="24"/>
          <w:shd w:val="clear" w:color="auto" w:fill="FFFFFF"/>
        </w:rPr>
        <w:t>為研究標的</w:t>
      </w:r>
      <w:r w:rsidR="00B777D1">
        <w:rPr>
          <w:rFonts w:ascii="Segoe UI" w:hAnsi="Segoe UI" w:cs="Segoe UI"/>
          <w:color w:val="202122"/>
          <w:szCs w:val="24"/>
          <w:shd w:val="clear" w:color="auto" w:fill="FFFFFF"/>
        </w:rPr>
        <w:t>（圖</w:t>
      </w:r>
      <w:r w:rsidR="001B409D">
        <w:rPr>
          <w:rFonts w:ascii="Segoe UI" w:hAnsi="Segoe UI" w:cs="Segoe UI"/>
          <w:color w:val="202122"/>
          <w:szCs w:val="24"/>
          <w:shd w:val="clear" w:color="auto" w:fill="FFFFFF"/>
        </w:rPr>
        <w:t>四</w:t>
      </w:r>
      <w:r w:rsidR="00B777D1">
        <w:rPr>
          <w:rFonts w:ascii="Segoe UI" w:hAnsi="Segoe UI" w:cs="Segoe UI"/>
          <w:color w:val="202122"/>
          <w:szCs w:val="24"/>
          <w:shd w:val="clear" w:color="auto" w:fill="FFFFFF"/>
        </w:rPr>
        <w:t>）</w:t>
      </w:r>
      <w:r w:rsidR="00434E62">
        <w:rPr>
          <w:rFonts w:ascii="Segoe UI" w:hAnsi="Segoe UI" w:cs="Segoe UI"/>
          <w:color w:val="202122"/>
          <w:szCs w:val="24"/>
          <w:shd w:val="clear" w:color="auto" w:fill="FFFFFF"/>
        </w:rPr>
        <w:t>。</w:t>
      </w:r>
    </w:p>
    <w:p w:rsidR="00434E62" w:rsidRDefault="00B777D1" w:rsidP="001B409D">
      <w:pPr>
        <w:ind w:firstLineChars="152" w:firstLine="365"/>
        <w:rPr>
          <w:rFonts w:ascii="Segoe UI" w:hAnsi="Segoe UI" w:cs="Segoe UI"/>
          <w:color w:val="202122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202122"/>
          <w:szCs w:val="24"/>
          <w:shd w:val="clear" w:color="auto" w:fill="FFFFFF"/>
        </w:rPr>
        <w:lastRenderedPageBreak/>
        <w:drawing>
          <wp:inline distT="0" distB="0" distL="0" distR="0">
            <wp:extent cx="3448134" cy="2569288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台中大安區溫仔寮紅樹林生態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06" cy="25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9D" w:rsidRDefault="001B409D" w:rsidP="001B409D">
      <w:pPr>
        <w:ind w:firstLineChars="152" w:firstLine="365"/>
        <w:rPr>
          <w:rFonts w:ascii="Segoe UI" w:hAnsi="Segoe UI" w:cs="Segoe UI"/>
          <w:color w:val="202122"/>
          <w:szCs w:val="24"/>
          <w:shd w:val="clear" w:color="auto" w:fill="FFFFFF"/>
        </w:rPr>
      </w:pPr>
      <w:r>
        <w:rPr>
          <w:rFonts w:ascii="Segoe UI" w:hAnsi="Segoe UI" w:cs="Segoe UI"/>
          <w:color w:val="202122"/>
          <w:szCs w:val="24"/>
          <w:shd w:val="clear" w:color="auto" w:fill="FFFFFF"/>
        </w:rPr>
        <w:t>圖四、台中大安區</w:t>
      </w:r>
      <w:proofErr w:type="gramStart"/>
      <w:r>
        <w:rPr>
          <w:rFonts w:ascii="Segoe UI" w:hAnsi="Segoe UI" w:cs="Segoe UI"/>
          <w:color w:val="202122"/>
          <w:szCs w:val="24"/>
          <w:shd w:val="clear" w:color="auto" w:fill="FFFFFF"/>
        </w:rPr>
        <w:t>塭寮</w:t>
      </w:r>
      <w:proofErr w:type="gramEnd"/>
      <w:r>
        <w:rPr>
          <w:rFonts w:ascii="Segoe UI" w:hAnsi="Segoe UI" w:cs="Segoe UI"/>
          <w:color w:val="202122"/>
          <w:szCs w:val="24"/>
          <w:shd w:val="clear" w:color="auto" w:fill="FFFFFF"/>
        </w:rPr>
        <w:t>仔紅樹林生態區位置圖。（擷取自</w:t>
      </w:r>
      <w:r>
        <w:rPr>
          <w:rFonts w:ascii="Segoe UI" w:hAnsi="Segoe UI" w:cs="Segoe UI" w:hint="eastAsia"/>
          <w:color w:val="202122"/>
          <w:szCs w:val="24"/>
          <w:shd w:val="clear" w:color="auto" w:fill="FFFFFF"/>
        </w:rPr>
        <w:t>Google Map</w:t>
      </w:r>
      <w:r>
        <w:rPr>
          <w:rFonts w:ascii="Segoe UI" w:hAnsi="Segoe UI" w:cs="Segoe UI" w:hint="eastAsia"/>
          <w:color w:val="202122"/>
          <w:szCs w:val="24"/>
          <w:shd w:val="clear" w:color="auto" w:fill="FFFFFF"/>
        </w:rPr>
        <w:t>）</w:t>
      </w:r>
      <w:r>
        <w:rPr>
          <w:rFonts w:ascii="Segoe UI" w:hAnsi="Segoe UI" w:cs="Segoe UI"/>
          <w:color w:val="202122"/>
          <w:szCs w:val="24"/>
          <w:shd w:val="clear" w:color="auto" w:fill="FFFFFF"/>
        </w:rPr>
        <w:t>。</w:t>
      </w:r>
    </w:p>
    <w:p w:rsidR="001B409D" w:rsidRDefault="001B409D" w:rsidP="001B409D">
      <w:pPr>
        <w:ind w:firstLineChars="152" w:firstLine="365"/>
        <w:rPr>
          <w:rFonts w:ascii="Segoe UI" w:hAnsi="Segoe UI" w:cs="Segoe UI"/>
          <w:color w:val="202122"/>
          <w:szCs w:val="24"/>
          <w:shd w:val="clear" w:color="auto" w:fill="FFFFFF"/>
        </w:rPr>
      </w:pPr>
    </w:p>
    <w:p w:rsidR="001B409D" w:rsidRDefault="001B409D" w:rsidP="001B409D">
      <w:pPr>
        <w:ind w:firstLineChars="152" w:firstLine="365"/>
        <w:rPr>
          <w:rFonts w:ascii="Segoe UI" w:hAnsi="Segoe UI" w:cs="Segoe UI"/>
          <w:color w:val="202122"/>
          <w:szCs w:val="24"/>
          <w:shd w:val="clear" w:color="auto" w:fill="FFFFFF"/>
        </w:rPr>
      </w:pPr>
    </w:p>
    <w:p w:rsidR="00434E62" w:rsidRPr="00E5589B" w:rsidRDefault="00B777D1" w:rsidP="001B409D">
      <w:pPr>
        <w:ind w:firstLineChars="152" w:firstLine="365"/>
        <w:rPr>
          <w:rFonts w:ascii="Times New Roman" w:hAnsi="Times New Roman" w:cs="Times New Roman"/>
          <w:color w:val="202122"/>
          <w:szCs w:val="24"/>
          <w:shd w:val="clear" w:color="auto" w:fill="FFFFFF"/>
        </w:rPr>
      </w:pPr>
      <w:r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該紅樹林生態區位於</w:t>
      </w:r>
      <w:proofErr w:type="gramStart"/>
      <w:r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塭寮</w:t>
      </w:r>
      <w:proofErr w:type="gramEnd"/>
      <w:r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溪之北，大安海水浴場之南，大安港海堤外側，在</w:t>
      </w:r>
      <w:r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61</w:t>
      </w:r>
      <w:r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號海岸公路之西，交通方便。該保護區</w:t>
      </w:r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的紅樹林是人工栽種的，只有水筆仔</w:t>
      </w:r>
      <w:r w:rsidR="003B216C"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(</w:t>
      </w:r>
      <w:proofErr w:type="spellStart"/>
      <w:r w:rsidR="003B216C" w:rsidRPr="00E5589B">
        <w:rPr>
          <w:rFonts w:ascii="Times New Roman" w:hAnsi="Times New Roman" w:cs="Times New Roman"/>
          <w:i/>
          <w:color w:val="3C4043"/>
          <w:szCs w:val="24"/>
          <w:shd w:val="clear" w:color="auto" w:fill="FFFFFF"/>
        </w:rPr>
        <w:t>Kandelia</w:t>
      </w:r>
      <w:proofErr w:type="spellEnd"/>
      <w:r w:rsidR="003B216C" w:rsidRPr="00E5589B">
        <w:rPr>
          <w:rFonts w:ascii="Times New Roman" w:hAnsi="Times New Roman" w:cs="Times New Roman"/>
          <w:i/>
          <w:color w:val="3C4043"/>
          <w:szCs w:val="24"/>
          <w:shd w:val="clear" w:color="auto" w:fill="FFFFFF"/>
        </w:rPr>
        <w:t xml:space="preserve"> </w:t>
      </w:r>
      <w:proofErr w:type="spellStart"/>
      <w:r w:rsidR="003B216C" w:rsidRPr="00E5589B">
        <w:rPr>
          <w:rFonts w:ascii="Times New Roman" w:hAnsi="Times New Roman" w:cs="Times New Roman"/>
          <w:i/>
          <w:color w:val="3C4043"/>
          <w:szCs w:val="24"/>
          <w:shd w:val="clear" w:color="auto" w:fill="FFFFFF"/>
        </w:rPr>
        <w:t>obovata</w:t>
      </w:r>
      <w:proofErr w:type="spellEnd"/>
      <w:r w:rsidR="003B216C"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)</w:t>
      </w:r>
      <w:r w:rsidR="003B216C" w:rsidRPr="00E5589B">
        <w:rPr>
          <w:rFonts w:ascii="Times New Roman" w:hAnsi="Times New Roman" w:cs="Times New Roman"/>
          <w:color w:val="808080"/>
          <w:szCs w:val="24"/>
          <w:shd w:val="clear" w:color="auto" w:fill="FFFFF2"/>
        </w:rPr>
        <w:t xml:space="preserve"> </w:t>
      </w:r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一種，</w:t>
      </w:r>
      <w:r w:rsidR="003B216C" w:rsidRPr="00E5589B">
        <w:rPr>
          <w:rFonts w:ascii="Times New Roman" w:hAnsi="Times New Roman" w:cs="Times New Roman"/>
          <w:color w:val="4D5156"/>
          <w:szCs w:val="24"/>
          <w:shd w:val="clear" w:color="auto" w:fill="FFFFFF"/>
        </w:rPr>
        <w:t> </w:t>
      </w:r>
      <w:r w:rsidR="003B216C" w:rsidRPr="00E5589B">
        <w:rPr>
          <w:rFonts w:ascii="Times New Roman" w:hAnsi="Times New Roman" w:cs="Times New Roman"/>
          <w:color w:val="4D5156"/>
          <w:szCs w:val="24"/>
          <w:shd w:val="clear" w:color="auto" w:fill="FFFFFF"/>
        </w:rPr>
        <w:t>又稱秋茄，</w:t>
      </w:r>
      <w:r w:rsidR="003B216C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 </w:t>
      </w:r>
      <w:r w:rsidR="009E564B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屬於</w:t>
      </w:r>
      <w:proofErr w:type="spellStart"/>
      <w:r w:rsidR="009E564B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Rhizophoraceae</w:t>
      </w:r>
      <w:proofErr w:type="spellEnd"/>
      <w:r w:rsidR="009E564B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科</w:t>
      </w:r>
      <w:r w:rsidR="009E564B">
        <w:rPr>
          <w:rFonts w:ascii="Times New Roman" w:hAnsi="Times New Roman" w:cs="Times New Roman"/>
          <w:color w:val="202122"/>
          <w:szCs w:val="24"/>
          <w:shd w:val="clear" w:color="auto" w:fill="FFFFFF"/>
        </w:rPr>
        <w:t>，</w:t>
      </w:r>
      <w:r w:rsidR="00E5589B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能生長於</w:t>
      </w:r>
      <w:r w:rsidR="009E564B">
        <w:rPr>
          <w:rFonts w:ascii="Times New Roman" w:hAnsi="Times New Roman" w:cs="Times New Roman"/>
          <w:color w:val="202122"/>
          <w:szCs w:val="24"/>
          <w:shd w:val="clear" w:color="auto" w:fill="FFFFFF"/>
        </w:rPr>
        <w:t>半淡鹹水中</w:t>
      </w:r>
      <w:r w:rsidR="00E5589B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。此地的</w:t>
      </w:r>
      <w:r w:rsidR="00416BC8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紅樹林可防風、</w:t>
      </w:r>
      <w:proofErr w:type="gramStart"/>
      <w:r w:rsidR="00416BC8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控沙</w:t>
      </w:r>
      <w:proofErr w:type="gramEnd"/>
      <w:r w:rsidR="00416BC8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、保護海堤，</w:t>
      </w:r>
      <w:r w:rsidR="009E564B">
        <w:rPr>
          <w:rFonts w:ascii="Times New Roman" w:hAnsi="Times New Roman" w:cs="Times New Roman"/>
          <w:color w:val="202122"/>
          <w:szCs w:val="24"/>
          <w:shd w:val="clear" w:color="auto" w:fill="FFFFFF"/>
        </w:rPr>
        <w:t>具</w:t>
      </w:r>
      <w:r w:rsidR="00416BC8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有多種功能</w:t>
      </w:r>
      <w:r w:rsidR="003B216C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。</w:t>
      </w:r>
      <w:r w:rsidR="00416BC8" w:rsidRPr="00E5589B">
        <w:rPr>
          <w:rFonts w:ascii="Times New Roman" w:hAnsi="Times New Roman" w:cs="Times New Roman"/>
          <w:color w:val="202122"/>
          <w:szCs w:val="24"/>
          <w:shd w:val="clear" w:color="auto" w:fill="FFFFFF"/>
        </w:rPr>
        <w:t>該紅樹林生態區</w:t>
      </w:r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林間設有木棧道</w:t>
      </w:r>
      <w:r w:rsidR="00416BC8"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，</w:t>
      </w:r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可供</w:t>
      </w:r>
      <w:r w:rsidR="00416BC8"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行人</w:t>
      </w:r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近距離觀察</w:t>
      </w:r>
      <w:proofErr w:type="gramStart"/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潮間帶生物</w:t>
      </w:r>
      <w:proofErr w:type="gramEnd"/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，也方便本研究的</w:t>
      </w:r>
      <w:proofErr w:type="gramStart"/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採</w:t>
      </w:r>
      <w:proofErr w:type="gramEnd"/>
      <w:r w:rsidRPr="00E5589B">
        <w:rPr>
          <w:rFonts w:ascii="Times New Roman" w:hAnsi="Times New Roman" w:cs="Times New Roman"/>
          <w:color w:val="3C4043"/>
          <w:szCs w:val="24"/>
          <w:shd w:val="clear" w:color="auto" w:fill="FFFFFF"/>
        </w:rPr>
        <w:t>樣作業。</w:t>
      </w:r>
    </w:p>
    <w:p w:rsidR="0073669B" w:rsidRPr="0073669B" w:rsidRDefault="0073669B" w:rsidP="001B409D">
      <w:pPr>
        <w:ind w:firstLineChars="152" w:firstLine="365"/>
        <w:rPr>
          <w:rFonts w:ascii="Times New Roman" w:hAnsi="Times New Roman" w:cs="Times New Roman"/>
          <w:szCs w:val="24"/>
        </w:rPr>
      </w:pPr>
    </w:p>
    <w:p w:rsidR="00455A6A" w:rsidRPr="00A92414" w:rsidRDefault="00A92414" w:rsidP="001B409D">
      <w:pPr>
        <w:rPr>
          <w:rFonts w:ascii="URWPalladioL-Roma" w:hAnsi="URWPalladioL-Roma" w:cs="URWPalladioL-Roma"/>
          <w:b/>
          <w:kern w:val="0"/>
          <w:sz w:val="28"/>
          <w:szCs w:val="24"/>
        </w:rPr>
      </w:pPr>
      <w:r w:rsidRPr="00A92414">
        <w:rPr>
          <w:rFonts w:ascii="URWPalladioL-Roma" w:hAnsi="URWPalladioL-Roma" w:cs="URWPalladioL-Roma"/>
          <w:b/>
          <w:kern w:val="0"/>
          <w:sz w:val="28"/>
          <w:szCs w:val="24"/>
        </w:rPr>
        <w:t>研究方法</w:t>
      </w:r>
    </w:p>
    <w:p w:rsidR="00A92414" w:rsidRPr="00A92414" w:rsidRDefault="00A92414" w:rsidP="001B409D">
      <w:pPr>
        <w:rPr>
          <w:rFonts w:ascii="URWPalladioL-Roma" w:hAnsi="URWPalladioL-Roma" w:cs="URWPalladioL-Roma"/>
          <w:kern w:val="0"/>
          <w:szCs w:val="24"/>
        </w:rPr>
      </w:pPr>
      <w:r w:rsidRPr="00A92414">
        <w:rPr>
          <w:rFonts w:ascii="URWPalladioL-Roma" w:hAnsi="URWPalladioL-Roma" w:cs="URWPalladioL-Roma"/>
          <w:kern w:val="0"/>
          <w:szCs w:val="24"/>
        </w:rPr>
        <w:t>土壤</w:t>
      </w:r>
      <w:proofErr w:type="gramStart"/>
      <w:r w:rsidRPr="00A92414">
        <w:rPr>
          <w:rFonts w:ascii="URWPalladioL-Roma" w:hAnsi="URWPalladioL-Roma" w:cs="URWPalladioL-Roma"/>
          <w:kern w:val="0"/>
          <w:szCs w:val="24"/>
        </w:rPr>
        <w:t>採</w:t>
      </w:r>
      <w:proofErr w:type="gramEnd"/>
      <w:r w:rsidRPr="00A92414">
        <w:rPr>
          <w:rFonts w:ascii="URWPalladioL-Roma" w:hAnsi="URWPalladioL-Roma" w:cs="URWPalladioL-Roma"/>
          <w:kern w:val="0"/>
          <w:szCs w:val="24"/>
        </w:rPr>
        <w:t>樣</w:t>
      </w:r>
    </w:p>
    <w:p w:rsidR="00A92414" w:rsidRPr="00A92414" w:rsidRDefault="00A92414" w:rsidP="001B409D">
      <w:pPr>
        <w:ind w:firstLine="480"/>
        <w:rPr>
          <w:rFonts w:ascii="URWPalladioL-Roma" w:hAnsi="URWPalladioL-Roma" w:cs="URWPalladioL-Roma"/>
          <w:kern w:val="0"/>
          <w:szCs w:val="24"/>
        </w:rPr>
      </w:pPr>
      <w:r w:rsidRPr="00A92414">
        <w:rPr>
          <w:rFonts w:ascii="URWPalladioL-Roma" w:hAnsi="URWPalladioL-Roma" w:cs="URWPalladioL-Roma"/>
          <w:kern w:val="0"/>
          <w:szCs w:val="24"/>
        </w:rPr>
        <w:t>以沈積物</w:t>
      </w:r>
      <w:proofErr w:type="gramStart"/>
      <w:r w:rsidRPr="00A92414">
        <w:rPr>
          <w:rFonts w:ascii="URWPalladioL-Roma" w:hAnsi="URWPalladioL-Roma" w:cs="URWPalladioL-Roma"/>
          <w:kern w:val="0"/>
          <w:szCs w:val="24"/>
        </w:rPr>
        <w:t>採樣器</w:t>
      </w:r>
      <w:proofErr w:type="gramEnd"/>
      <w:r w:rsidRPr="00A92414">
        <w:rPr>
          <w:rFonts w:ascii="URWPalladioL-Roma" w:hAnsi="URWPalladioL-Roma" w:cs="URWPalladioL-Roma"/>
          <w:kern w:val="0"/>
          <w:szCs w:val="24"/>
        </w:rPr>
        <w:t>採取１公尺長的土壤</w:t>
      </w:r>
      <w:proofErr w:type="gramStart"/>
      <w:r w:rsidRPr="00A92414">
        <w:rPr>
          <w:rFonts w:ascii="URWPalladioL-Roma" w:hAnsi="URWPalladioL-Roma" w:cs="URWPalladioL-Roma"/>
          <w:kern w:val="0"/>
          <w:szCs w:val="24"/>
        </w:rPr>
        <w:t>岩芯。</w:t>
      </w:r>
      <w:proofErr w:type="gramEnd"/>
    </w:p>
    <w:p w:rsidR="00A92414" w:rsidRPr="00A92414" w:rsidRDefault="00A92414" w:rsidP="001B409D">
      <w:pPr>
        <w:rPr>
          <w:rFonts w:ascii="URWPalladioL-Roma" w:hAnsi="URWPalladioL-Roma" w:cs="URWPalladioL-Roma"/>
          <w:kern w:val="0"/>
          <w:szCs w:val="24"/>
        </w:rPr>
      </w:pPr>
    </w:p>
    <w:p w:rsidR="00A92414" w:rsidRPr="00A92414" w:rsidRDefault="00A92414" w:rsidP="001B409D">
      <w:pPr>
        <w:rPr>
          <w:rFonts w:ascii="URWPalladioL-Roma" w:hAnsi="URWPalladioL-Roma" w:cs="URWPalladioL-Roma"/>
          <w:kern w:val="0"/>
          <w:szCs w:val="24"/>
        </w:rPr>
      </w:pPr>
      <w:r w:rsidRPr="00A92414">
        <w:rPr>
          <w:rFonts w:ascii="URWPalladioL-Roma" w:hAnsi="URWPalladioL-Roma" w:cs="URWPalladioL-Roma"/>
          <w:kern w:val="0"/>
          <w:szCs w:val="24"/>
        </w:rPr>
        <w:t>氧化還原潛能測定</w:t>
      </w:r>
    </w:p>
    <w:p w:rsidR="00A92414" w:rsidRPr="00A92414" w:rsidRDefault="00A92414" w:rsidP="001B409D">
      <w:pPr>
        <w:rPr>
          <w:rFonts w:ascii="URWPalladioL-Roma" w:hAnsi="URWPalladioL-Roma" w:cs="URWPalladioL-Roma"/>
          <w:kern w:val="0"/>
          <w:szCs w:val="24"/>
        </w:rPr>
      </w:pPr>
    </w:p>
    <w:p w:rsidR="00A92414" w:rsidRPr="00A92414" w:rsidRDefault="00A92414" w:rsidP="001B409D">
      <w:pPr>
        <w:rPr>
          <w:szCs w:val="24"/>
        </w:rPr>
      </w:pPr>
      <w:r w:rsidRPr="00A92414">
        <w:rPr>
          <w:szCs w:val="24"/>
        </w:rPr>
        <w:t>有機碳含量測定</w:t>
      </w:r>
    </w:p>
    <w:p w:rsidR="00A92414" w:rsidRPr="00A92414" w:rsidRDefault="00A92414" w:rsidP="001B409D">
      <w:pPr>
        <w:rPr>
          <w:szCs w:val="24"/>
        </w:rPr>
      </w:pPr>
    </w:p>
    <w:p w:rsidR="00A92414" w:rsidRPr="00A92414" w:rsidRDefault="00A92414" w:rsidP="001B409D">
      <w:pPr>
        <w:rPr>
          <w:szCs w:val="24"/>
        </w:rPr>
      </w:pPr>
      <w:r w:rsidRPr="00A92414">
        <w:rPr>
          <w:szCs w:val="24"/>
        </w:rPr>
        <w:t>土壤顆粒</w:t>
      </w:r>
      <w:proofErr w:type="gramStart"/>
      <w:r w:rsidRPr="00A92414">
        <w:rPr>
          <w:szCs w:val="24"/>
        </w:rPr>
        <w:t>粒</w:t>
      </w:r>
      <w:proofErr w:type="gramEnd"/>
      <w:r w:rsidRPr="00A92414">
        <w:rPr>
          <w:szCs w:val="24"/>
        </w:rPr>
        <w:t>徑分析</w:t>
      </w:r>
    </w:p>
    <w:p w:rsidR="00A92414" w:rsidRPr="00A92414" w:rsidRDefault="00A92414" w:rsidP="001B409D">
      <w:pPr>
        <w:rPr>
          <w:szCs w:val="24"/>
        </w:rPr>
      </w:pPr>
    </w:p>
    <w:p w:rsidR="00A92414" w:rsidRPr="00A92414" w:rsidRDefault="00A92414" w:rsidP="001B409D">
      <w:pPr>
        <w:rPr>
          <w:szCs w:val="24"/>
        </w:rPr>
      </w:pPr>
      <w:r w:rsidRPr="00A92414">
        <w:rPr>
          <w:szCs w:val="24"/>
        </w:rPr>
        <w:t>土壤沈積物黏土礦物分析</w:t>
      </w:r>
    </w:p>
    <w:p w:rsidR="00A92414" w:rsidRPr="00A92414" w:rsidRDefault="00A92414" w:rsidP="001B409D">
      <w:pPr>
        <w:rPr>
          <w:szCs w:val="24"/>
        </w:rPr>
      </w:pPr>
    </w:p>
    <w:p w:rsidR="00A92414" w:rsidRDefault="00A92414" w:rsidP="001B409D">
      <w:pPr>
        <w:ind w:firstLineChars="152" w:firstLine="365"/>
      </w:pPr>
    </w:p>
    <w:p w:rsidR="00455A6A" w:rsidRDefault="00455A6A" w:rsidP="001B409D">
      <w:pPr>
        <w:ind w:firstLineChars="152" w:firstLine="365"/>
      </w:pPr>
    </w:p>
    <w:p w:rsidR="00455A6A" w:rsidRPr="00E5589B" w:rsidRDefault="00455A6A" w:rsidP="001B409D">
      <w:pPr>
        <w:rPr>
          <w:b/>
        </w:rPr>
      </w:pPr>
      <w:r w:rsidRPr="00E5589B">
        <w:rPr>
          <w:rFonts w:hint="eastAsia"/>
          <w:b/>
        </w:rPr>
        <w:t>引用文獻</w:t>
      </w:r>
    </w:p>
    <w:p w:rsidR="00E5589B" w:rsidRDefault="00E5589B" w:rsidP="00E5589B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Alongi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M. (2020). Global significance of mangrove blue carbon in climate change mitigation.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67.</w:t>
      </w:r>
    </w:p>
    <w:p w:rsidR="009E564B" w:rsidRDefault="009E564B" w:rsidP="00E5589B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Bryan-Brown, D. N., Connolly, R. M., Richards, D.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Friess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A., &amp; Brown, C. J. (2020). Global trends in mangrove forest fragmentation.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1-8. </w:t>
      </w:r>
    </w:p>
    <w:p w:rsidR="00E9202E" w:rsidRDefault="00E9202E" w:rsidP="00E5589B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Hamilton, S. E.,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Friess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A. (2018). Global carbon stocks and potential emissions due to mangrove deforestation from 2000 to 2012.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240-244.</w:t>
      </w:r>
    </w:p>
    <w:p w:rsidR="000E7313" w:rsidRDefault="000E7313" w:rsidP="00E5589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Laffoley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D.d.A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 xml:space="preserve">.; </w:t>
      </w: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Grimsditch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 xml:space="preserve">, G. (Eds.) </w:t>
      </w:r>
      <w:proofErr w:type="gramStart"/>
      <w:r w:rsidRPr="00E5589B">
        <w:rPr>
          <w:rFonts w:ascii="Times New Roman" w:hAnsi="Times New Roman" w:cs="Times New Roman"/>
          <w:kern w:val="0"/>
          <w:szCs w:val="24"/>
        </w:rPr>
        <w:t>The</w:t>
      </w:r>
      <w:proofErr w:type="gramEnd"/>
      <w:r w:rsidRPr="00E5589B">
        <w:rPr>
          <w:rFonts w:ascii="Times New Roman" w:hAnsi="Times New Roman" w:cs="Times New Roman"/>
          <w:kern w:val="0"/>
          <w:szCs w:val="24"/>
        </w:rPr>
        <w:t xml:space="preserve"> Management of Natural Coastal Carbon Sinks; IUCN: Gland,</w:t>
      </w:r>
      <w:r w:rsidR="00E5589B" w:rsidRPr="00E5589B">
        <w:rPr>
          <w:rFonts w:ascii="Times New Roman" w:hAnsi="Times New Roman" w:cs="Times New Roman"/>
          <w:kern w:val="0"/>
          <w:szCs w:val="24"/>
        </w:rPr>
        <w:t xml:space="preserve">　</w:t>
      </w:r>
      <w:r w:rsidRPr="00E5589B">
        <w:rPr>
          <w:rFonts w:ascii="Times New Roman" w:hAnsi="Times New Roman" w:cs="Times New Roman"/>
          <w:kern w:val="0"/>
          <w:szCs w:val="24"/>
        </w:rPr>
        <w:t xml:space="preserve">Switzerland, 2009. </w:t>
      </w:r>
    </w:p>
    <w:p w:rsidR="00953B5B" w:rsidRPr="00953B5B" w:rsidRDefault="00953B5B" w:rsidP="00E5589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53B5B">
        <w:rPr>
          <w:rFonts w:ascii="Times New Roman" w:hAnsi="Times New Roman" w:cs="Times New Roman"/>
          <w:color w:val="222222"/>
          <w:szCs w:val="24"/>
          <w:shd w:val="clear" w:color="auto" w:fill="FFFFFF"/>
        </w:rPr>
        <w:t>Lovelock, C. E., &amp; Reef, R. (2020). Variable impacts of climate change on blue carbon. </w:t>
      </w:r>
      <w:r w:rsidRPr="00953B5B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One Earth</w:t>
      </w:r>
      <w:r w:rsidRPr="00953B5B">
        <w:rPr>
          <w:rFonts w:ascii="Times New Roman" w:hAnsi="Times New Roman" w:cs="Times New Roman"/>
          <w:color w:val="222222"/>
          <w:szCs w:val="24"/>
          <w:shd w:val="clear" w:color="auto" w:fill="FFFFFF"/>
        </w:rPr>
        <w:t>, </w:t>
      </w:r>
      <w:r w:rsidRPr="00953B5B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3</w:t>
      </w:r>
      <w:r w:rsidRPr="00953B5B">
        <w:rPr>
          <w:rFonts w:ascii="Times New Roman" w:hAnsi="Times New Roman" w:cs="Times New Roman"/>
          <w:color w:val="222222"/>
          <w:szCs w:val="24"/>
          <w:shd w:val="clear" w:color="auto" w:fill="FFFFFF"/>
        </w:rPr>
        <w:t>(2), 195-211.</w:t>
      </w:r>
    </w:p>
    <w:p w:rsidR="00455A6A" w:rsidRPr="00E5589B" w:rsidRDefault="00455A6A" w:rsidP="00E5589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Nelleman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 xml:space="preserve">, C.; Corcoran, E.; Duarte, C.M.; Valdés, L.; DeYoung, C.; </w:t>
      </w: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Fo</w:t>
      </w:r>
      <w:r w:rsidR="00E5589B" w:rsidRPr="00E5589B">
        <w:rPr>
          <w:rFonts w:ascii="Times New Roman" w:hAnsi="Times New Roman" w:cs="Times New Roman"/>
          <w:kern w:val="0"/>
          <w:szCs w:val="24"/>
        </w:rPr>
        <w:t>seca</w:t>
      </w:r>
      <w:proofErr w:type="spellEnd"/>
      <w:r w:rsidR="00E5589B" w:rsidRPr="00E5589B">
        <w:rPr>
          <w:rFonts w:ascii="Times New Roman" w:hAnsi="Times New Roman" w:cs="Times New Roman"/>
          <w:kern w:val="0"/>
          <w:szCs w:val="24"/>
        </w:rPr>
        <w:t xml:space="preserve">, L.; </w:t>
      </w:r>
      <w:proofErr w:type="spellStart"/>
      <w:r w:rsidR="00E5589B" w:rsidRPr="00E5589B">
        <w:rPr>
          <w:rFonts w:ascii="Times New Roman" w:hAnsi="Times New Roman" w:cs="Times New Roman"/>
          <w:kern w:val="0"/>
          <w:szCs w:val="24"/>
        </w:rPr>
        <w:t>Grimsditch</w:t>
      </w:r>
      <w:proofErr w:type="spellEnd"/>
      <w:r w:rsidR="00E5589B" w:rsidRPr="00E5589B">
        <w:rPr>
          <w:rFonts w:ascii="Times New Roman" w:hAnsi="Times New Roman" w:cs="Times New Roman"/>
          <w:kern w:val="0"/>
          <w:szCs w:val="24"/>
        </w:rPr>
        <w:t>, G. (Eds.)</w:t>
      </w:r>
      <w:r w:rsidR="00E5589B" w:rsidRPr="00E5589B">
        <w:rPr>
          <w:rFonts w:ascii="Times New Roman" w:hAnsi="Times New Roman" w:cs="Times New Roman"/>
          <w:kern w:val="0"/>
          <w:szCs w:val="24"/>
        </w:rPr>
        <w:t xml:space="preserve">　</w:t>
      </w:r>
      <w:r w:rsidRPr="00E5589B">
        <w:rPr>
          <w:rFonts w:ascii="Times New Roman" w:hAnsi="Times New Roman" w:cs="Times New Roman"/>
          <w:kern w:val="0"/>
          <w:szCs w:val="24"/>
        </w:rPr>
        <w:t xml:space="preserve">Blue Carbon: A Rapid Response Assessment; United Nations Environmental </w:t>
      </w: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Programme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 xml:space="preserve"> and GRID-</w:t>
      </w: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Arendal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>:</w:t>
      </w:r>
      <w:r w:rsidR="00E5589B" w:rsidRPr="00E5589B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Arendal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>, Norway, 2009.</w:t>
      </w:r>
    </w:p>
    <w:p w:rsidR="00CB0D9B" w:rsidRDefault="00CB0D9B" w:rsidP="00E5589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 w:rsidRPr="00E5589B">
        <w:rPr>
          <w:rFonts w:ascii="Times New Roman" w:hAnsi="Times New Roman" w:cs="Times New Roman"/>
          <w:kern w:val="0"/>
          <w:szCs w:val="24"/>
        </w:rPr>
        <w:t>Sifleet</w:t>
      </w:r>
      <w:proofErr w:type="spellEnd"/>
      <w:r w:rsidRPr="00E5589B">
        <w:rPr>
          <w:rFonts w:ascii="Times New Roman" w:hAnsi="Times New Roman" w:cs="Times New Roman"/>
          <w:kern w:val="0"/>
          <w:szCs w:val="24"/>
        </w:rPr>
        <w:t>, S.; Pendleton, L.; Murray, B.C. State of the Science on Coa</w:t>
      </w:r>
      <w:r w:rsidR="00E5589B" w:rsidRPr="00E5589B">
        <w:rPr>
          <w:rFonts w:ascii="Times New Roman" w:hAnsi="Times New Roman" w:cs="Times New Roman"/>
          <w:kern w:val="0"/>
          <w:szCs w:val="24"/>
        </w:rPr>
        <w:t xml:space="preserve">stal Blue Carbon: A Summary for </w:t>
      </w:r>
      <w:r w:rsidRPr="00E5589B">
        <w:rPr>
          <w:rFonts w:ascii="Times New Roman" w:hAnsi="Times New Roman" w:cs="Times New Roman"/>
          <w:kern w:val="0"/>
          <w:szCs w:val="24"/>
        </w:rPr>
        <w:t>Policy Makers. In Nicholas Institute for Environmental Policy Solutions Report NIR 11-06; Nicholas Institute,</w:t>
      </w:r>
      <w:r w:rsidR="00E5589B" w:rsidRPr="00E5589B">
        <w:rPr>
          <w:rFonts w:ascii="Times New Roman" w:hAnsi="Times New Roman" w:cs="Times New Roman"/>
          <w:kern w:val="0"/>
          <w:szCs w:val="24"/>
        </w:rPr>
        <w:t xml:space="preserve"> </w:t>
      </w:r>
      <w:r w:rsidRPr="00E5589B">
        <w:rPr>
          <w:rFonts w:ascii="Times New Roman" w:hAnsi="Times New Roman" w:cs="Times New Roman"/>
          <w:kern w:val="0"/>
          <w:szCs w:val="24"/>
        </w:rPr>
        <w:t>Duke University: Durham, NC, USA, 2011.</w:t>
      </w:r>
    </w:p>
    <w:p w:rsidR="00E9202E" w:rsidRPr="00E9202E" w:rsidRDefault="00E9202E" w:rsidP="00E5589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>Taillardat</w:t>
      </w:r>
      <w:proofErr w:type="spellEnd"/>
      <w:r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 xml:space="preserve">, P., </w:t>
      </w:r>
      <w:proofErr w:type="spellStart"/>
      <w:r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>Friess</w:t>
      </w:r>
      <w:proofErr w:type="spellEnd"/>
      <w:r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 xml:space="preserve">, D. A., &amp; </w:t>
      </w:r>
      <w:proofErr w:type="spellStart"/>
      <w:r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>Lupascu</w:t>
      </w:r>
      <w:proofErr w:type="spellEnd"/>
      <w:r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>, M. (2018). </w:t>
      </w:r>
      <w:r w:rsidRPr="00E9202E">
        <w:rPr>
          <w:rFonts w:ascii="Times New Roman" w:hAnsi="Times New Roman" w:cs="Times New Roman"/>
          <w:iCs/>
          <w:color w:val="000000"/>
          <w:szCs w:val="29"/>
          <w:shd w:val="clear" w:color="auto" w:fill="FFFFFF"/>
        </w:rPr>
        <w:t>Mangrove blue carbon strategies for climate change mitigation are most effective at the national scale. Biology Letters, 14(10), 20180251.</w:t>
      </w:r>
      <w:r w:rsidRPr="00E9202E">
        <w:rPr>
          <w:rFonts w:ascii="Times New Roman" w:hAnsi="Times New Roman" w:cs="Times New Roman"/>
          <w:color w:val="000000"/>
          <w:szCs w:val="29"/>
          <w:shd w:val="clear" w:color="auto" w:fill="FFFFFF"/>
        </w:rPr>
        <w:t> doi:10.1098/rsbl.2018.0251</w:t>
      </w:r>
    </w:p>
    <w:p w:rsidR="00CB0D9B" w:rsidRDefault="00CB0D9B" w:rsidP="00455A6A">
      <w:pPr>
        <w:ind w:left="240" w:hangingChars="100" w:hanging="240"/>
      </w:pPr>
    </w:p>
    <w:p w:rsidR="00933524" w:rsidRDefault="00933524" w:rsidP="00455A6A">
      <w:pPr>
        <w:ind w:left="240" w:hangingChars="100" w:hanging="240"/>
      </w:pPr>
      <w:r>
        <w:t>T</w:t>
      </w:r>
      <w:r>
        <w:rPr>
          <w:rFonts w:hint="eastAsia"/>
        </w:rPr>
        <w:t xml:space="preserve">o </w:t>
      </w:r>
      <w:r>
        <w:t>be searched and obtaining</w:t>
      </w:r>
    </w:p>
    <w:p w:rsidR="00933524" w:rsidRDefault="00933524" w:rsidP="00933524">
      <w:pPr>
        <w:widowControl/>
        <w:shd w:val="clear" w:color="auto" w:fill="FFFFFF"/>
        <w:spacing w:after="240"/>
        <w:outlineLvl w:val="0"/>
        <w:rPr>
          <w:rFonts w:ascii="Times New Roman" w:eastAsia="新細明體" w:hAnsi="Times New Roman" w:cs="Times New Roman"/>
          <w:b/>
          <w:bCs/>
          <w:color w:val="222222"/>
          <w:kern w:val="36"/>
          <w:sz w:val="48"/>
          <w:szCs w:val="48"/>
        </w:rPr>
      </w:pPr>
      <w:r w:rsidRPr="00933524">
        <w:rPr>
          <w:rFonts w:ascii="Times New Roman" w:eastAsia="新細明體" w:hAnsi="Times New Roman" w:cs="Times New Roman"/>
          <w:b/>
          <w:bCs/>
          <w:color w:val="222222"/>
          <w:kern w:val="36"/>
          <w:sz w:val="48"/>
          <w:szCs w:val="48"/>
        </w:rPr>
        <w:t>Blue carbon as a natural climate solution</w:t>
      </w:r>
      <w:r>
        <w:rPr>
          <w:rFonts w:ascii="Times New Roman" w:eastAsia="新細明體" w:hAnsi="Times New Roman" w:cs="Times New Roman"/>
          <w:b/>
          <w:bCs/>
          <w:color w:val="222222"/>
          <w:kern w:val="36"/>
          <w:sz w:val="48"/>
          <w:szCs w:val="48"/>
        </w:rPr>
        <w:t xml:space="preserve"> 2021</w:t>
      </w:r>
    </w:p>
    <w:p w:rsidR="00933524" w:rsidRPr="00933524" w:rsidRDefault="00933524" w:rsidP="00A90990"/>
    <w:sectPr w:rsidR="00933524" w:rsidRPr="009335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6A"/>
    <w:rsid w:val="00090D3C"/>
    <w:rsid w:val="000E7313"/>
    <w:rsid w:val="000F520E"/>
    <w:rsid w:val="001A7D85"/>
    <w:rsid w:val="001B409D"/>
    <w:rsid w:val="001E494F"/>
    <w:rsid w:val="003B216C"/>
    <w:rsid w:val="003D6B08"/>
    <w:rsid w:val="00413946"/>
    <w:rsid w:val="00416BC8"/>
    <w:rsid w:val="00434E62"/>
    <w:rsid w:val="00455A6A"/>
    <w:rsid w:val="006A1F23"/>
    <w:rsid w:val="0073669B"/>
    <w:rsid w:val="00836B0C"/>
    <w:rsid w:val="00856694"/>
    <w:rsid w:val="00933524"/>
    <w:rsid w:val="00953B5B"/>
    <w:rsid w:val="009A4DAA"/>
    <w:rsid w:val="009E564B"/>
    <w:rsid w:val="00A16AAB"/>
    <w:rsid w:val="00A90990"/>
    <w:rsid w:val="00A92414"/>
    <w:rsid w:val="00B777D1"/>
    <w:rsid w:val="00C17274"/>
    <w:rsid w:val="00CB0D9B"/>
    <w:rsid w:val="00DA711A"/>
    <w:rsid w:val="00DB223C"/>
    <w:rsid w:val="00E5589B"/>
    <w:rsid w:val="00E9202E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81914-E87B-463F-AAB4-31030E89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3352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69B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933524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國彥 魏</dc:creator>
  <cp:keywords/>
  <dc:description/>
  <cp:lastModifiedBy>國彥 魏</cp:lastModifiedBy>
  <cp:revision>6</cp:revision>
  <dcterms:created xsi:type="dcterms:W3CDTF">2022-07-03T14:32:00Z</dcterms:created>
  <dcterms:modified xsi:type="dcterms:W3CDTF">2023-01-17T09:55:00Z</dcterms:modified>
</cp:coreProperties>
</file>