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B4F4C4" w14:textId="77777777" w:rsidR="00C34CCA" w:rsidRPr="00495A3D" w:rsidRDefault="00C34CCA" w:rsidP="00C34CCA">
      <w:pPr>
        <w:spacing w:after="0"/>
        <w:jc w:val="both"/>
        <w:rPr>
          <w:rFonts w:ascii="Helvetica" w:hAnsi="Helvetica" w:cs="Helvetica"/>
          <w:lang w:val="en-GB"/>
        </w:rPr>
      </w:pPr>
      <w:r w:rsidRPr="00495A3D">
        <w:rPr>
          <w:rFonts w:ascii="Helvetica" w:hAnsi="Helvetica" w:cs="Helvetica"/>
          <w:b/>
          <w:bCs/>
          <w:lang w:val="en-GB"/>
        </w:rPr>
        <w:t>Benchmarking</w:t>
      </w:r>
      <w:r w:rsidRPr="00495A3D">
        <w:rPr>
          <w:rFonts w:ascii="Helvetica" w:hAnsi="Helvetica" w:cs="Helvetica"/>
          <w:lang w:val="en-GB"/>
        </w:rPr>
        <w:br/>
      </w:r>
    </w:p>
    <w:p w14:paraId="361EBA47" w14:textId="77777777" w:rsidR="00C34CCA" w:rsidRPr="00495A3D" w:rsidRDefault="00C34CCA" w:rsidP="00C34CCA">
      <w:pPr>
        <w:spacing w:after="0" w:line="360" w:lineRule="auto"/>
        <w:jc w:val="both"/>
        <w:rPr>
          <w:rFonts w:ascii="Helvetica" w:hAnsi="Helvetica" w:cs="Helvetica"/>
          <w:i/>
          <w:iCs/>
          <w:lang w:val="en-GB"/>
        </w:rPr>
      </w:pPr>
      <w:r w:rsidRPr="00495A3D">
        <w:rPr>
          <w:rFonts w:ascii="Helvetica" w:hAnsi="Helvetica" w:cs="Helvetica"/>
          <w:i/>
          <w:iCs/>
          <w:lang w:val="en-GB"/>
        </w:rPr>
        <w:t>Core benchmarks</w:t>
      </w:r>
    </w:p>
    <w:p w14:paraId="53DCFCAD" w14:textId="6A314DC4" w:rsidR="00C34CCA" w:rsidRPr="00495A3D" w:rsidRDefault="00C34CCA" w:rsidP="00C34CCA">
      <w:pPr>
        <w:spacing w:after="0"/>
        <w:jc w:val="both"/>
        <w:rPr>
          <w:rFonts w:ascii="Helvetica" w:hAnsi="Helvetica" w:cs="Helvetica"/>
          <w:i/>
          <w:iCs/>
          <w:lang w:val="en-GB"/>
        </w:rPr>
      </w:pPr>
      <w:r w:rsidRPr="00495A3D">
        <w:rPr>
          <w:rFonts w:ascii="Helvetica" w:hAnsi="Helvetica" w:cs="Helvetica"/>
          <w:lang w:val="en-GB"/>
        </w:rPr>
        <w:t>In the benchmarks</w:t>
      </w:r>
      <w:r w:rsidR="00023BB0" w:rsidRPr="00495A3D">
        <w:rPr>
          <w:rFonts w:ascii="Helvetica" w:hAnsi="Helvetica" w:cs="Helvetica"/>
          <w:lang w:val="en-GB"/>
        </w:rPr>
        <w:t xml:space="preserve"> performed</w:t>
      </w:r>
      <w:r w:rsidRPr="00495A3D">
        <w:rPr>
          <w:rFonts w:ascii="Helvetica" w:hAnsi="Helvetica" w:cs="Helvetica"/>
          <w:lang w:val="en-GB"/>
        </w:rPr>
        <w:t xml:space="preserve"> in this paper, we have had to make decisions that could impact the projected performance of the different methods. To be fair to all methods, we have tried to equalize the input as much as possible. To this end, the core three benchmarks as displayed in Figure 4 are performed on fine-mapping results from L2G</w:t>
      </w:r>
      <w:r w:rsidRPr="00495A3D">
        <w:rPr>
          <w:rFonts w:ascii="Helvetica" w:hAnsi="Helvetica" w:cs="Helvetica"/>
          <w:szCs w:val="24"/>
          <w:vertAlign w:val="superscript"/>
        </w:rPr>
        <w:t>1</w:t>
      </w:r>
      <w:r w:rsidRPr="00495A3D">
        <w:rPr>
          <w:rFonts w:ascii="Helvetica" w:hAnsi="Helvetica" w:cs="Helvetica"/>
          <w:lang w:val="en-GB"/>
        </w:rPr>
        <w:t>. This ensures that cS2G</w:t>
      </w:r>
      <w:r w:rsidRPr="00495A3D">
        <w:rPr>
          <w:rFonts w:ascii="Helvetica" w:hAnsi="Helvetica" w:cs="Helvetica"/>
          <w:szCs w:val="24"/>
          <w:vertAlign w:val="superscript"/>
        </w:rPr>
        <w:t>2</w:t>
      </w:r>
      <w:r w:rsidRPr="00495A3D">
        <w:rPr>
          <w:rFonts w:ascii="Helvetica" w:hAnsi="Helvetica" w:cs="Helvetica"/>
          <w:lang w:val="en-GB"/>
        </w:rPr>
        <w:t>, distance, FLAMES, and L2G are run on the same SNPs. To equalize across different annotation methods we have done the following:</w:t>
      </w:r>
    </w:p>
    <w:p w14:paraId="5FD64C3E" w14:textId="77777777" w:rsidR="00C34CCA" w:rsidRPr="00495A3D" w:rsidRDefault="00C34CCA" w:rsidP="00C34CCA">
      <w:pPr>
        <w:spacing w:after="0"/>
        <w:jc w:val="both"/>
        <w:rPr>
          <w:rFonts w:ascii="Helvetica" w:hAnsi="Helvetica" w:cs="Helvetica"/>
          <w:lang w:val="en-GB"/>
        </w:rPr>
      </w:pPr>
      <w:r w:rsidRPr="00495A3D">
        <w:rPr>
          <w:rFonts w:ascii="Helvetica" w:hAnsi="Helvetica" w:cs="Helvetica"/>
          <w:lang w:val="en-GB"/>
        </w:rPr>
        <w:br/>
      </w:r>
      <w:proofErr w:type="spellStart"/>
      <w:r w:rsidRPr="00495A3D">
        <w:rPr>
          <w:rFonts w:ascii="Helvetica" w:hAnsi="Helvetica" w:cs="Helvetica"/>
          <w:lang w:val="en-GB"/>
        </w:rPr>
        <w:t>i</w:t>
      </w:r>
      <w:proofErr w:type="spellEnd"/>
      <w:r w:rsidRPr="00495A3D">
        <w:rPr>
          <w:rFonts w:ascii="Helvetica" w:hAnsi="Helvetica" w:cs="Helvetica"/>
          <w:lang w:val="en-GB"/>
        </w:rPr>
        <w:t xml:space="preserve">. If a gene is not annotated by both L2G and FLAMES, we discard that gene. This ensures that differences are not due to annotation. </w:t>
      </w:r>
    </w:p>
    <w:p w14:paraId="3B37C6BB" w14:textId="77777777" w:rsidR="00C34CCA" w:rsidRPr="00495A3D" w:rsidRDefault="00C34CCA" w:rsidP="00C34CCA">
      <w:pPr>
        <w:spacing w:after="0"/>
        <w:jc w:val="both"/>
        <w:rPr>
          <w:rFonts w:ascii="Helvetica" w:hAnsi="Helvetica" w:cs="Helvetica"/>
          <w:lang w:val="en-GB"/>
        </w:rPr>
      </w:pPr>
    </w:p>
    <w:p w14:paraId="65CFD676" w14:textId="77777777" w:rsidR="00C34CCA" w:rsidRPr="00495A3D" w:rsidRDefault="00C34CCA" w:rsidP="00C34CCA">
      <w:pPr>
        <w:spacing w:after="0"/>
        <w:jc w:val="both"/>
        <w:rPr>
          <w:rFonts w:ascii="Helvetica" w:hAnsi="Helvetica" w:cs="Helvetica"/>
          <w:lang w:val="en-GB"/>
        </w:rPr>
      </w:pPr>
      <w:r w:rsidRPr="00495A3D">
        <w:rPr>
          <w:rFonts w:ascii="Helvetica" w:hAnsi="Helvetica" w:cs="Helvetica"/>
          <w:lang w:val="en-GB"/>
        </w:rPr>
        <w:t xml:space="preserve">ii. If a gene is not annotated by L2G and FLAMES, we do not assign a cS2G score. </w:t>
      </w:r>
    </w:p>
    <w:p w14:paraId="71636799" w14:textId="77777777" w:rsidR="00C34CCA" w:rsidRPr="00495A3D" w:rsidRDefault="00C34CCA" w:rsidP="00C34CCA">
      <w:pPr>
        <w:spacing w:after="0"/>
        <w:jc w:val="both"/>
        <w:rPr>
          <w:rFonts w:ascii="Helvetica" w:hAnsi="Helvetica" w:cs="Helvetica"/>
          <w:lang w:val="en-GB"/>
        </w:rPr>
      </w:pPr>
    </w:p>
    <w:p w14:paraId="0D8A46A8" w14:textId="2A8778A6" w:rsidR="00C34CCA" w:rsidRPr="00495A3D" w:rsidRDefault="00C34CCA" w:rsidP="00C34CCA">
      <w:pPr>
        <w:jc w:val="both"/>
        <w:rPr>
          <w:rFonts w:ascii="Helvetica" w:hAnsi="Helvetica" w:cs="Helvetica"/>
          <w:lang w:val="en-GB"/>
        </w:rPr>
      </w:pPr>
      <w:r w:rsidRPr="00495A3D">
        <w:rPr>
          <w:rFonts w:ascii="Helvetica" w:hAnsi="Helvetica" w:cs="Helvetica"/>
          <w:lang w:val="en-GB"/>
        </w:rPr>
        <w:t xml:space="preserve">To prevent overrepresentation of a single gene-trait pair, we remove duplicate gene-trait pairs, by only keeping the credible set that comes from the lowest P-value L2G locus mapping to a true positive gene for any given phenotype. The methods describing </w:t>
      </w:r>
      <w:r w:rsidR="008F62B9" w:rsidRPr="00495A3D">
        <w:rPr>
          <w:rFonts w:ascii="Helvetica" w:hAnsi="Helvetica" w:cs="Helvetica"/>
          <w:lang w:val="en-GB"/>
        </w:rPr>
        <w:t>the core benchmarks can</w:t>
      </w:r>
      <w:r w:rsidRPr="00495A3D">
        <w:rPr>
          <w:rFonts w:ascii="Helvetica" w:hAnsi="Helvetica" w:cs="Helvetica"/>
          <w:lang w:val="en-GB"/>
        </w:rPr>
        <w:t xml:space="preserve"> be found in the methods.</w:t>
      </w:r>
      <w:r w:rsidR="008F62B9" w:rsidRPr="00495A3D">
        <w:rPr>
          <w:rFonts w:ascii="Helvetica" w:hAnsi="Helvetica" w:cs="Helvetica"/>
          <w:lang w:val="en-GB"/>
        </w:rPr>
        <w:t xml:space="preserve"> </w:t>
      </w:r>
    </w:p>
    <w:p w14:paraId="0CC54811" w14:textId="77777777" w:rsidR="00C34CCA" w:rsidRPr="00495A3D" w:rsidRDefault="00C34CCA" w:rsidP="00C34CCA">
      <w:pPr>
        <w:jc w:val="both"/>
        <w:rPr>
          <w:rFonts w:ascii="Helvetica" w:hAnsi="Helvetica" w:cs="Helvetica"/>
          <w:lang w:val="en-GB"/>
        </w:rPr>
      </w:pPr>
    </w:p>
    <w:p w14:paraId="076A6E06" w14:textId="77777777" w:rsidR="00C34CCA" w:rsidRPr="00495A3D" w:rsidRDefault="00C34CCA" w:rsidP="00C34CCA">
      <w:pPr>
        <w:jc w:val="both"/>
        <w:rPr>
          <w:rFonts w:ascii="Helvetica" w:hAnsi="Helvetica" w:cs="Helvetica"/>
          <w:i/>
          <w:iCs/>
          <w:lang w:val="en-GB"/>
        </w:rPr>
      </w:pPr>
      <w:r w:rsidRPr="00495A3D">
        <w:rPr>
          <w:rFonts w:ascii="Helvetica" w:hAnsi="Helvetica" w:cs="Helvetica"/>
          <w:i/>
          <w:iCs/>
          <w:lang w:val="en-GB"/>
        </w:rPr>
        <w:t>Additional benchmarks – Ei</w:t>
      </w:r>
    </w:p>
    <w:p w14:paraId="4375A59A" w14:textId="6C4CCA1A" w:rsidR="00C34CCA" w:rsidRPr="00495A3D" w:rsidRDefault="00C34CCA" w:rsidP="00C34CCA">
      <w:pPr>
        <w:jc w:val="both"/>
        <w:rPr>
          <w:rFonts w:ascii="Helvetica" w:hAnsi="Helvetica" w:cs="Helvetica"/>
          <w:lang w:val="en-GB"/>
        </w:rPr>
      </w:pPr>
      <w:r w:rsidRPr="00495A3D">
        <w:rPr>
          <w:rFonts w:ascii="Helvetica" w:hAnsi="Helvetica" w:cs="Helvetica"/>
          <w:lang w:val="en-GB"/>
        </w:rPr>
        <w:t xml:space="preserve">Ei is different from L2G, FLAMES, and cS2G as the entire unit of analysis shifts from a single SNP/credible set, to the entire locus. This means that we need to convert FLAMES scores to scores for all the credible sets within each locus. The difficulty here is that FLAMES scores do not incorporate the fine-mapping relevance of the credible sets, only the confidence of a gene being the effector gene of a credible set. With the unit of analysis shifting to larger loci, it matters which genes are annotated to the locus to compare performance in an Area Under the Precision-Recall curve (AUPRC), as this can be strongly skewed by class imbalance. To transform the fine-mapped regions from </w:t>
      </w:r>
      <w:proofErr w:type="spellStart"/>
      <w:r w:rsidRPr="00495A3D">
        <w:rPr>
          <w:rFonts w:ascii="Helvetica" w:hAnsi="Helvetica" w:cs="Helvetica"/>
          <w:lang w:val="en-GB"/>
        </w:rPr>
        <w:t>Forgetta</w:t>
      </w:r>
      <w:proofErr w:type="spellEnd"/>
      <w:r w:rsidRPr="00495A3D">
        <w:rPr>
          <w:rFonts w:ascii="Helvetica" w:hAnsi="Helvetica" w:cs="Helvetica"/>
          <w:lang w:val="en-GB"/>
        </w:rPr>
        <w:t xml:space="preserve"> </w:t>
      </w:r>
      <w:r w:rsidRPr="00495A3D">
        <w:rPr>
          <w:rFonts w:ascii="Helvetica" w:hAnsi="Helvetica" w:cs="Helvetica"/>
          <w:i/>
          <w:iCs/>
          <w:lang w:val="en-GB"/>
        </w:rPr>
        <w:t>et al</w:t>
      </w:r>
      <w:r w:rsidRPr="00495A3D">
        <w:rPr>
          <w:rFonts w:ascii="Helvetica" w:hAnsi="Helvetica" w:cs="Helvetica"/>
          <w:szCs w:val="24"/>
          <w:vertAlign w:val="superscript"/>
        </w:rPr>
        <w:t>3</w:t>
      </w:r>
      <w:r w:rsidRPr="00495A3D">
        <w:rPr>
          <w:rFonts w:ascii="Helvetica" w:hAnsi="Helvetica" w:cs="Helvetica"/>
          <w:i/>
          <w:iCs/>
          <w:lang w:val="en-GB"/>
        </w:rPr>
        <w:t>.</w:t>
      </w:r>
      <w:r w:rsidRPr="00495A3D">
        <w:rPr>
          <w:rFonts w:ascii="Helvetica" w:hAnsi="Helvetica" w:cs="Helvetica"/>
          <w:lang w:val="en-GB"/>
        </w:rPr>
        <w:t xml:space="preserve">, we transform the PIPs by multiplying them by their Bayes factor and dividing them by the summed Bayes factor of the locus, </w:t>
      </w:r>
      <w:r w:rsidR="00A31B25" w:rsidRPr="00495A3D">
        <w:rPr>
          <w:rFonts w:ascii="Helvetica" w:hAnsi="Helvetica" w:cs="Helvetica"/>
          <w:lang w:val="en-GB"/>
        </w:rPr>
        <w:t>merging</w:t>
      </w:r>
      <w:r w:rsidRPr="00495A3D">
        <w:rPr>
          <w:rFonts w:ascii="Helvetica" w:hAnsi="Helvetica" w:cs="Helvetica"/>
          <w:lang w:val="en-GB"/>
        </w:rPr>
        <w:t xml:space="preserve"> into a single credible set. Ei scores for </w:t>
      </w:r>
      <w:proofErr w:type="spellStart"/>
      <w:r w:rsidRPr="00495A3D">
        <w:rPr>
          <w:rFonts w:ascii="Helvetica" w:hAnsi="Helvetica" w:cs="Helvetica"/>
          <w:lang w:val="en-GB"/>
        </w:rPr>
        <w:t>ExWAS</w:t>
      </w:r>
      <w:proofErr w:type="spellEnd"/>
      <w:r w:rsidRPr="00495A3D">
        <w:rPr>
          <w:rFonts w:ascii="Helvetica" w:hAnsi="Helvetica" w:cs="Helvetica"/>
          <w:lang w:val="en-GB"/>
        </w:rPr>
        <w:t xml:space="preserve">-implicated genes were acquired from the authors of the publication benchmarking Ei on </w:t>
      </w:r>
      <w:proofErr w:type="spellStart"/>
      <w:r w:rsidRPr="00495A3D">
        <w:rPr>
          <w:rFonts w:ascii="Helvetica" w:hAnsi="Helvetica" w:cs="Helvetica"/>
          <w:lang w:val="en-GB"/>
        </w:rPr>
        <w:t>ExWAS</w:t>
      </w:r>
      <w:proofErr w:type="spellEnd"/>
      <w:r w:rsidRPr="00495A3D">
        <w:rPr>
          <w:rFonts w:ascii="Helvetica" w:hAnsi="Helvetica" w:cs="Helvetica"/>
          <w:lang w:val="en-GB"/>
        </w:rPr>
        <w:t xml:space="preserve"> genes</w:t>
      </w:r>
      <w:r w:rsidRPr="00495A3D">
        <w:rPr>
          <w:rFonts w:ascii="Helvetica" w:hAnsi="Helvetica" w:cs="Helvetica"/>
          <w:szCs w:val="24"/>
          <w:vertAlign w:val="superscript"/>
        </w:rPr>
        <w:t>4</w:t>
      </w:r>
      <w:r w:rsidRPr="00495A3D">
        <w:rPr>
          <w:rFonts w:ascii="Helvetica" w:hAnsi="Helvetica" w:cs="Helvetica"/>
          <w:lang w:val="en-GB"/>
        </w:rPr>
        <w:t>. Ei scores were made per locus, inputting multiple credible sets. To compare them to FLAMES scores, we averaged all scores for a gene within traits.</w:t>
      </w:r>
    </w:p>
    <w:p w14:paraId="7A86C4EA" w14:textId="77777777" w:rsidR="00C34CCA" w:rsidRPr="00495A3D" w:rsidRDefault="00C34CCA" w:rsidP="00C34CCA">
      <w:pPr>
        <w:jc w:val="both"/>
        <w:rPr>
          <w:rFonts w:ascii="Helvetica" w:hAnsi="Helvetica" w:cs="Helvetica"/>
          <w:lang w:val="en-GB"/>
        </w:rPr>
      </w:pPr>
    </w:p>
    <w:p w14:paraId="08C3A657" w14:textId="34F99970" w:rsidR="00C34CCA" w:rsidRPr="00495A3D" w:rsidRDefault="00C34CCA" w:rsidP="00C34CCA">
      <w:pPr>
        <w:jc w:val="both"/>
        <w:rPr>
          <w:rFonts w:ascii="Helvetica" w:hAnsi="Helvetica" w:cs="Helvetica"/>
          <w:i/>
          <w:iCs/>
          <w:lang w:val="en-GB"/>
        </w:rPr>
      </w:pPr>
      <w:r w:rsidRPr="00495A3D">
        <w:rPr>
          <w:rFonts w:ascii="Helvetica" w:hAnsi="Helvetica" w:cs="Helvetica"/>
          <w:i/>
          <w:iCs/>
          <w:lang w:val="en-GB"/>
        </w:rPr>
        <w:t>Additional benchmarks</w:t>
      </w:r>
      <w:r w:rsidR="00023BB0" w:rsidRPr="00495A3D">
        <w:rPr>
          <w:rFonts w:ascii="Helvetica" w:hAnsi="Helvetica" w:cs="Helvetica"/>
          <w:i/>
          <w:iCs/>
          <w:lang w:val="en-GB"/>
        </w:rPr>
        <w:t xml:space="preserve"> – </w:t>
      </w:r>
      <w:r w:rsidRPr="00495A3D">
        <w:rPr>
          <w:rFonts w:ascii="Helvetica" w:hAnsi="Helvetica" w:cs="Helvetica"/>
          <w:i/>
          <w:iCs/>
          <w:lang w:val="en-GB"/>
        </w:rPr>
        <w:t xml:space="preserve"> three molecular traits with full fine-mapping</w:t>
      </w:r>
    </w:p>
    <w:p w14:paraId="120D17E8" w14:textId="76FF158A" w:rsidR="00C34CCA" w:rsidRPr="00495A3D" w:rsidRDefault="00C34CCA" w:rsidP="00C34CCA">
      <w:pPr>
        <w:jc w:val="both"/>
        <w:rPr>
          <w:rFonts w:ascii="Helvetica" w:hAnsi="Helvetica" w:cs="Helvetica"/>
          <w:lang w:val="en-GB"/>
        </w:rPr>
      </w:pPr>
      <w:r w:rsidRPr="00495A3D">
        <w:rPr>
          <w:rFonts w:ascii="Helvetica" w:hAnsi="Helvetica" w:cs="Helvetica"/>
          <w:lang w:val="en-GB"/>
        </w:rPr>
        <w:t>An additional benchmarking was performed for the FUMA</w:t>
      </w:r>
      <w:r w:rsidRPr="00495A3D">
        <w:rPr>
          <w:rFonts w:ascii="Helvetica" w:hAnsi="Helvetica" w:cs="Helvetica"/>
          <w:szCs w:val="24"/>
          <w:vertAlign w:val="superscript"/>
        </w:rPr>
        <w:t>5</w:t>
      </w:r>
      <w:r w:rsidRPr="00495A3D">
        <w:rPr>
          <w:rFonts w:ascii="Helvetica" w:hAnsi="Helvetica" w:cs="Helvetica"/>
          <w:lang w:val="en-GB"/>
        </w:rPr>
        <w:t xml:space="preserve"> loci that map a true positive gene from the three molecular traits benchmark. Given the increased chance of false positives from erroneously generated credible sets by FINEMAP</w:t>
      </w:r>
      <w:r w:rsidRPr="00495A3D">
        <w:rPr>
          <w:rFonts w:ascii="Helvetica" w:hAnsi="Helvetica" w:cs="Helvetica"/>
          <w:szCs w:val="24"/>
          <w:vertAlign w:val="superscript"/>
        </w:rPr>
        <w:t>6</w:t>
      </w:r>
      <w:r w:rsidRPr="00495A3D">
        <w:rPr>
          <w:rFonts w:ascii="Helvetica" w:hAnsi="Helvetica" w:cs="Helvetica"/>
          <w:lang w:val="en-GB"/>
        </w:rPr>
        <w:t xml:space="preserve"> we opted to use the more conservative raw-only threshold.  </w:t>
      </w:r>
      <w:r w:rsidRPr="00495A3D">
        <w:rPr>
          <w:rFonts w:ascii="Helvetica" w:hAnsi="Helvetica" w:cs="Helvetica"/>
          <w:lang w:val="en-US"/>
        </w:rPr>
        <w:t>In this benchmark, recall is calculated as the proportion of unique causal genes recovered. Given that the chance of spurious signals being present in the loci with multiple fine-mapped credible sets is higher, we used the more conservative minimum raw score threshold (see next section – calibration).</w:t>
      </w:r>
    </w:p>
    <w:p w14:paraId="1B5AE3EB" w14:textId="77777777" w:rsidR="00C34CCA" w:rsidRPr="00495A3D" w:rsidRDefault="00C34CCA" w:rsidP="00C34CCA">
      <w:pPr>
        <w:jc w:val="both"/>
        <w:rPr>
          <w:rFonts w:ascii="Helvetica" w:hAnsi="Helvetica" w:cs="Helvetica"/>
          <w:b/>
          <w:bCs/>
          <w:lang w:val="en-GB"/>
        </w:rPr>
      </w:pPr>
    </w:p>
    <w:p w14:paraId="08E67089" w14:textId="77777777" w:rsidR="00C34CCA" w:rsidRPr="00495A3D" w:rsidRDefault="00C34CCA" w:rsidP="00C34CCA">
      <w:pPr>
        <w:jc w:val="both"/>
        <w:rPr>
          <w:rFonts w:ascii="Helvetica" w:hAnsi="Helvetica" w:cs="Helvetica"/>
          <w:b/>
          <w:bCs/>
          <w:lang w:val="en-GB"/>
        </w:rPr>
      </w:pPr>
    </w:p>
    <w:p w14:paraId="0B77FA29" w14:textId="77777777" w:rsidR="00C34CCA" w:rsidRPr="00495A3D" w:rsidRDefault="00C34CCA" w:rsidP="00C34CCA">
      <w:pPr>
        <w:jc w:val="both"/>
        <w:rPr>
          <w:rFonts w:ascii="Helvetica" w:hAnsi="Helvetica" w:cs="Helvetica"/>
          <w:b/>
          <w:bCs/>
          <w:lang w:val="en-GB"/>
        </w:rPr>
      </w:pPr>
    </w:p>
    <w:p w14:paraId="14C4A7D3" w14:textId="59A2138A" w:rsidR="00C34CCA" w:rsidRPr="00495A3D" w:rsidRDefault="00C34CCA" w:rsidP="006035F3">
      <w:pPr>
        <w:tabs>
          <w:tab w:val="left" w:pos="6524"/>
        </w:tabs>
        <w:jc w:val="both"/>
        <w:rPr>
          <w:rFonts w:ascii="Helvetica" w:hAnsi="Helvetica" w:cs="Helvetica"/>
          <w:b/>
          <w:bCs/>
          <w:lang w:val="en-GB"/>
        </w:rPr>
      </w:pPr>
      <w:r w:rsidRPr="00495A3D">
        <w:rPr>
          <w:rFonts w:ascii="Helvetica" w:hAnsi="Helvetica" w:cs="Helvetica"/>
          <w:b/>
          <w:bCs/>
          <w:lang w:val="en-GB"/>
        </w:rPr>
        <w:t>Calibration</w:t>
      </w:r>
      <w:r w:rsidR="006035F3" w:rsidRPr="00495A3D">
        <w:rPr>
          <w:rFonts w:ascii="Helvetica" w:hAnsi="Helvetica" w:cs="Helvetica"/>
          <w:b/>
          <w:bCs/>
          <w:lang w:val="en-GB"/>
        </w:rPr>
        <w:tab/>
      </w:r>
    </w:p>
    <w:p w14:paraId="12FF3AF8" w14:textId="55DC8766" w:rsidR="00C34CCA" w:rsidRPr="00495A3D" w:rsidRDefault="00C34CCA" w:rsidP="00C34CCA">
      <w:pPr>
        <w:spacing w:line="276" w:lineRule="auto"/>
        <w:jc w:val="both"/>
        <w:rPr>
          <w:rFonts w:ascii="Helvetica" w:hAnsi="Helvetica" w:cs="Helvetica"/>
          <w:lang w:val="en-US"/>
        </w:rPr>
      </w:pPr>
      <w:r w:rsidRPr="00495A3D">
        <w:rPr>
          <w:rFonts w:ascii="Helvetica" w:hAnsi="Helvetica" w:cs="Helvetica"/>
          <w:lang w:val="en-US"/>
        </w:rPr>
        <w:t xml:space="preserve">We calculated a recommended threshold of the raw and scaled FLAMES scores that corresponds with an estimated overall prediction 75% precision in the </w:t>
      </w:r>
      <w:proofErr w:type="spellStart"/>
      <w:r w:rsidRPr="00495A3D">
        <w:rPr>
          <w:rFonts w:ascii="Helvetica" w:hAnsi="Helvetica" w:cs="Helvetica"/>
          <w:lang w:val="en-US"/>
        </w:rPr>
        <w:t>ExWAS</w:t>
      </w:r>
      <w:proofErr w:type="spellEnd"/>
      <w:r w:rsidR="00A31B25" w:rsidRPr="00495A3D">
        <w:rPr>
          <w:rFonts w:ascii="Helvetica" w:hAnsi="Helvetica" w:cs="Helvetica"/>
          <w:lang w:val="en-US"/>
        </w:rPr>
        <w:t>-</w:t>
      </w:r>
      <w:r w:rsidRPr="00495A3D">
        <w:rPr>
          <w:rFonts w:ascii="Helvetica" w:hAnsi="Helvetica" w:cs="Helvetica"/>
          <w:lang w:val="en-US"/>
        </w:rPr>
        <w:t xml:space="preserve">implicated set (Fig. 4d).  This set was chosen because: </w:t>
      </w:r>
    </w:p>
    <w:p w14:paraId="11026667" w14:textId="3E89C21C" w:rsidR="00C34CCA" w:rsidRPr="00495A3D" w:rsidRDefault="00C34CCA" w:rsidP="00C34CCA">
      <w:pPr>
        <w:pStyle w:val="ListParagraph"/>
        <w:numPr>
          <w:ilvl w:val="0"/>
          <w:numId w:val="1"/>
        </w:numPr>
        <w:spacing w:line="276" w:lineRule="auto"/>
        <w:jc w:val="both"/>
        <w:rPr>
          <w:rFonts w:ascii="Helvetica" w:hAnsi="Helvetica" w:cs="Helvetica"/>
          <w:lang w:val="en-US"/>
        </w:rPr>
      </w:pPr>
      <w:r w:rsidRPr="00495A3D">
        <w:rPr>
          <w:rFonts w:ascii="Helvetica" w:hAnsi="Helvetica" w:cs="Helvetica"/>
          <w:lang w:val="en-US"/>
        </w:rPr>
        <w:t>It is data-driven</w:t>
      </w:r>
      <w:r w:rsidR="00EB5A83" w:rsidRPr="00495A3D">
        <w:rPr>
          <w:rFonts w:ascii="Helvetica" w:hAnsi="Helvetica" w:cs="Helvetica"/>
          <w:lang w:val="en-US"/>
        </w:rPr>
        <w:t>.</w:t>
      </w:r>
    </w:p>
    <w:p w14:paraId="56E32AE7" w14:textId="0584A91C" w:rsidR="00C34CCA" w:rsidRPr="00495A3D" w:rsidRDefault="00C34CCA" w:rsidP="00C34CCA">
      <w:pPr>
        <w:pStyle w:val="ListParagraph"/>
        <w:numPr>
          <w:ilvl w:val="0"/>
          <w:numId w:val="1"/>
        </w:numPr>
        <w:spacing w:line="276" w:lineRule="auto"/>
        <w:jc w:val="both"/>
        <w:rPr>
          <w:rFonts w:ascii="Helvetica" w:hAnsi="Helvetica" w:cs="Helvetica"/>
          <w:lang w:val="en-US"/>
        </w:rPr>
      </w:pPr>
      <w:r w:rsidRPr="00495A3D">
        <w:rPr>
          <w:rFonts w:ascii="Helvetica" w:hAnsi="Helvetica" w:cs="Helvetica"/>
          <w:lang w:val="en-US"/>
        </w:rPr>
        <w:t>It has the closest</w:t>
      </w:r>
      <w:r w:rsidR="00A31B25" w:rsidRPr="00495A3D">
        <w:rPr>
          <w:rFonts w:ascii="Helvetica" w:hAnsi="Helvetica" w:cs="Helvetica"/>
          <w:lang w:val="en-US"/>
        </w:rPr>
        <w:t xml:space="preserve"> </w:t>
      </w:r>
      <w:r w:rsidRPr="00495A3D">
        <w:rPr>
          <w:rFonts w:ascii="Helvetica" w:hAnsi="Helvetica" w:cs="Helvetica"/>
          <w:lang w:val="en-US"/>
        </w:rPr>
        <w:t>gene precision most similar to previously established GWAS estimates</w:t>
      </w:r>
      <w:r w:rsidRPr="00495A3D">
        <w:rPr>
          <w:rFonts w:ascii="Helvetica" w:hAnsi="Helvetica" w:cs="Helvetica"/>
          <w:szCs w:val="24"/>
          <w:vertAlign w:val="superscript"/>
        </w:rPr>
        <w:t>7</w:t>
      </w:r>
      <w:r w:rsidR="00EB5A83" w:rsidRPr="00495A3D">
        <w:rPr>
          <w:rFonts w:ascii="Helvetica" w:hAnsi="Helvetica" w:cs="Helvetica"/>
          <w:lang w:val="en-US"/>
        </w:rPr>
        <w:t>.</w:t>
      </w:r>
    </w:p>
    <w:p w14:paraId="47895950" w14:textId="52F4137E" w:rsidR="00C34CCA" w:rsidRPr="00495A3D" w:rsidRDefault="00C34CCA" w:rsidP="00C34CCA">
      <w:pPr>
        <w:pStyle w:val="ListParagraph"/>
        <w:numPr>
          <w:ilvl w:val="0"/>
          <w:numId w:val="1"/>
        </w:numPr>
        <w:spacing w:line="276" w:lineRule="auto"/>
        <w:jc w:val="both"/>
        <w:rPr>
          <w:rFonts w:ascii="Helvetica" w:hAnsi="Helvetica" w:cs="Helvetica"/>
          <w:lang w:val="en-US"/>
        </w:rPr>
      </w:pPr>
      <w:r w:rsidRPr="00495A3D">
        <w:rPr>
          <w:rFonts w:ascii="Helvetica" w:hAnsi="Helvetica" w:cs="Helvetica"/>
          <w:lang w:val="en-US"/>
        </w:rPr>
        <w:t>It has the lowest overall AUPRC</w:t>
      </w:r>
      <w:r w:rsidR="00A31B25" w:rsidRPr="00495A3D">
        <w:rPr>
          <w:rFonts w:ascii="Helvetica" w:hAnsi="Helvetica" w:cs="Helvetica"/>
          <w:lang w:val="en-US"/>
        </w:rPr>
        <w:t>, therefore resulting in the most</w:t>
      </w:r>
      <w:r w:rsidRPr="00495A3D">
        <w:rPr>
          <w:rFonts w:ascii="Helvetica" w:hAnsi="Helvetica" w:cs="Helvetica"/>
          <w:lang w:val="en-US"/>
        </w:rPr>
        <w:t xml:space="preserve"> conservative </w:t>
      </w:r>
      <w:r w:rsidR="00A31B25" w:rsidRPr="00495A3D">
        <w:rPr>
          <w:rFonts w:ascii="Helvetica" w:hAnsi="Helvetica" w:cs="Helvetica"/>
          <w:lang w:val="en-US"/>
        </w:rPr>
        <w:t>threshold</w:t>
      </w:r>
      <w:r w:rsidRPr="00495A3D">
        <w:rPr>
          <w:rFonts w:ascii="Helvetica" w:hAnsi="Helvetica" w:cs="Helvetica"/>
          <w:lang w:val="en-US"/>
        </w:rPr>
        <w:t xml:space="preserve"> estimation. </w:t>
      </w:r>
    </w:p>
    <w:p w14:paraId="48E97C3C" w14:textId="77777777" w:rsidR="00C34CCA" w:rsidRPr="00495A3D" w:rsidRDefault="00C34CCA" w:rsidP="00C34CCA">
      <w:pPr>
        <w:spacing w:line="276" w:lineRule="auto"/>
        <w:ind w:left="360"/>
        <w:jc w:val="both"/>
        <w:rPr>
          <w:rFonts w:ascii="Helvetica" w:hAnsi="Helvetica" w:cs="Helvetica"/>
          <w:lang w:val="en-US"/>
        </w:rPr>
      </w:pPr>
      <w:r w:rsidRPr="00495A3D">
        <w:rPr>
          <w:rFonts w:ascii="Helvetica" w:hAnsi="Helvetica" w:cs="Helvetica"/>
          <w:lang w:val="en-US"/>
        </w:rPr>
        <w:t xml:space="preserve">We recommend prioritizing genes if they have the highest scaled FLAMES score in the locus, this score is higher than 0.248, and they also have a raw FLAMES score higher than 0.136.  </w:t>
      </w:r>
    </w:p>
    <w:p w14:paraId="57671494" w14:textId="26348C6D" w:rsidR="00C34CCA" w:rsidRPr="00495A3D" w:rsidRDefault="00C34CCA" w:rsidP="00C34CCA">
      <w:pPr>
        <w:spacing w:line="276" w:lineRule="auto"/>
        <w:ind w:left="360"/>
        <w:jc w:val="both"/>
        <w:rPr>
          <w:rFonts w:ascii="Helvetica" w:hAnsi="Helvetica" w:cs="Helvetica"/>
          <w:lang w:val="en-US"/>
        </w:rPr>
      </w:pPr>
      <w:r w:rsidRPr="00495A3D">
        <w:rPr>
          <w:rFonts w:ascii="Helvetica" w:hAnsi="Helvetica" w:cs="Helvetica"/>
          <w:lang w:val="en-US"/>
        </w:rPr>
        <w:t xml:space="preserve">Alternatively, we calculated a 75% precision threshold based solely on the raw scores, corresponding to a minimum raw score of 0.307. This ensures that there is always a high baseline level of evidence in a locus and scores are not inflated due to scaling. However, this lowers the estimated recall from 0.364 to 0.273. We therefore recommend using the combined scaled FLAMES score &gt; 0.248 and raw FLAMES score &gt; 0.136  by default.  We would like to stress that these confidence thresholds were calculated in genome-wide significant loci and might not translate to non-significant </w:t>
      </w:r>
      <w:r w:rsidR="00377EEF" w:rsidRPr="00495A3D">
        <w:rPr>
          <w:rFonts w:ascii="Helvetica" w:hAnsi="Helvetica" w:cs="Helvetica"/>
          <w:lang w:val="en-US"/>
        </w:rPr>
        <w:t>loci</w:t>
      </w:r>
      <w:r w:rsidRPr="00495A3D">
        <w:rPr>
          <w:rFonts w:ascii="Helvetica" w:hAnsi="Helvetica" w:cs="Helvetica"/>
          <w:lang w:val="en-US"/>
        </w:rPr>
        <w:t xml:space="preserve">. </w:t>
      </w:r>
    </w:p>
    <w:p w14:paraId="288D642F" w14:textId="77777777" w:rsidR="00C34CCA" w:rsidRPr="00495A3D" w:rsidRDefault="00C34CCA" w:rsidP="00C34CCA">
      <w:pPr>
        <w:spacing w:line="276" w:lineRule="auto"/>
        <w:jc w:val="both"/>
        <w:rPr>
          <w:rFonts w:ascii="Helvetica" w:hAnsi="Helvetica" w:cs="Helvetica"/>
          <w:lang w:val="en-US"/>
        </w:rPr>
      </w:pPr>
    </w:p>
    <w:p w14:paraId="53492090" w14:textId="77777777" w:rsidR="00C34CCA" w:rsidRPr="00495A3D" w:rsidRDefault="00C34CCA" w:rsidP="00C34CCA">
      <w:pPr>
        <w:spacing w:line="276" w:lineRule="auto"/>
        <w:jc w:val="both"/>
        <w:rPr>
          <w:rFonts w:ascii="Helvetica" w:hAnsi="Helvetica" w:cs="Helvetica"/>
          <w:b/>
          <w:bCs/>
          <w:sz w:val="20"/>
          <w:szCs w:val="20"/>
          <w:lang w:val="en-US"/>
        </w:rPr>
      </w:pPr>
      <w:r w:rsidRPr="00495A3D">
        <w:rPr>
          <w:rFonts w:ascii="Helvetica" w:hAnsi="Helvetica" w:cs="Helvetica"/>
          <w:b/>
          <w:bCs/>
          <w:sz w:val="20"/>
          <w:szCs w:val="20"/>
          <w:lang w:val="en-US"/>
        </w:rPr>
        <w:t>References</w:t>
      </w:r>
    </w:p>
    <w:p w14:paraId="6A1658FE" w14:textId="21EB6713" w:rsidR="00C34CCA" w:rsidRPr="00495A3D" w:rsidRDefault="00C34CCA" w:rsidP="00C34CCA">
      <w:pPr>
        <w:pStyle w:val="Bibliography"/>
        <w:rPr>
          <w:rFonts w:ascii="Helvetica" w:hAnsi="Helvetica" w:cs="Helvetica"/>
          <w:sz w:val="20"/>
          <w:szCs w:val="20"/>
        </w:rPr>
      </w:pPr>
      <w:r w:rsidRPr="00495A3D">
        <w:rPr>
          <w:rFonts w:ascii="Helvetica" w:hAnsi="Helvetica" w:cs="Helvetica"/>
          <w:sz w:val="20"/>
          <w:szCs w:val="20"/>
        </w:rPr>
        <w:t>1.</w:t>
      </w:r>
      <w:r w:rsidRPr="00495A3D">
        <w:rPr>
          <w:rFonts w:ascii="Helvetica" w:hAnsi="Helvetica" w:cs="Helvetica"/>
          <w:sz w:val="20"/>
          <w:szCs w:val="20"/>
        </w:rPr>
        <w:tab/>
        <w:t xml:space="preserve">Mountjoy, E. </w:t>
      </w:r>
      <w:r w:rsidRPr="00495A3D">
        <w:rPr>
          <w:rFonts w:ascii="Helvetica" w:hAnsi="Helvetica" w:cs="Helvetica"/>
          <w:i/>
          <w:iCs/>
          <w:sz w:val="20"/>
          <w:szCs w:val="20"/>
        </w:rPr>
        <w:t>et al.</w:t>
      </w:r>
      <w:r w:rsidRPr="00495A3D">
        <w:rPr>
          <w:rFonts w:ascii="Helvetica" w:hAnsi="Helvetica" w:cs="Helvetica"/>
          <w:sz w:val="20"/>
          <w:szCs w:val="20"/>
        </w:rPr>
        <w:t xml:space="preserve"> An open approach to systematically prioritize causal variants and genes at all published human GWAS trait-associated loci. </w:t>
      </w:r>
      <w:r w:rsidRPr="00495A3D">
        <w:rPr>
          <w:rFonts w:ascii="Helvetica" w:hAnsi="Helvetica" w:cs="Helvetica"/>
          <w:i/>
          <w:iCs/>
          <w:sz w:val="20"/>
          <w:szCs w:val="20"/>
        </w:rPr>
        <w:t>Nat. Genet.</w:t>
      </w:r>
      <w:r w:rsidRPr="00495A3D">
        <w:rPr>
          <w:rFonts w:ascii="Helvetica" w:hAnsi="Helvetica" w:cs="Helvetica"/>
          <w:sz w:val="20"/>
          <w:szCs w:val="20"/>
        </w:rPr>
        <w:t xml:space="preserve"> </w:t>
      </w:r>
      <w:r w:rsidRPr="00495A3D">
        <w:rPr>
          <w:rFonts w:ascii="Helvetica" w:hAnsi="Helvetica" w:cs="Helvetica"/>
          <w:b/>
          <w:bCs/>
          <w:sz w:val="20"/>
          <w:szCs w:val="20"/>
        </w:rPr>
        <w:t>53</w:t>
      </w:r>
      <w:r w:rsidRPr="00495A3D">
        <w:rPr>
          <w:rFonts w:ascii="Helvetica" w:hAnsi="Helvetica" w:cs="Helvetica"/>
          <w:sz w:val="20"/>
          <w:szCs w:val="20"/>
        </w:rPr>
        <w:t>, 1527–1533 (2021).</w:t>
      </w:r>
    </w:p>
    <w:p w14:paraId="7660EA94" w14:textId="77777777" w:rsidR="00C34CCA" w:rsidRPr="00495A3D" w:rsidRDefault="00C34CCA" w:rsidP="00C34CCA">
      <w:pPr>
        <w:pStyle w:val="Bibliography"/>
        <w:rPr>
          <w:rFonts w:ascii="Helvetica" w:hAnsi="Helvetica" w:cs="Helvetica"/>
          <w:sz w:val="20"/>
          <w:szCs w:val="20"/>
        </w:rPr>
      </w:pPr>
      <w:r w:rsidRPr="00495A3D">
        <w:rPr>
          <w:rFonts w:ascii="Helvetica" w:hAnsi="Helvetica" w:cs="Helvetica"/>
          <w:sz w:val="20"/>
          <w:szCs w:val="20"/>
        </w:rPr>
        <w:t>2.</w:t>
      </w:r>
      <w:r w:rsidRPr="00495A3D">
        <w:rPr>
          <w:rFonts w:ascii="Helvetica" w:hAnsi="Helvetica" w:cs="Helvetica"/>
          <w:sz w:val="20"/>
          <w:szCs w:val="20"/>
        </w:rPr>
        <w:tab/>
        <w:t xml:space="preserve">Gazal, S. </w:t>
      </w:r>
      <w:r w:rsidRPr="00495A3D">
        <w:rPr>
          <w:rFonts w:ascii="Helvetica" w:hAnsi="Helvetica" w:cs="Helvetica"/>
          <w:i/>
          <w:iCs/>
          <w:sz w:val="20"/>
          <w:szCs w:val="20"/>
        </w:rPr>
        <w:t>et al.</w:t>
      </w:r>
      <w:r w:rsidRPr="00495A3D">
        <w:rPr>
          <w:rFonts w:ascii="Helvetica" w:hAnsi="Helvetica" w:cs="Helvetica"/>
          <w:sz w:val="20"/>
          <w:szCs w:val="20"/>
        </w:rPr>
        <w:t xml:space="preserve"> Combining SNP-to-gene linking strategies to identify disease genes and assess disease omnigenicity. </w:t>
      </w:r>
      <w:r w:rsidRPr="00495A3D">
        <w:rPr>
          <w:rFonts w:ascii="Helvetica" w:hAnsi="Helvetica" w:cs="Helvetica"/>
          <w:i/>
          <w:iCs/>
          <w:sz w:val="20"/>
          <w:szCs w:val="20"/>
        </w:rPr>
        <w:t>Nat. Genet.</w:t>
      </w:r>
      <w:r w:rsidRPr="00495A3D">
        <w:rPr>
          <w:rFonts w:ascii="Helvetica" w:hAnsi="Helvetica" w:cs="Helvetica"/>
          <w:sz w:val="20"/>
          <w:szCs w:val="20"/>
        </w:rPr>
        <w:t xml:space="preserve"> </w:t>
      </w:r>
      <w:r w:rsidRPr="00495A3D">
        <w:rPr>
          <w:rFonts w:ascii="Helvetica" w:hAnsi="Helvetica" w:cs="Helvetica"/>
          <w:b/>
          <w:bCs/>
          <w:sz w:val="20"/>
          <w:szCs w:val="20"/>
        </w:rPr>
        <w:t>54</w:t>
      </w:r>
      <w:r w:rsidRPr="00495A3D">
        <w:rPr>
          <w:rFonts w:ascii="Helvetica" w:hAnsi="Helvetica" w:cs="Helvetica"/>
          <w:sz w:val="20"/>
          <w:szCs w:val="20"/>
        </w:rPr>
        <w:t>, 827–836 (2022).</w:t>
      </w:r>
    </w:p>
    <w:p w14:paraId="7F141597" w14:textId="77777777" w:rsidR="00C34CCA" w:rsidRPr="00495A3D" w:rsidRDefault="00C34CCA" w:rsidP="00C34CCA">
      <w:pPr>
        <w:pStyle w:val="Bibliography"/>
        <w:rPr>
          <w:rFonts w:ascii="Helvetica" w:hAnsi="Helvetica" w:cs="Helvetica"/>
          <w:sz w:val="20"/>
          <w:szCs w:val="20"/>
        </w:rPr>
      </w:pPr>
      <w:r w:rsidRPr="00495A3D">
        <w:rPr>
          <w:rFonts w:ascii="Helvetica" w:hAnsi="Helvetica" w:cs="Helvetica"/>
          <w:sz w:val="20"/>
          <w:szCs w:val="20"/>
        </w:rPr>
        <w:t>3.</w:t>
      </w:r>
      <w:r w:rsidRPr="00495A3D">
        <w:rPr>
          <w:rFonts w:ascii="Helvetica" w:hAnsi="Helvetica" w:cs="Helvetica"/>
          <w:sz w:val="20"/>
          <w:szCs w:val="20"/>
        </w:rPr>
        <w:tab/>
        <w:t xml:space="preserve">Forgetta, V. </w:t>
      </w:r>
      <w:r w:rsidRPr="00495A3D">
        <w:rPr>
          <w:rFonts w:ascii="Helvetica" w:hAnsi="Helvetica" w:cs="Helvetica"/>
          <w:i/>
          <w:iCs/>
          <w:sz w:val="20"/>
          <w:szCs w:val="20"/>
        </w:rPr>
        <w:t>et al.</w:t>
      </w:r>
      <w:r w:rsidRPr="00495A3D">
        <w:rPr>
          <w:rFonts w:ascii="Helvetica" w:hAnsi="Helvetica" w:cs="Helvetica"/>
          <w:sz w:val="20"/>
          <w:szCs w:val="20"/>
        </w:rPr>
        <w:t xml:space="preserve"> An effector index to predict target genes at GWAS loci. </w:t>
      </w:r>
      <w:r w:rsidRPr="00495A3D">
        <w:rPr>
          <w:rFonts w:ascii="Helvetica" w:hAnsi="Helvetica" w:cs="Helvetica"/>
          <w:i/>
          <w:iCs/>
          <w:sz w:val="20"/>
          <w:szCs w:val="20"/>
        </w:rPr>
        <w:t>Hum. Genet.</w:t>
      </w:r>
      <w:r w:rsidRPr="00495A3D">
        <w:rPr>
          <w:rFonts w:ascii="Helvetica" w:hAnsi="Helvetica" w:cs="Helvetica"/>
          <w:sz w:val="20"/>
          <w:szCs w:val="20"/>
        </w:rPr>
        <w:t xml:space="preserve"> </w:t>
      </w:r>
      <w:r w:rsidRPr="00495A3D">
        <w:rPr>
          <w:rFonts w:ascii="Helvetica" w:hAnsi="Helvetica" w:cs="Helvetica"/>
          <w:b/>
          <w:bCs/>
          <w:sz w:val="20"/>
          <w:szCs w:val="20"/>
        </w:rPr>
        <w:t>141</w:t>
      </w:r>
      <w:r w:rsidRPr="00495A3D">
        <w:rPr>
          <w:rFonts w:ascii="Helvetica" w:hAnsi="Helvetica" w:cs="Helvetica"/>
          <w:sz w:val="20"/>
          <w:szCs w:val="20"/>
        </w:rPr>
        <w:t>, 1431–1447 (2022).</w:t>
      </w:r>
    </w:p>
    <w:p w14:paraId="408D3C5D" w14:textId="77777777" w:rsidR="00C34CCA" w:rsidRPr="00495A3D" w:rsidRDefault="00C34CCA" w:rsidP="00C34CCA">
      <w:pPr>
        <w:pStyle w:val="Bibliography"/>
        <w:rPr>
          <w:rFonts w:ascii="Helvetica" w:hAnsi="Helvetica" w:cs="Helvetica"/>
          <w:sz w:val="20"/>
          <w:szCs w:val="20"/>
        </w:rPr>
      </w:pPr>
      <w:r w:rsidRPr="00495A3D">
        <w:rPr>
          <w:rFonts w:ascii="Helvetica" w:hAnsi="Helvetica" w:cs="Helvetica"/>
          <w:sz w:val="20"/>
          <w:szCs w:val="20"/>
        </w:rPr>
        <w:t>4.</w:t>
      </w:r>
      <w:r w:rsidRPr="00495A3D">
        <w:rPr>
          <w:rFonts w:ascii="Helvetica" w:hAnsi="Helvetica" w:cs="Helvetica"/>
          <w:sz w:val="20"/>
          <w:szCs w:val="20"/>
        </w:rPr>
        <w:tab/>
        <w:t xml:space="preserve">Liang, K. Y. H. </w:t>
      </w:r>
      <w:r w:rsidRPr="00495A3D">
        <w:rPr>
          <w:rFonts w:ascii="Helvetica" w:hAnsi="Helvetica" w:cs="Helvetica"/>
          <w:i/>
          <w:iCs/>
          <w:sz w:val="20"/>
          <w:szCs w:val="20"/>
        </w:rPr>
        <w:t>et al.</w:t>
      </w:r>
      <w:r w:rsidRPr="00495A3D">
        <w:rPr>
          <w:rFonts w:ascii="Helvetica" w:hAnsi="Helvetica" w:cs="Helvetica"/>
          <w:sz w:val="20"/>
          <w:szCs w:val="20"/>
        </w:rPr>
        <w:t xml:space="preserve"> Predicting ExWAS findings from GWAS data: a shorter path to causal genes. </w:t>
      </w:r>
      <w:r w:rsidRPr="00495A3D">
        <w:rPr>
          <w:rFonts w:ascii="Helvetica" w:hAnsi="Helvetica" w:cs="Helvetica"/>
          <w:i/>
          <w:iCs/>
          <w:sz w:val="20"/>
          <w:szCs w:val="20"/>
        </w:rPr>
        <w:t>Hum. Genet.</w:t>
      </w:r>
      <w:r w:rsidRPr="00495A3D">
        <w:rPr>
          <w:rFonts w:ascii="Helvetica" w:hAnsi="Helvetica" w:cs="Helvetica"/>
          <w:sz w:val="20"/>
          <w:szCs w:val="20"/>
        </w:rPr>
        <w:t xml:space="preserve"> </w:t>
      </w:r>
      <w:r w:rsidRPr="00495A3D">
        <w:rPr>
          <w:rFonts w:ascii="Helvetica" w:hAnsi="Helvetica" w:cs="Helvetica"/>
          <w:b/>
          <w:bCs/>
          <w:sz w:val="20"/>
          <w:szCs w:val="20"/>
        </w:rPr>
        <w:t>142</w:t>
      </w:r>
      <w:r w:rsidRPr="00495A3D">
        <w:rPr>
          <w:rFonts w:ascii="Helvetica" w:hAnsi="Helvetica" w:cs="Helvetica"/>
          <w:sz w:val="20"/>
          <w:szCs w:val="20"/>
        </w:rPr>
        <w:t>, 749–758 (2023).</w:t>
      </w:r>
    </w:p>
    <w:p w14:paraId="05519507" w14:textId="77777777" w:rsidR="00C34CCA" w:rsidRPr="00495A3D" w:rsidRDefault="00C34CCA" w:rsidP="00C34CCA">
      <w:pPr>
        <w:pStyle w:val="Bibliography"/>
        <w:rPr>
          <w:rFonts w:ascii="Helvetica" w:hAnsi="Helvetica" w:cs="Helvetica"/>
          <w:sz w:val="20"/>
          <w:szCs w:val="20"/>
        </w:rPr>
      </w:pPr>
      <w:r w:rsidRPr="00495A3D">
        <w:rPr>
          <w:rFonts w:ascii="Helvetica" w:hAnsi="Helvetica" w:cs="Helvetica"/>
          <w:sz w:val="20"/>
          <w:szCs w:val="20"/>
        </w:rPr>
        <w:t>5.</w:t>
      </w:r>
      <w:r w:rsidRPr="00495A3D">
        <w:rPr>
          <w:rFonts w:ascii="Helvetica" w:hAnsi="Helvetica" w:cs="Helvetica"/>
          <w:sz w:val="20"/>
          <w:szCs w:val="20"/>
        </w:rPr>
        <w:tab/>
        <w:t xml:space="preserve">Watanabe, K., Taskesen, E., van Bochoven, A. &amp; Posthuma, D. Functional mapping and annotation of genetic associations with FUMA. </w:t>
      </w:r>
      <w:r w:rsidRPr="00495A3D">
        <w:rPr>
          <w:rFonts w:ascii="Helvetica" w:hAnsi="Helvetica" w:cs="Helvetica"/>
          <w:i/>
          <w:iCs/>
          <w:sz w:val="20"/>
          <w:szCs w:val="20"/>
        </w:rPr>
        <w:t>Nat. Commun.</w:t>
      </w:r>
      <w:r w:rsidRPr="00495A3D">
        <w:rPr>
          <w:rFonts w:ascii="Helvetica" w:hAnsi="Helvetica" w:cs="Helvetica"/>
          <w:sz w:val="20"/>
          <w:szCs w:val="20"/>
        </w:rPr>
        <w:t xml:space="preserve"> </w:t>
      </w:r>
      <w:r w:rsidRPr="00495A3D">
        <w:rPr>
          <w:rFonts w:ascii="Helvetica" w:hAnsi="Helvetica" w:cs="Helvetica"/>
          <w:b/>
          <w:bCs/>
          <w:sz w:val="20"/>
          <w:szCs w:val="20"/>
        </w:rPr>
        <w:t>8</w:t>
      </w:r>
      <w:r w:rsidRPr="00495A3D">
        <w:rPr>
          <w:rFonts w:ascii="Helvetica" w:hAnsi="Helvetica" w:cs="Helvetica"/>
          <w:sz w:val="20"/>
          <w:szCs w:val="20"/>
        </w:rPr>
        <w:t>, 1826 (2017).</w:t>
      </w:r>
    </w:p>
    <w:p w14:paraId="25CEEDD5" w14:textId="77777777" w:rsidR="00C34CCA" w:rsidRPr="00495A3D" w:rsidRDefault="00C34CCA" w:rsidP="00C34CCA">
      <w:pPr>
        <w:pStyle w:val="Bibliography"/>
        <w:rPr>
          <w:rFonts w:ascii="Helvetica" w:hAnsi="Helvetica" w:cs="Helvetica"/>
          <w:sz w:val="20"/>
          <w:szCs w:val="20"/>
        </w:rPr>
      </w:pPr>
      <w:r w:rsidRPr="00495A3D">
        <w:rPr>
          <w:rFonts w:ascii="Helvetica" w:hAnsi="Helvetica" w:cs="Helvetica"/>
          <w:sz w:val="20"/>
          <w:szCs w:val="20"/>
        </w:rPr>
        <w:t>6.</w:t>
      </w:r>
      <w:r w:rsidRPr="00495A3D">
        <w:rPr>
          <w:rFonts w:ascii="Helvetica" w:hAnsi="Helvetica" w:cs="Helvetica"/>
          <w:sz w:val="20"/>
          <w:szCs w:val="20"/>
        </w:rPr>
        <w:tab/>
        <w:t xml:space="preserve">Benner, C. </w:t>
      </w:r>
      <w:r w:rsidRPr="00495A3D">
        <w:rPr>
          <w:rFonts w:ascii="Helvetica" w:hAnsi="Helvetica" w:cs="Helvetica"/>
          <w:i/>
          <w:iCs/>
          <w:sz w:val="20"/>
          <w:szCs w:val="20"/>
        </w:rPr>
        <w:t>et al.</w:t>
      </w:r>
      <w:r w:rsidRPr="00495A3D">
        <w:rPr>
          <w:rFonts w:ascii="Helvetica" w:hAnsi="Helvetica" w:cs="Helvetica"/>
          <w:sz w:val="20"/>
          <w:szCs w:val="20"/>
        </w:rPr>
        <w:t xml:space="preserve"> FINEMAP: efficient variable selection using summary data from genome-wide association studies. </w:t>
      </w:r>
      <w:r w:rsidRPr="00495A3D">
        <w:rPr>
          <w:rFonts w:ascii="Helvetica" w:hAnsi="Helvetica" w:cs="Helvetica"/>
          <w:i/>
          <w:iCs/>
          <w:sz w:val="20"/>
          <w:szCs w:val="20"/>
        </w:rPr>
        <w:t>Bioinformatics</w:t>
      </w:r>
      <w:r w:rsidRPr="00495A3D">
        <w:rPr>
          <w:rFonts w:ascii="Helvetica" w:hAnsi="Helvetica" w:cs="Helvetica"/>
          <w:sz w:val="20"/>
          <w:szCs w:val="20"/>
        </w:rPr>
        <w:t xml:space="preserve"> </w:t>
      </w:r>
      <w:r w:rsidRPr="00495A3D">
        <w:rPr>
          <w:rFonts w:ascii="Helvetica" w:hAnsi="Helvetica" w:cs="Helvetica"/>
          <w:b/>
          <w:bCs/>
          <w:sz w:val="20"/>
          <w:szCs w:val="20"/>
        </w:rPr>
        <w:t>32</w:t>
      </w:r>
      <w:r w:rsidRPr="00495A3D">
        <w:rPr>
          <w:rFonts w:ascii="Helvetica" w:hAnsi="Helvetica" w:cs="Helvetica"/>
          <w:sz w:val="20"/>
          <w:szCs w:val="20"/>
        </w:rPr>
        <w:t>, 1493–1501 (2016).</w:t>
      </w:r>
    </w:p>
    <w:p w14:paraId="4E332575" w14:textId="5B8BEC0C" w:rsidR="002F78D2" w:rsidRPr="00495A3D" w:rsidRDefault="00C34CCA" w:rsidP="00C34CCA">
      <w:pPr>
        <w:pStyle w:val="Bibliography"/>
      </w:pPr>
      <w:r w:rsidRPr="00495A3D">
        <w:rPr>
          <w:rFonts w:ascii="Helvetica" w:hAnsi="Helvetica" w:cs="Helvetica"/>
          <w:sz w:val="20"/>
          <w:szCs w:val="20"/>
        </w:rPr>
        <w:t>7.</w:t>
      </w:r>
      <w:r w:rsidRPr="00495A3D">
        <w:rPr>
          <w:rFonts w:ascii="Helvetica" w:hAnsi="Helvetica" w:cs="Helvetica"/>
          <w:sz w:val="20"/>
          <w:szCs w:val="20"/>
        </w:rPr>
        <w:tab/>
        <w:t xml:space="preserve">Weeks, E. M. </w:t>
      </w:r>
      <w:r w:rsidRPr="00495A3D">
        <w:rPr>
          <w:rFonts w:ascii="Helvetica" w:hAnsi="Helvetica" w:cs="Helvetica"/>
          <w:i/>
          <w:iCs/>
          <w:sz w:val="20"/>
          <w:szCs w:val="20"/>
        </w:rPr>
        <w:t>et al.</w:t>
      </w:r>
      <w:r w:rsidRPr="00495A3D">
        <w:rPr>
          <w:rFonts w:ascii="Helvetica" w:hAnsi="Helvetica" w:cs="Helvetica"/>
          <w:sz w:val="20"/>
          <w:szCs w:val="20"/>
        </w:rPr>
        <w:t xml:space="preserve"> Leveraging polygenic enrichments of gene features to predict genes underlying complex traits and diseases. </w:t>
      </w:r>
      <w:r w:rsidRPr="00495A3D">
        <w:rPr>
          <w:rFonts w:ascii="Helvetica" w:hAnsi="Helvetica" w:cs="Helvetica"/>
          <w:i/>
          <w:iCs/>
          <w:sz w:val="20"/>
          <w:szCs w:val="20"/>
        </w:rPr>
        <w:t>Nat. Genet.</w:t>
      </w:r>
      <w:r w:rsidRPr="00495A3D">
        <w:rPr>
          <w:rFonts w:ascii="Helvetica" w:hAnsi="Helvetica" w:cs="Helvetica"/>
          <w:sz w:val="20"/>
          <w:szCs w:val="20"/>
        </w:rPr>
        <w:t xml:space="preserve"> 1–10 (2023) doi:10.1038/s41588-023-01443-6.</w:t>
      </w:r>
    </w:p>
    <w:sectPr w:rsidR="002F78D2" w:rsidRPr="00495A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F713483"/>
    <w:multiLevelType w:val="hybridMultilevel"/>
    <w:tmpl w:val="0D34ED74"/>
    <w:lvl w:ilvl="0" w:tplc="EBB2C5A6">
      <w:start w:val="1"/>
      <w:numFmt w:val="upperRoman"/>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983146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34CCA"/>
    <w:rsid w:val="00023BB0"/>
    <w:rsid w:val="000F1156"/>
    <w:rsid w:val="002F78D2"/>
    <w:rsid w:val="00377EEF"/>
    <w:rsid w:val="00495A3D"/>
    <w:rsid w:val="00501FBC"/>
    <w:rsid w:val="005B7CBF"/>
    <w:rsid w:val="006035F3"/>
    <w:rsid w:val="007E3812"/>
    <w:rsid w:val="008E4EED"/>
    <w:rsid w:val="008F62B9"/>
    <w:rsid w:val="00A31B25"/>
    <w:rsid w:val="00A97FEC"/>
    <w:rsid w:val="00C34CCA"/>
    <w:rsid w:val="00EB5A83"/>
    <w:rsid w:val="00F2435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C61FA8B"/>
  <w15:chartTrackingRefBased/>
  <w15:docId w15:val="{816C0F97-65FF-4293-95B8-C8E743E3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4CCA"/>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34CCA"/>
    <w:rPr>
      <w:color w:val="0000FF"/>
      <w:u w:val="single"/>
    </w:rPr>
  </w:style>
  <w:style w:type="paragraph" w:styleId="ListParagraph">
    <w:name w:val="List Paragraph"/>
    <w:basedOn w:val="Normal"/>
    <w:uiPriority w:val="34"/>
    <w:qFormat/>
    <w:rsid w:val="00C34CCA"/>
    <w:pPr>
      <w:ind w:left="720"/>
      <w:contextualSpacing/>
    </w:pPr>
  </w:style>
  <w:style w:type="paragraph" w:styleId="Bibliography">
    <w:name w:val="Bibliography"/>
    <w:basedOn w:val="Normal"/>
    <w:next w:val="Normal"/>
    <w:uiPriority w:val="37"/>
    <w:unhideWhenUsed/>
    <w:rsid w:val="00C34CCA"/>
    <w:pPr>
      <w:tabs>
        <w:tab w:val="left" w:pos="264"/>
      </w:tabs>
      <w:spacing w:after="0" w:line="48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772</Words>
  <Characters>4405</Characters>
  <Application>Microsoft Office Word</Application>
  <DocSecurity>0</DocSecurity>
  <Lines>36</Lines>
  <Paragraphs>10</Paragraphs>
  <ScaleCrop>false</ScaleCrop>
  <Company/>
  <LinksUpToDate>false</LinksUpToDate>
  <CharactersWithSpaces>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Schipper, M.J. (Marijn)</dc:creator>
  <cp:keywords/>
  <dc:description/>
  <cp:lastModifiedBy>Schipper, M.J. (Marijn)</cp:lastModifiedBy>
  <cp:revision>5</cp:revision>
  <dcterms:created xsi:type="dcterms:W3CDTF">2024-07-04T07:35:00Z</dcterms:created>
  <dcterms:modified xsi:type="dcterms:W3CDTF">2024-09-10T10:06:00Z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1a0b5d1c-8a77-40d3-a61e-87908a998a04</vt:lpwstr>
  </property>
  <property fmtid="{D5CDD505-2E9C-101B-9397-08002B2CF9AE}" pid="3" name="ZOTERO_PREF_1">
    <vt:lpwstr>&lt;data data-version="3" zotero-version="6.0.36"&gt;&lt;session id="pQc2cV4P"/&gt;&lt;style id="http://www.zotero.org/styles/nature" hasBibliography="1" bibliographyStyleHasBeenSet="1"/&gt;&lt;prefs&gt;&lt;pref name="fieldType" value="Field"/&gt;&lt;pref name="automaticJournalAbbreviati</vt:lpwstr>
  </property>
  <property fmtid="{D5CDD505-2E9C-101B-9397-08002B2CF9AE}" pid="4" name="ZOTERO_PREF_2">
    <vt:lpwstr>ons" value="true"/&gt;&lt;/prefs&gt;&lt;/data&gt;</vt:lpwstr>
  </property>
</Properties>
</file>