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the traficlights outside the 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Trafic light on the inside of the 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112395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inline distT="0" distB="0" distL="0" distR="0">
            <wp:extent cx="5067300" cy="2505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7667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LibreOffice/7.5.1.2$Linux_X86_64 LibreOffice_project/50$Build-2</Application>
  <AppVersion>15.0000</AppVersion>
  <Pages>5</Pages>
  <Words>367</Words>
  <Characters>1625</Characters>
  <CharactersWithSpaces>1920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2023-03-06T09:23:50Z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