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5B63"/>
          <w:sz w:val="60"/>
        </w:rPr>
        <w:t>SAMSON Hospital</w:t>
      </w:r>
    </w:p>
    <w:p>
      <w:pPr>
        <w:jc w:val="center"/>
      </w:pPr>
      <w:r>
        <w:rPr>
          <w:rFonts w:ascii="Arial" w:hAnsi="Arial"/>
          <w:color w:val="667085"/>
          <w:sz w:val="28"/>
        </w:rPr>
        <w:t>Developer Guide</w:t>
      </w:r>
    </w:p>
    <w:p>
      <w:pPr>
        <w:spacing w:before="520"/>
        <w:jc w:val="center"/>
      </w:pPr>
      <w:r>
        <w:rPr>
          <w:rFonts w:ascii="Arial" w:hAnsi="Arial"/>
          <w:color w:val="7B8794"/>
          <w:sz w:val="20"/>
        </w:rPr>
        <w:t>Android / Kotlin Compose • Django REST • MySQL / MariaDB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описывает архитектуру, локальный запуск, конфигурацию и ключевые интеграционные принципы SAMSON Hospital. Он не содержит реальных учётных данных медицинской организации и может использоваться как технический артефакт портфолио.</w:t>
      </w:r>
    </w:p>
    <w:p>
      <w:pPr>
        <w:pStyle w:val="Heading1"/>
      </w:pPr>
      <w:r>
        <w:t>2.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024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Технологии</w:t>
            </w:r>
          </w:p>
        </w:tc>
        <w:tc>
          <w:tcPr>
            <w:tcW w:type="dxa" w:w="4464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Android client</w:t>
            </w:r>
          </w:p>
        </w:tc>
        <w:tc>
          <w:tcPr>
            <w:tcW w:type="dxa" w:w="3024"/>
            <w:vAlign w:val="top"/>
          </w:tcPr>
          <w:p>
            <w:r>
              <w:t>Kotlin, Jetpack Compose, Navigation Compose</w:t>
            </w:r>
          </w:p>
        </w:tc>
        <w:tc>
          <w:tcPr>
            <w:tcW w:type="dxa" w:w="4464"/>
            <w:vAlign w:val="top"/>
          </w:tcPr>
          <w:p>
            <w:r>
              <w:t>UI врача, локальные настройки, черновики, REST-вызовы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Backend API</w:t>
            </w:r>
          </w:p>
        </w:tc>
        <w:tc>
          <w:tcPr>
            <w:tcW w:type="dxa" w:w="3024"/>
            <w:vAlign w:val="top"/>
          </w:tcPr>
          <w:p>
            <w:r>
              <w:t>Python, Django REST</w:t>
            </w:r>
          </w:p>
        </w:tc>
        <w:tc>
          <w:tcPr>
            <w:tcW w:type="dxa" w:w="4464"/>
            <w:vAlign w:val="top"/>
          </w:tcPr>
          <w:p>
            <w:r>
              <w:t>Адаптация legacy-схемы МИС, авторизация, бизнес-правила, динамические формы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MIS database</w:t>
            </w:r>
          </w:p>
        </w:tc>
        <w:tc>
          <w:tcPr>
            <w:tcW w:type="dxa" w:w="3024"/>
            <w:vAlign w:val="top"/>
          </w:tcPr>
          <w:p>
            <w:r>
              <w:t>MySQL / MariaDB</w:t>
            </w:r>
          </w:p>
        </w:tc>
        <w:tc>
          <w:tcPr>
            <w:tcW w:type="dxa" w:w="4464"/>
            <w:vAlign w:val="top"/>
          </w:tcPr>
          <w:p>
            <w:r>
              <w:t>Event / Action / ActionType / ActionProperty* и профильные справочники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File / portal integrations</w:t>
            </w:r>
          </w:p>
        </w:tc>
        <w:tc>
          <w:tcPr>
            <w:tcW w:type="dxa" w:w="3024"/>
            <w:vAlign w:val="top"/>
          </w:tcPr>
          <w:p>
            <w:r>
              <w:t>HTTP / внутренние сервисы</w:t>
            </w:r>
          </w:p>
        </w:tc>
        <w:tc>
          <w:tcPr>
            <w:tcW w:type="dxa" w:w="4464"/>
            <w:vAlign w:val="top"/>
          </w:tcPr>
          <w:p>
            <w:r>
              <w:t>Печатные формы, результаты диагностики, переходы во внешние модули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F7F8"/>
            <w:vAlign w:val="center"/>
          </w:tcPr>
          <w:p>
            <w:r>
              <w:rPr>
                <w:b/>
                <w:color w:val="1F5B63"/>
              </w:rPr>
              <w:t xml:space="preserve">Важно: </w:t>
            </w:r>
            <w:r>
              <w:rPr>
                <w:color w:val="17212B"/>
              </w:rPr>
              <w:t>Базовая схема МИС не рассматривается как схема, управляемая Django migrations. Backend должен адаптироваться к существующей структуре и минимизировать изменения в БД.</w:t>
            </w:r>
          </w:p>
        </w:tc>
      </w:tr>
    </w:tbl>
    <w:p>
      <w:pPr>
        <w:spacing w:after="0"/>
      </w:pPr>
    </w:p>
    <w:p>
      <w:pPr>
        <w:pStyle w:val="Heading1"/>
      </w:pPr>
      <w:r>
        <w:t>3. Проверенный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Слой</w:t>
            </w:r>
          </w:p>
        </w:tc>
        <w:tc>
          <w:tcPr>
            <w:tcW w:type="dxa" w:w="6912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Версия / ориентир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Python</w:t>
            </w:r>
          </w:p>
        </w:tc>
        <w:tc>
          <w:tcPr>
            <w:tcW w:type="dxa" w:w="6912"/>
            <w:vAlign w:val="top"/>
          </w:tcPr>
          <w:p>
            <w:r>
              <w:t>3.10+; для разработки рекомендуется 3.11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Django</w:t>
            </w:r>
          </w:p>
        </w:tc>
        <w:tc>
          <w:tcPr>
            <w:tcW w:type="dxa" w:w="6912"/>
            <w:vAlign w:val="top"/>
          </w:tcPr>
          <w:p>
            <w:r>
              <w:t>5.2.x в актуальном тестовом контуре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Android</w:t>
            </w:r>
          </w:p>
        </w:tc>
        <w:tc>
          <w:tcPr>
            <w:tcW w:type="dxa" w:w="6912"/>
            <w:vAlign w:val="top"/>
          </w:tcPr>
          <w:p>
            <w:r>
              <w:t>compileSdk / targetSdk 36; Java/Kotlin target 17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Jetpack Compose</w:t>
            </w:r>
          </w:p>
        </w:tc>
        <w:tc>
          <w:tcPr>
            <w:tcW w:type="dxa" w:w="6912"/>
            <w:vAlign w:val="top"/>
          </w:tcPr>
          <w:p>
            <w:r>
              <w:t>Compose BOM 2025.01.00; Material3 1.2.0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Navigation</w:t>
            </w:r>
          </w:p>
        </w:tc>
        <w:tc>
          <w:tcPr>
            <w:tcW w:type="dxa" w:w="6912"/>
            <w:vAlign w:val="top"/>
          </w:tcPr>
          <w:p>
            <w:r>
              <w:t>navigation-compose 2.7.6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Networking</w:t>
            </w:r>
          </w:p>
        </w:tc>
        <w:tc>
          <w:tcPr>
            <w:tcW w:type="dxa" w:w="6912"/>
            <w:vAlign w:val="top"/>
          </w:tcPr>
          <w:p>
            <w:r>
              <w:t>Retrofit 2.11.0; OkHttp 4.12.0; Gson 2.11.0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Coroutines</w:t>
            </w:r>
          </w:p>
        </w:tc>
        <w:tc>
          <w:tcPr>
            <w:tcW w:type="dxa" w:w="6912"/>
            <w:vAlign w:val="top"/>
          </w:tcPr>
          <w:p>
            <w:r>
              <w:t>kotlinx-coroutines-android 1.9.0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>
              <w:t>Database</w:t>
            </w:r>
          </w:p>
        </w:tc>
        <w:tc>
          <w:tcPr>
            <w:tcW w:type="dxa" w:w="6912"/>
            <w:vAlign w:val="top"/>
          </w:tcPr>
          <w:p>
            <w:r>
              <w:t>MySQL / MariaDB, включая legacy-редакции</w:t>
            </w:r>
          </w:p>
        </w:tc>
      </w:tr>
    </w:tbl>
    <w:p>
      <w:pPr>
        <w:pStyle w:val="Heading1"/>
      </w:pPr>
      <w:r>
        <w:t>4. Структура конфигурации</w:t>
      </w:r>
    </w:p>
    <w:p>
      <w:r>
        <w:t>Рекомендуемая структура:</w:t>
      </w:r>
    </w:p>
    <w:p>
      <w:pPr>
        <w:pStyle w:val="Code"/>
      </w:pPr>
      <w:r>
        <w:t>hospital_backend/</w:t>
      </w:r>
    </w:p>
    <w:p>
      <w:pPr>
        <w:pStyle w:val="Code"/>
      </w:pPr>
      <w:r>
        <w:t>├── config/</w:t>
      </w:r>
    </w:p>
    <w:p>
      <w:pPr>
        <w:pStyle w:val="Code"/>
      </w:pPr>
      <w:r>
        <w:t>│   ├── config.env</w:t>
      </w:r>
    </w:p>
    <w:p>
      <w:pPr>
        <w:pStyle w:val="Code"/>
      </w:pPr>
      <w:r>
        <w:t>│   ├── config.bd.&lt;env&gt;.env</w:t>
      </w:r>
    </w:p>
    <w:p>
      <w:pPr>
        <w:pStyle w:val="Code"/>
      </w:pPr>
      <w:r>
        <w:t>│   └── direction_property_overrides.json</w:t>
      </w:r>
    </w:p>
    <w:p>
      <w:pPr>
        <w:pStyle w:val="Code"/>
      </w:pPr>
      <w:r>
        <w:t>├── hospital_backend/</w:t>
      </w:r>
    </w:p>
    <w:p>
      <w:pPr>
        <w:pStyle w:val="Code"/>
      </w:pPr>
      <w:r>
        <w:t>│   └── settings.py</w:t>
      </w:r>
    </w:p>
    <w:p>
      <w:pPr>
        <w:pStyle w:val="Code"/>
      </w:pPr>
      <w:r>
        <w:t>└── api/</w:t>
      </w:r>
    </w:p>
    <w:p>
      <w:pPr>
        <w:pStyle w:val="Code"/>
      </w:pPr>
      <w:r>
        <w:t xml:space="preserve">    └── views/</w:t>
      </w:r>
    </w:p>
    <w:p>
      <w:pPr>
        <w:pStyle w:val="Heading2"/>
      </w:pPr>
      <w:r>
        <w:t>4.1. config.env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7200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Примеры параметров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Диагностика</w:t>
            </w:r>
          </w:p>
        </w:tc>
        <w:tc>
          <w:tcPr>
            <w:tcW w:type="dxa" w:w="7200"/>
            <w:vAlign w:val="top"/>
          </w:tcPr>
          <w:p>
            <w:r>
              <w:t>DIAG_ALLOWED_CONTEXTS, DIAG_ALLOWED_SERVICE_TYPES, DIAG_HISTORY_CONTEXTS, DIAG_HISTORY_SERVICE_TYPES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Лаборатория</w:t>
            </w:r>
          </w:p>
        </w:tc>
        <w:tc>
          <w:tcPr>
            <w:tcW w:type="dxa" w:w="7200"/>
            <w:vAlign w:val="top"/>
          </w:tcPr>
          <w:p>
            <w:r>
              <w:t>LAB_ALLOWED_CONTEXTS, LAB_ALLOWED_PATTERNS, LAB_REQUIRE_DIRECTION_NUMBER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Лечение</w:t>
            </w:r>
          </w:p>
        </w:tc>
        <w:tc>
          <w:tcPr>
            <w:tcW w:type="dxa" w:w="7200"/>
            <w:vAlign w:val="top"/>
          </w:tcPr>
          <w:p>
            <w:r>
              <w:t>TREATMENT_FLATCODES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Словари</w:t>
            </w:r>
          </w:p>
        </w:tc>
        <w:tc>
          <w:tcPr>
            <w:tcW w:type="dxa" w:w="7200"/>
            <w:vAlign w:val="top"/>
          </w:tcPr>
          <w:p>
            <w:r>
              <w:t>DICT_ALIAS_MAP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Интеграции</w:t>
            </w:r>
          </w:p>
        </w:tc>
        <w:tc>
          <w:tcPr>
            <w:tcW w:type="dxa" w:w="7200"/>
            <w:vAlign w:val="top"/>
          </w:tcPr>
          <w:p>
            <w:r>
              <w:t>FILES_BASE_URL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Логирование</w:t>
            </w:r>
          </w:p>
        </w:tc>
        <w:tc>
          <w:tcPr>
            <w:tcW w:type="dxa" w:w="7200"/>
            <w:vAlign w:val="top"/>
          </w:tcPr>
          <w:p>
            <w:r>
              <w:t>APP_LOG_DIR, APP_LOG_LEVEL, APP_DIAGNOSTIC_MODE</w:t>
            </w:r>
          </w:p>
        </w:tc>
      </w:tr>
    </w:tbl>
    <w:p>
      <w:pPr>
        <w:pStyle w:val="Heading2"/>
      </w:pPr>
      <w:r>
        <w:t>4.2. config.bd.&lt;env&gt;.env</w:t>
      </w:r>
    </w:p>
    <w:p>
      <w:pPr>
        <w:pStyle w:val="Code"/>
      </w:pPr>
      <w:r>
        <w:t>DB_ENGINE=django.db.backends.mysql</w:t>
      </w:r>
    </w:p>
    <w:p>
      <w:pPr>
        <w:pStyle w:val="Code"/>
      </w:pPr>
      <w:r>
        <w:t>DB_HOST=127.0.0.1</w:t>
      </w:r>
    </w:p>
    <w:p>
      <w:pPr>
        <w:pStyle w:val="Code"/>
      </w:pPr>
      <w:r>
        <w:t>DB_PORT=3306</w:t>
      </w:r>
    </w:p>
    <w:p>
      <w:pPr>
        <w:pStyle w:val="Code"/>
      </w:pPr>
      <w:r>
        <w:t>DB_NAME=&lt;database&gt;</w:t>
      </w:r>
    </w:p>
    <w:p>
      <w:pPr>
        <w:pStyle w:val="Code"/>
      </w:pPr>
      <w:r>
        <w:t>DB_USER=&lt;user&gt;</w:t>
      </w:r>
    </w:p>
    <w:p>
      <w:pPr>
        <w:pStyle w:val="Code"/>
      </w:pPr>
      <w:r>
        <w:t>DB_PASSWORD=&lt;secret&gt;</w:t>
      </w:r>
    </w:p>
    <w:p>
      <w:pPr>
        <w:pStyle w:val="Code"/>
      </w:pPr>
      <w:r>
        <w:t>DB_CHARSET=utf8mb3</w:t>
      </w:r>
    </w:p>
    <w:p>
      <w:r>
        <w:t>Файл с реальными реквизитами не должен попадать в git или портфолио.</w:t>
      </w:r>
    </w:p>
    <w:p>
      <w:pPr>
        <w:pStyle w:val="Heading2"/>
      </w:pPr>
      <w:r>
        <w:t>4.3. direction_property_overrides.json</w:t>
      </w:r>
    </w:p>
    <w:p>
      <w:r>
        <w:t>Файл предназначен только для исключений, когда автоматическая классификация конкретного свойства при создании направления ошибочна. По умолчанию его лучше оставлять пустым.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"actionTypes": {</w:t>
      </w:r>
    </w:p>
    <w:p>
      <w:pPr>
        <w:pStyle w:val="Code"/>
      </w:pPr>
      <w:r>
        <w:t xml:space="preserve">    "&lt;ActionType_id&gt;": {</w:t>
      </w:r>
    </w:p>
    <w:p>
      <w:pPr>
        <w:pStyle w:val="Code"/>
      </w:pPr>
      <w:r>
        <w:t xml:space="preserve">      "&lt;ActionPropertyType_id&gt;": "direction"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Режим</w:t>
            </w:r>
          </w:p>
        </w:tc>
        <w:tc>
          <w:tcPr>
            <w:tcW w:type="dxa" w:w="7776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Смысл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auto</w:t>
            </w:r>
          </w:p>
        </w:tc>
        <w:tc>
          <w:tcPr>
            <w:tcW w:type="dxa" w:w="7776"/>
            <w:vAlign w:val="top"/>
          </w:tcPr>
          <w:p>
            <w:r>
              <w:t>Автоматическая классификация; режим по умолчанию, обычно не указывается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direction</w:t>
            </w:r>
          </w:p>
        </w:tc>
        <w:tc>
          <w:tcPr>
            <w:tcW w:type="dxa" w:w="7776"/>
            <w:vAlign w:val="top"/>
          </w:tcPr>
          <w:p>
            <w:r>
              <w:t>Поле разрешено заполнять при создании направления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assigned_only</w:t>
            </w:r>
          </w:p>
        </w:tc>
        <w:tc>
          <w:tcPr>
            <w:tcW w:type="dxa" w:w="7776"/>
            <w:vAlign w:val="top"/>
          </w:tcPr>
          <w:p>
            <w:r>
              <w:t>Заполняется только ActionProperty.isAssigned, без результата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result_only</w:t>
            </w:r>
          </w:p>
        </w:tc>
        <w:tc>
          <w:tcPr>
            <w:tcW w:type="dxa" w:w="7776"/>
            <w:vAlign w:val="top"/>
          </w:tcPr>
          <w:p>
            <w:r>
              <w:t>Поле результата; при создании направления заблокировано</w:t>
            </w:r>
          </w:p>
        </w:tc>
      </w:tr>
    </w:tbl>
    <w:p>
      <w:pPr>
        <w:pStyle w:val="Heading1"/>
      </w:pPr>
      <w:r>
        <w:t>5. Локальный запуск backend</w:t>
      </w:r>
    </w:p>
    <w:p>
      <w:pPr>
        <w:pStyle w:val="Code"/>
      </w:pPr>
      <w:r>
        <w:t>python -m venv .venv</w:t>
      </w:r>
    </w:p>
    <w:p>
      <w:pPr>
        <w:pStyle w:val="Code"/>
      </w:pPr>
      <w:r>
        <w:t># Linux / macOS</w:t>
      </w:r>
    </w:p>
    <w:p>
      <w:pPr>
        <w:pStyle w:val="Code"/>
      </w:pPr>
      <w:r>
        <w:t>source .venv/bin/activate</w:t>
      </w:r>
    </w:p>
    <w:p>
      <w:pPr>
        <w:pStyle w:val="Code"/>
      </w:pPr>
      <w:r>
        <w:t># Windows</w:t>
      </w:r>
    </w:p>
    <w:p>
      <w:pPr>
        <w:pStyle w:val="Code"/>
      </w:pPr>
      <w:r>
        <w:t>.venv\Scripts\activate</w:t>
      </w:r>
    </w:p>
    <w:p>
      <w:pPr>
        <w:pStyle w:val="Code"/>
      </w:pPr>
      <w:r/>
    </w:p>
    <w:p>
      <w:pPr>
        <w:pStyle w:val="Code"/>
      </w:pPr>
      <w:r>
        <w:t>pip install -r requirements.txt</w:t>
      </w:r>
    </w:p>
    <w:p>
      <w:pPr>
        <w:pStyle w:val="Code"/>
      </w:pPr>
      <w:r>
        <w:t>python manage.py check</w:t>
      </w:r>
    </w:p>
    <w:p>
      <w:pPr>
        <w:pStyle w:val="Code"/>
      </w:pPr>
      <w:r>
        <w:t>python manage.py runserver 0.0.0.0:8061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F7F8"/>
            <w:vAlign w:val="center"/>
          </w:tcPr>
          <w:p>
            <w:r>
              <w:rPr>
                <w:b/>
                <w:color w:val="1F5B63"/>
              </w:rPr>
              <w:t xml:space="preserve">Важно: </w:t>
            </w:r>
            <w:r>
              <w:rPr>
                <w:color w:val="17212B"/>
              </w:rPr>
              <w:t>Команда migrate применяется только к таблицам, которыми действительно управляет Django. Не используйте migrations для изменения базовой схемы МИС без отдельного согласования.</w:t>
            </w:r>
          </w:p>
        </w:tc>
      </w:tr>
    </w:tbl>
    <w:p>
      <w:pPr>
        <w:spacing w:after="0"/>
      </w:pPr>
    </w:p>
    <w:p>
      <w:pPr>
        <w:pStyle w:val="Heading1"/>
      </w:pPr>
      <w:r>
        <w:t>6. Android client</w:t>
      </w:r>
    </w:p>
    <w:p>
      <w:pPr>
        <w:pStyle w:val="ListBullet"/>
      </w:pPr>
      <w:r>
        <w:t>Открыть проект в Android Studio и установить SDK, соответствующий compileSdk.</w:t>
      </w:r>
    </w:p>
    <w:p>
      <w:pPr>
        <w:pStyle w:val="ListBullet"/>
      </w:pPr>
      <w:r>
        <w:t>Указать адрес backend через экран «Сервер и функции».</w:t>
      </w:r>
    </w:p>
    <w:p>
      <w:pPr>
        <w:pStyle w:val="ListBullet"/>
      </w:pPr>
      <w:r>
        <w:t>Для release-сборки использовать отдельные настройки подписи и не хранить секреты в исходном коде.</w:t>
      </w:r>
    </w:p>
    <w:p>
      <w:pPr>
        <w:pStyle w:val="ListBullet"/>
      </w:pPr>
      <w:r>
        <w:t>При тестировании динамических форм проверять не только UI, но и физическое хранилище ActionProperty_* в БД.</w:t>
      </w:r>
    </w:p>
    <w:p>
      <w:pPr>
        <w:pStyle w:val="Heading1"/>
      </w:pPr>
      <w:r>
        <w:t>7. Динамические формы</w:t>
      </w:r>
    </w:p>
    <w:p>
      <w:r>
        <w:t>Backend читает ActionPropertyType и возвращает клиенту универсальную схему поля. Клиент отображает компонент по widget/typeName, а запись выполняется в соответствующую таблицу ActionProperty_* с учётом типа свойства.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Тип / механизм</w:t>
            </w:r>
          </w:p>
        </w:tc>
        <w:tc>
          <w:tcPr>
            <w:tcW w:type="dxa" w:w="7200"/>
            <w:shd w:fill="1F5B63"/>
          </w:tcPr>
          <w:p>
            <w:pPr>
              <w:jc w:val="center"/>
            </w:pPr>
            <w:r>
              <w:rPr>
                <w:b/>
                <w:color w:val="FFFFFF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String / Text / Date / Time / numeric</w:t>
            </w:r>
          </w:p>
        </w:tc>
        <w:tc>
          <w:tcPr>
            <w:tcW w:type="dxa" w:w="7200"/>
            <w:vAlign w:val="top"/>
          </w:tcPr>
          <w:p>
            <w:r>
              <w:t>Стандартные компоненты и штатные таблицы ActionProperty_*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ReferenceColumns</w:t>
            </w:r>
          </w:p>
        </w:tc>
        <w:tc>
          <w:tcPr>
            <w:tcW w:type="dxa" w:w="7200"/>
            <w:vAlign w:val="top"/>
          </w:tcPr>
          <w:p>
            <w:r>
              <w:t>Разрешение valueDomain в таблицу/VIEW и сохранение штатного идентификатора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Constructor</w:t>
            </w:r>
          </w:p>
        </w:tc>
        <w:tc>
          <w:tcPr>
            <w:tcW w:type="dxa" w:w="7200"/>
            <w:vAlign w:val="top"/>
          </w:tcPr>
          <w:p>
            <w:r>
              <w:t>Корень определяется по rbThesaurus.code, варианты — по group_id; итог сохраняется как текст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Counter</w:t>
            </w:r>
          </w:p>
        </w:tc>
        <w:tc>
          <w:tcPr>
            <w:tcW w:type="dxa" w:w="7200"/>
            <w:vAlign w:val="top"/>
          </w:tcPr>
          <w:p>
            <w:r>
              <w:t>Генерация через rbCounter/getCounterValue только при реальном POST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JobTicket</w:t>
            </w:r>
          </w:p>
        </w:tc>
        <w:tc>
          <w:tcPr>
            <w:tcW w:type="dxa" w:w="7200"/>
            <w:vAlign w:val="top"/>
          </w:tcPr>
          <w:p>
            <w:r>
              <w:t>Хранилище ActionProperty_Job_Ticket; при неоднозначной конфигурации мобильный выбор должен быть отключён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assigned_only</w:t>
            </w:r>
          </w:p>
        </w:tc>
        <w:tc>
          <w:tcPr>
            <w:tcW w:type="dxa" w:w="7200"/>
            <w:vAlign w:val="top"/>
          </w:tcPr>
          <w:p>
            <w:r>
              <w:t>Создаётся ActionProperty с isAssigned=1 без значения результата</w:t>
            </w:r>
          </w:p>
        </w:tc>
      </w:tr>
    </w:tbl>
    <w:p>
      <w:pPr>
        <w:pStyle w:val="Heading1"/>
      </w:pPr>
      <w:r>
        <w:t>8. Диагностика и лабораторные направления</w:t>
      </w:r>
    </w:p>
    <w:p>
      <w:pPr>
        <w:pStyle w:val="ListBullet"/>
      </w:pPr>
      <w:r>
        <w:t>Для нового направления Action.status должен отражать состояние «Назначено».</w:t>
      </w:r>
    </w:p>
    <w:p>
      <w:pPr>
        <w:pStyle w:val="ListBullet"/>
      </w:pPr>
      <w:r>
        <w:t>Исполнитель не подставляется до фактического выполнения исследования.</w:t>
      </w:r>
    </w:p>
    <w:p>
      <w:pPr>
        <w:pStyle w:val="ListBullet"/>
      </w:pPr>
      <w:r>
        <w:t>Параметры направления и поля результата разделяются на уровне схемы формы.</w:t>
      </w:r>
    </w:p>
    <w:p>
      <w:pPr>
        <w:pStyle w:val="ListBullet"/>
      </w:pPr>
      <w:r>
        <w:t>Историю диагностики рекомендуется фильтровать одновременно по context и serviceType, чтобы не смешивать диагностику с мероприятиями и анализами.</w:t>
      </w:r>
    </w:p>
    <w:p>
      <w:pPr>
        <w:pStyle w:val="Heading1"/>
      </w:pPr>
      <w:r>
        <w:t>9. Логирование и диагностика</w:t>
      </w:r>
    </w:p>
    <w:p>
      <w:pPr>
        <w:pStyle w:val="ListBullet"/>
      </w:pPr>
      <w:r>
        <w:t>Rotating file log для backend;</w:t>
      </w:r>
    </w:p>
    <w:p>
      <w:pPr>
        <w:pStyle w:val="ListBullet"/>
      </w:pPr>
      <w:r>
        <w:t>request-id в HTTP-ответе и логах;</w:t>
      </w:r>
    </w:p>
    <w:p>
      <w:pPr>
        <w:pStyle w:val="ListBullet"/>
      </w:pPr>
      <w:r>
        <w:t>traceback для HTTP 500;</w:t>
      </w:r>
    </w:p>
    <w:p>
      <w:pPr>
        <w:pStyle w:val="ListBullet"/>
      </w:pPr>
      <w:r>
        <w:t>логирование ключевых решений: выбранный профиль, resolved dictionary, direction header, special property storage;</w:t>
      </w:r>
    </w:p>
    <w:p>
      <w:pPr>
        <w:pStyle w:val="ListBullet"/>
      </w:pPr>
      <w:r>
        <w:t>при работе с production-данными не логировать медицинские сведения сверх необходимого для диагностики.</w:t>
      </w:r>
    </w:p>
    <w:p>
      <w:pPr>
        <w:pStyle w:val="Heading1"/>
      </w:pPr>
      <w:r>
        <w:t>10. Legacy и эксплуатация</w:t>
      </w:r>
    </w:p>
    <w:p>
      <w:r>
        <w:t>Проект рассчитан на работу в закрытых сетях и на неоднородной инфраструктуре. При совместимости со старыми MariaDB/Linux предпочтительно использовать feature detection и introspection вместо жёстких предположений о наличии колонок, VIEW и типов ActionProperty.</w:t>
      </w:r>
    </w:p>
    <w:p>
      <w:pPr>
        <w:pStyle w:val="ListBullet"/>
      </w:pPr>
      <w:r>
        <w:t>CentOS 7 / RHEL-подобные системы;</w:t>
      </w:r>
    </w:p>
    <w:p>
      <w:pPr>
        <w:pStyle w:val="ListBullet"/>
      </w:pPr>
      <w:r>
        <w:t>RED OS;</w:t>
      </w:r>
    </w:p>
    <w:p>
      <w:pPr>
        <w:pStyle w:val="ListBullet"/>
      </w:pPr>
      <w:r>
        <w:t>Astra Linux;</w:t>
      </w:r>
    </w:p>
    <w:p>
      <w:pPr>
        <w:pStyle w:val="ListBullet"/>
      </w:pPr>
      <w:r>
        <w:t>Альт;</w:t>
      </w:r>
    </w:p>
    <w:p>
      <w:pPr>
        <w:pStyle w:val="ListBullet"/>
      </w:pPr>
      <w:r>
        <w:t>современная Android-сборка при legacy backend-инфраструктуре.</w:t>
      </w:r>
    </w:p>
    <w:p>
      <w:pPr>
        <w:pStyle w:val="Heading1"/>
      </w:pPr>
      <w:r>
        <w:t>11. Security / portfolio</w:t>
      </w:r>
    </w:p>
    <w:p>
      <w:pPr>
        <w:pStyle w:val="ListBullet"/>
      </w:pPr>
      <w:r>
        <w:t>Не публиковать реальные IP, пароли, GUID учреждения, токены и дампы БД.</w:t>
      </w:r>
    </w:p>
    <w:p>
      <w:pPr>
        <w:pStyle w:val="ListBullet"/>
      </w:pPr>
      <w:r>
        <w:t>На скриншотах скрывать ФИО, даты рождения и идентификаторы пациента.</w:t>
      </w:r>
    </w:p>
    <w:p>
      <w:pPr>
        <w:pStyle w:val="ListBullet"/>
      </w:pPr>
      <w:r>
        <w:t>Для публичного портфолио использовать архитектурные схемы, обезличенные скриншоты и описание инженерных решений вместо исходного кода закрытого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CA3AF"/>
        <w:sz w:val="16"/>
      </w:rPr>
      <w:t>Portfolio documentation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7"/>
      </w:rPr>
      <w:t>SAMSON Hospital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5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068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21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259"/>
    </w:pPr>
    <w:rPr>
      <w:rFonts w:ascii="Consolas" w:hAnsi="Consolas"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