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5B63"/>
          <w:sz w:val="60"/>
        </w:rPr>
        <w:t>SAMSON Hospital</w:t>
      </w:r>
    </w:p>
    <w:p>
      <w:pPr>
        <w:jc w:val="center"/>
      </w:pPr>
      <w:r>
        <w:rPr>
          <w:rFonts w:ascii="Arial" w:hAnsi="Arial"/>
          <w:color w:val="667085"/>
          <w:sz w:val="28"/>
        </w:rPr>
        <w:t>Руководство пользователя</w:t>
      </w:r>
    </w:p>
    <w:p>
      <w:pPr>
        <w:spacing w:before="520"/>
        <w:jc w:val="center"/>
      </w:pPr>
      <w:r>
        <w:rPr>
          <w:rFonts w:ascii="Arial" w:hAnsi="Arial"/>
          <w:color w:val="7B8794"/>
          <w:sz w:val="20"/>
        </w:rPr>
        <w:t>Внутреннее мобильное рабочее место врача • редакция для портфолио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SAMSON Hospital — мобильное приложение для врача стационара, интегрированное с медицинской информационной системой. Приложение объединяет наиболее частые операции по пациенту в одном интерфейсе и предназначено для работы в закрытом контуре медицинской организации.</w:t>
      </w:r>
    </w:p>
    <w:p>
      <w:pPr>
        <w:pStyle w:val="ListBullet"/>
      </w:pPr>
      <w:r>
        <w:t>доступ к пациентам выбранного отделения;</w:t>
      </w:r>
    </w:p>
    <w:p>
      <w:pPr>
        <w:pStyle w:val="ListBullet"/>
      </w:pPr>
      <w:r>
        <w:t>ведение и просмотр дневников;</w:t>
      </w:r>
    </w:p>
    <w:p>
      <w:pPr>
        <w:pStyle w:val="ListBullet"/>
      </w:pPr>
      <w:r>
        <w:t>просмотр анализов и создание направлений;</w:t>
      </w:r>
    </w:p>
    <w:p>
      <w:pPr>
        <w:pStyle w:val="ListBullet"/>
      </w:pPr>
      <w:r>
        <w:t>просмотр диагностики и создание направлений;</w:t>
      </w:r>
    </w:p>
    <w:p>
      <w:pPr>
        <w:pStyle w:val="ListBullet"/>
      </w:pPr>
      <w:r>
        <w:t>просмотр и назначение лечения;</w:t>
      </w:r>
    </w:p>
    <w:p>
      <w:pPr>
        <w:pStyle w:val="ListBullet"/>
      </w:pPr>
      <w:r>
        <w:t>работа с мероприятиями и клиническими документами;</w:t>
      </w:r>
    </w:p>
    <w:p>
      <w:pPr>
        <w:pStyle w:val="ListBullet"/>
      </w:pPr>
      <w:r>
        <w:t>переход в портал врача при наличии соответствующей интеграции.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7F8"/>
            <w:vAlign w:val="center"/>
          </w:tcPr>
          <w:p>
            <w:r>
              <w:rPr>
                <w:b/>
                <w:color w:val="1F5B63"/>
              </w:rPr>
              <w:t xml:space="preserve">Важно: </w:t>
            </w:r>
            <w:r>
              <w:rPr>
                <w:color w:val="17212B"/>
              </w:rPr>
              <w:t>Полный функционал требует подключения к backend. Без сети поддерживается локальное сохранение черновиков дневников.</w:t>
            </w:r>
          </w:p>
        </w:tc>
      </w:tr>
    </w:tbl>
    <w:p>
      <w:pPr>
        <w:spacing w:after="0"/>
      </w:pPr>
    </w:p>
    <w:p>
      <w:pPr>
        <w:pStyle w:val="Heading1"/>
      </w:pPr>
      <w:r>
        <w:t>2. Первый запуск</w:t>
      </w:r>
    </w:p>
    <w:p>
      <w:r>
        <w:t>Откройте «Настройки → Сервер и функции», укажите адрес backend, сохраните настройки и выполните проверку соединения. После успешной проверки можно переходить к авторизации.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8996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899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17528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52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Меню настроек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Сервер и функции</w:t>
            </w:r>
          </w:p>
        </w:tc>
      </w:tr>
    </w:tbl>
    <w:p>
      <w:pPr>
        <w:pStyle w:val="Heading1"/>
      </w:pPr>
      <w:r>
        <w:t>3. Авторизация и выбор рабочего контекста</w:t>
      </w:r>
    </w:p>
    <w:p>
      <w:r>
        <w:t>Введите логин и пароль. Если одному логину соответствует несколько рабочих профилей, приложение предлагает выбрать нужный профиль. После авторизации выберите отделение, затем пациента.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4408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440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665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665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Авторизация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Выбор отделения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2774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77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730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73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Список пациентов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Меню пациента</w:t>
            </w:r>
          </w:p>
        </w:tc>
      </w:tr>
    </w:tbl>
    <w:p>
      <w:pPr>
        <w:pStyle w:val="Heading1"/>
      </w:pPr>
      <w:r>
        <w:t>4. Дневники</w:t>
      </w:r>
    </w:p>
    <w:p>
      <w:r>
        <w:t>Раздел поддерживает выбор типа дневника по подразделению или специальности, пользовательские шаблоны, избранное, динамические поля и сохранение локального черновика.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3981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398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4938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93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Выбор типа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Шаблоны и избранное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5331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533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53652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536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Заполнение формы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История дневников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7F8"/>
            <w:vAlign w:val="center"/>
          </w:tcPr>
          <w:p>
            <w:r>
              <w:rPr>
                <w:b/>
                <w:color w:val="1F5B63"/>
              </w:rPr>
              <w:t xml:space="preserve">Важно: </w:t>
            </w:r>
            <w:r>
              <w:rPr>
                <w:color w:val="17212B"/>
              </w:rPr>
              <w:t>При выходе из незавершённой формы можно сохранить черновик. Лимит черновиков задаётся в настройках приложения.</w:t>
            </w:r>
          </w:p>
        </w:tc>
      </w:tr>
    </w:tbl>
    <w:p>
      <w:pPr>
        <w:spacing w:after="0"/>
      </w:pPr>
    </w:p>
    <w:p>
      <w:pPr>
        <w:pStyle w:val="Heading1"/>
      </w:pPr>
      <w:r>
        <w:t>5. Анализы</w:t>
      </w:r>
    </w:p>
    <w:p>
      <w:r>
        <w:t>В разделе отображается история лабораторных исследований пациента. Из списка можно перейти к созданию нового направления и выбрать тип исследования по коду или части наименования. Для некоторых лабораторных показателей доступна отдельная отметка «Назначено» без ввода результата исследования.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5067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0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9499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949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Анализы пациента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Выбор анализа</w:t>
            </w:r>
          </w:p>
        </w:tc>
      </w:tr>
    </w:tbl>
    <w:p>
      <w:pPr>
        <w:pStyle w:val="Heading1"/>
      </w:pPr>
      <w:r>
        <w:t>6. Диагностика</w:t>
      </w:r>
    </w:p>
    <w:p>
      <w:r>
        <w:t>Раздел предназначен для просмотра ранее выполненных исследований и создания новых направлений. Параметры, которые заполняются при назначении, отделены от полей результата исследования. Набор доступных исследований определяется серверной конфигурацией.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23592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35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67345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73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История диагностики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Выбор исследования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207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4-044210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Пример формы направления: поля назначения и поля результата</w:t>
      </w:r>
    </w:p>
    <w:p>
      <w:pPr>
        <w:pStyle w:val="Heading1"/>
      </w:pPr>
      <w:r>
        <w:t>7. Лечение</w:t>
      </w:r>
    </w:p>
    <w:p>
      <w:r>
        <w:t>Врач может просматривать текущие, завершённые и будущие назначения, отменять активные назначения, корректировать сроки и создавать новые назначения через поиск, готовые листы или локальные шаблоны.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63453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634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89181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8918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История лечения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Создание назначения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52806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528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175285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52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Шаблоны устройства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Импорт / экспорт шаблонов</w:t>
            </w:r>
          </w:p>
        </w:tc>
      </w:tr>
    </w:tbl>
    <w:p>
      <w:pPr>
        <w:pStyle w:val="Heading1"/>
      </w:pPr>
      <w:r>
        <w:t>8. Мероприятия</w:t>
      </w:r>
    </w:p>
    <w:p>
      <w:r>
        <w:t>Раздел содержит историю движений и клинических мероприятий пациента. Для нового мероприятия выбирается тип, при необходимости — пользовательский шаблон, после чего открывается динамическая форма.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73393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733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19332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193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Выбор типа мероприятия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i/>
                <w:color w:val="667085"/>
                <w:sz w:val="16"/>
              </w:rPr>
              <w:t>Форма создания</w:t>
            </w:r>
          </w:p>
        </w:tc>
      </w:tr>
    </w:tbl>
    <w:p>
      <w:pPr>
        <w:pStyle w:val="Heading1"/>
      </w:pPr>
      <w:r>
        <w:t>9. Завершение работы и безопасность</w:t>
      </w:r>
    </w:p>
    <w:p>
      <w:pPr>
        <w:pStyle w:val="ListBullet"/>
      </w:pPr>
      <w:r>
        <w:t>По окончании работы используйте команду «Выйти».</w:t>
      </w:r>
    </w:p>
    <w:p>
      <w:pPr>
        <w:pStyle w:val="ListBullet"/>
      </w:pPr>
      <w:r>
        <w:t>Не передавайте учётные данные другим сотрудникам.</w:t>
      </w:r>
    </w:p>
    <w:p>
      <w:pPr>
        <w:pStyle w:val="ListBullet"/>
      </w:pPr>
      <w:r>
        <w:t>При использовании демонстрационных материалов скрывайте ФИО, даты рождения, номера документов и внутренние адреса сервисов.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7F8"/>
            <w:vAlign w:val="center"/>
          </w:tcPr>
          <w:p>
            <w:r>
              <w:rPr>
                <w:b/>
                <w:color w:val="1F5B63"/>
              </w:rPr>
              <w:t xml:space="preserve">Важно: </w:t>
            </w:r>
            <w:r>
              <w:rPr>
                <w:color w:val="17212B"/>
              </w:rPr>
              <w:t>Эта редакция руководства предназначена также для портфолио: все изображения должны оставаться обезличенными.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CA3AF"/>
        <w:sz w:val="16"/>
      </w:rPr>
      <w:t>Portfolio documentation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7"/>
      </w:rPr>
      <w:t>SAMSON Hospital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5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068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21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259"/>
    </w:pPr>
    <w:rPr>
      <w:rFonts w:ascii="Consolas" w:hAnsi="Consolas"/>
      <w:color w:val="37415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