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405F86"/>
            <w:tcMar>
              <w:top w:w="400" w:type="dxa"/>
              <w:start w:w="300" w:type="dxa"/>
              <w:bottom w:w="400" w:type="dxa"/>
              <w:end w:w="300" w:type="dxa"/>
            </w:tcMar>
          </w:tcPr>
          <w:p>
            <w:pPr>
              <w:jc w:val="center"/>
            </w:pPr>
            <w:r>
              <w:rPr>
                <w:rFonts w:ascii="Noto Sans CJK SC" w:hAnsi="Noto Sans CJK SC" w:eastAsia="Noto Sans CJK SC"/>
                <w:b/>
                <w:color w:val="FFFFFF"/>
                <w:sz w:val="56"/>
              </w:rPr>
              <w:t>AI 项目简报</w:t>
            </w:r>
          </w:p>
          <w:p>
            <w:pPr>
              <w:jc w:val="center"/>
            </w:pPr>
            <w:r>
              <w:rPr>
                <w:rFonts w:ascii="Noto Sans CJK SC" w:hAnsi="Noto Sans CJK SC" w:eastAsia="Noto Sans CJK SC"/>
                <w:color w:val="FFFFFF"/>
                <w:sz w:val="36"/>
              </w:rPr>
              <w:t>医疗健康市场情报与 FP&amp;A 趋势监测工作流</w:t>
            </w:r>
          </w:p>
          <w:p>
            <w:pPr>
              <w:jc w:val="center"/>
            </w:pPr>
            <w:r>
              <w:rPr>
                <w:rFonts w:ascii="Noto Sans CJK SC" w:hAnsi="Noto Sans CJK SC" w:eastAsia="Noto Sans CJK SC"/>
                <w:color w:val="E4ECF6"/>
                <w:sz w:val="21"/>
              </w:rPr>
              <w:t>已完成作业指南 + 可编辑提交版本</w:t>
            </w:r>
          </w:p>
        </w:tc>
      </w:tr>
    </w:tbl>
    <w:p/>
    <w:tbl>
      <w:tblPr>
        <w:tblW w:type="auto" w:w="0"/>
        <w:jc w:val="center"/>
        <w:tblLook w:firstColumn="1" w:firstRow="1" w:lastColumn="0" w:lastRow="0" w:noHBand="0" w:noVBand="1" w:val="04A0"/>
      </w:tblPr>
      <w:tblGrid>
        <w:gridCol w:w="3456"/>
        <w:gridCol w:w="3456"/>
        <w:gridCol w:w="3456"/>
      </w:tblGrid>
      <w:tr>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b/>
                <w:color w:val="2F496A"/>
                <w:sz w:val="18"/>
              </w:rPr>
              <w:t>学生姓名</w:t>
            </w:r>
          </w:p>
        </w:tc>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b/>
                <w:color w:val="2F496A"/>
                <w:sz w:val="18"/>
              </w:rPr>
              <w:t>课程 / 班级</w:t>
            </w:r>
          </w:p>
        </w:tc>
        <w:tc>
          <w:tcPr>
            <w:tcW w:type="dxa" w:w="3456"/>
            <w:shd w:fill="EAF0F7"/>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b/>
                <w:color w:val="2F496A"/>
                <w:sz w:val="18"/>
              </w:rPr>
              <w:t>截止日期</w:t>
            </w:r>
          </w:p>
        </w:tc>
      </w:tr>
      <w:tr>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color w:val="242F3D"/>
                <w:sz w:val="19"/>
              </w:rPr>
              <w:t>Marilyn You</w:t>
            </w:r>
          </w:p>
        </w:tc>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color w:val="242F3D"/>
                <w:sz w:val="19"/>
              </w:rPr>
              <w:t>[请填写课程 / 班级]</w:t>
            </w:r>
          </w:p>
        </w:tc>
        <w:tc>
          <w:tcPr>
            <w:tcW w:type="dxa" w:w="3456"/>
            <w:shd w:fill="F5F8FC"/>
            <w:tcMar>
              <w:top w:w="100" w:type="dxa"/>
              <w:start w:w="100" w:type="dxa"/>
              <w:bottom w:w="100" w:type="dxa"/>
              <w:end w:w="100" w:type="dxa"/>
            </w:tcMar>
            <w:tcBorders>
              <w:top w:sz="5" w:val="single" w:color="B8C6D6"/>
              <w:left w:sz="5" w:val="single" w:color="B8C6D6"/>
              <w:bottom w:sz="5" w:val="single" w:color="B8C6D6"/>
              <w:right w:sz="5" w:val="single" w:color="B8C6D6"/>
            </w:tcBorders>
          </w:tcPr>
          <w:p>
            <w:r>
              <w:rPr>
                <w:rFonts w:ascii="Noto Sans CJK SC" w:hAnsi="Noto Sans CJK SC" w:eastAsia="Noto Sans CJK SC"/>
                <w:color w:val="242F3D"/>
                <w:sz w:val="19"/>
              </w:rPr>
              <w:t>[请填写截止日期]</w:t>
            </w:r>
          </w:p>
        </w:tc>
      </w:tr>
    </w:tbl>
    <w:p/>
    <w:tbl>
      <w:tblPr>
        <w:tblW w:type="auto" w:w="0"/>
        <w:jc w:val="center"/>
        <w:tblLayout w:type="fixed"/>
        <w:tblLook w:firstColumn="1" w:firstRow="1" w:lastColumn="0" w:lastRow="0" w:noHBand="0" w:noVBand="1" w:val="04A0"/>
      </w:tblPr>
      <w:tblGrid>
        <w:gridCol w:w="1152"/>
        <w:gridCol w:w="9504"/>
      </w:tblGrid>
      <w:tr>
        <w:tc>
          <w:tcPr>
            <w:tcW w:type="dxa" w:w="5184"/>
            <w:shd w:fill="405F86"/>
            <w:tcMar>
              <w:top w:w="130" w:type="dxa"/>
              <w:start w:w="120" w:type="dxa"/>
              <w:bottom w:w="130" w:type="dxa"/>
              <w:end w:w="120" w:type="dxa"/>
            </w:tcMar>
          </w:tcPr>
          <w:p>
            <w:pPr>
              <w:jc w:val="center"/>
            </w:pPr>
            <w:r>
              <w:rPr>
                <w:rFonts w:ascii="Noto Sans CJK SC" w:hAnsi="Noto Sans CJK SC" w:eastAsia="Noto Sans CJK SC"/>
                <w:b/>
                <w:color w:val="FFFFFF"/>
                <w:sz w:val="19"/>
              </w:rPr>
              <w:t>开始</w:t>
            </w:r>
          </w:p>
        </w:tc>
        <w:tc>
          <w:tcPr>
            <w:tcW w:type="dxa" w:w="5184"/>
            <w:shd w:fill="FFF4D6"/>
            <w:tcMar>
              <w:top w:w="110" w:type="dxa"/>
              <w:start w:w="150" w:type="dxa"/>
              <w:bottom w:w="110" w:type="dxa"/>
              <w:end w:w="120" w:type="dxa"/>
            </w:tcMar>
          </w:tcPr>
          <w:p>
            <w:r>
              <w:rPr>
                <w:rFonts w:ascii="Noto Sans CJK SC" w:hAnsi="Noto Sans CJK SC" w:eastAsia="Noto Sans CJK SC"/>
                <w:color w:val="242F3D"/>
                <w:sz w:val="19"/>
              </w:rPr>
              <w:t>职业教练的范围建议：第一版只聚焦一个重复性痛点，即把分散的医疗健康行业动态转化为可用于 FP&amp;A 决策的简报。发票上传、费用报表核对和消息自动发送被单独列为后续工作流，确保第一个项目具体、可测试、可落地。</w:t>
            </w:r>
          </w:p>
        </w:tc>
      </w:tr>
    </w:tbl>
    <w:p/>
    <w:p>
      <w:pPr>
        <w:jc w:val="center"/>
      </w:pPr>
      <w:r>
        <w:rPr>
          <w:rFonts w:ascii="Noto Sans CJK SC" w:hAnsi="Noto Sans CJK SC" w:eastAsia="Noto Sans CJK SC"/>
          <w:i/>
          <w:color w:val="5B6877"/>
          <w:sz w:val="18"/>
        </w:rPr>
        <w:t>编制日期：2026 年 7 月 24 日 | Word 文档可完全编辑</w:t>
      </w:r>
    </w:p>
    <w:p>
      <w:r>
        <w:br w:type="page"/>
      </w:r>
    </w:p>
    <w:p>
      <w:pPr>
        <w:jc w:val="center"/>
      </w:pPr>
      <w:r>
        <w:rPr>
          <w:rFonts w:ascii="Noto Sans CJK SC" w:hAnsi="Noto Sans CJK SC" w:eastAsia="Noto Sans CJK SC"/>
          <w:b/>
          <w:color w:val="2F496A"/>
          <w:sz w:val="40"/>
        </w:rPr>
        <w:t>最终项目简报 - 提交版本</w:t>
      </w:r>
    </w:p>
    <w:p>
      <w:pPr>
        <w:jc w:val="center"/>
      </w:pPr>
      <w:r>
        <w:rPr>
          <w:rFonts w:ascii="Noto Sans CJK SC" w:hAnsi="Noto Sans CJK SC" w:eastAsia="Noto Sans CJK SC"/>
          <w:i/>
          <w:color w:val="5B6877"/>
          <w:sz w:val="17"/>
        </w:rPr>
        <w:t>根据完整作业内容整理的一页核心项目简报。</w:t>
      </w:r>
    </w:p>
    <w:tbl>
      <w:tblPr>
        <w:tblW w:type="auto" w:w="0"/>
        <w:jc w:val="center"/>
        <w:tblLayout w:type="fixed"/>
        <w:tblLook w:firstColumn="1" w:firstRow="1" w:lastColumn="0" w:lastRow="0" w:noHBand="0" w:noVBand="1" w:val="04A0"/>
      </w:tblPr>
      <w:tblGrid>
        <w:gridCol w:w="2232"/>
        <w:gridCol w:w="8424"/>
      </w:tblGrid>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项目名称</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医疗健康市场情报与 FP&amp;A 趋势监测工作流</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主要用户</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在医疗健康行业从事 FP&amp;A、战略财务或商业财务的 Financial Analyst。该用户需要支持滚动预测、管理层报告和季度规划，并持续跟踪某一医疗细分领域。</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问题</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分析师需要跟踪市场新闻、公司及产品管线、监管动态、报销政策变化和医疗顶刊的技术突破，并把这些信息转化为不同医疗细分行业对应的收入和费用影响。信息来源分散、变化快，而且 Pharma、MedTech、Provider、Payer、Digital Health 和 Life-science Tools 的财务模型与收入驱动因素并不相同。</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当前流程</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分析师手动查看公司公告和 SEC/IR 材料、监管与报销信息、行业媒体、医疗期刊及内部 Google Docs；将相关内容复制到笔记；去重；判断重要性；映射到收入和费用驱动因素；更新行业简报；最后起草消息。主要瓶颈是筛选信息，以及把技术或临床进展转化为可用于财务模型和季度规划的影响。</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拟议 AI 工作流</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用户输入行业细分、时间范围、批准的信息源或上传的报告、公司/产品/管线关注列表，以及内部规划背景。Claude 提取并去重动态，按行业和事件类型分类，调用对应行业的收入驱动框架，与当前规划假设比较，按重要性排序，并生成带来源引用的 Google Doc 或 Word 简报，包括管理层摘要、收入/费用影响、下季度关注事项、需要复核的模型假设、置信度标签和待审批的消息草稿。</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人工复核</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分析师必须核实所有重要事实和原始来源，确认行业分类与财务逻辑，决定预算或预测假设是否需要调整，删除机密信息，编辑管理层摘要，并批准最终沟通。工作流不会在未经审核的情况下过账、修改预测或自动发送消息。</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成功指标</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1）至少 90% 的重要事实可追溯至批准的信息源。2）每周研究和简报制作时间至少减少 60%，目标不超过 45 分钟。3）输出包含 100% 的必需模块，并获得分析师至少 4/5 的实用性评分。</w:t>
            </w:r>
          </w:p>
        </w:tc>
      </w:tr>
      <w:tr>
        <w:tc>
          <w:tcPr>
            <w:tcW w:type="dxa" w:w="5184"/>
            <w:shd w:fill="2F496A"/>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第一版不做什么</w:t>
            </w:r>
          </w:p>
        </w:tc>
        <w:tc>
          <w:tcPr>
            <w:tcW w:type="dxa" w:w="5184"/>
            <w:shd w:fill="F5F8FC"/>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不自动上传或过账发票；不直接修改 ERP、预算、预测或财务模型；不自动发送消息；不建立无限制实时抓取或长期数据库；不提供投资、临床或患者诊疗建议；不处理受保护的患者健康信息。</w:t>
            </w:r>
          </w:p>
        </w:tc>
      </w:tr>
      <w:tr>
        <w:tc>
          <w:tcPr>
            <w:tcW w:type="dxa" w:w="5184"/>
            <w:shd w:fill="405F86"/>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b/>
                <w:color w:val="FFFFFF"/>
                <w:sz w:val="17"/>
              </w:rPr>
              <w:t>一句话定义</w:t>
            </w:r>
          </w:p>
        </w:tc>
        <w:tc>
          <w:tcPr>
            <w:tcW w:type="dxa" w:w="5184"/>
            <w:shd w:fill="FFFFFF"/>
            <w:tcMar>
              <w:top w:w="70" w:type="dxa"/>
              <w:start w:w="100" w:type="dxa"/>
              <w:bottom w:w="70" w:type="dxa"/>
              <w:end w:w="10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该项目帮助医疗健康行业的 Financial Analyst 跟踪不同细分行业的市场、管线、监管和科研动态，将选定行业、批准的信息源及内部规划背景转化为一份带引用、匹配行业模型并说明 FP&amp;A 影响和下季度关注事项的简报，从而减少研究时间并降低遗漏重大动态的风险。</w:t>
            </w:r>
          </w:p>
        </w:tc>
      </w:tr>
    </w:tbl>
    <w:p/>
    <w:tbl>
      <w:tblPr>
        <w:tblW w:type="auto" w:w="0"/>
        <w:tblLook w:firstColumn="1" w:firstRow="1" w:lastColumn="0" w:lastRow="0" w:noHBand="0" w:noVBand="1" w:val="04A0"/>
      </w:tblPr>
      <w:tblGrid>
        <w:gridCol w:w="10368"/>
      </w:tblGrid>
      <w:tr>
        <w:tc>
          <w:tcPr>
            <w:tcW w:type="dxa" w:w="10368"/>
            <w:shd w:fill="EAF4ED"/>
            <w:tcMar>
              <w:top w:w="120" w:type="dxa"/>
              <w:start w:w="150" w:type="dxa"/>
              <w:bottom w:w="120" w:type="dxa"/>
              <w:end w:w="150" w:type="dxa"/>
            </w:tcMar>
            <w:tcBorders>
              <w:top w:sz="7" w:val="single" w:color="A9C7B0"/>
              <w:left w:sz="7" w:val="single" w:color="A9C7B0"/>
              <w:bottom w:sz="7" w:val="single" w:color="A9C7B0"/>
              <w:right w:sz="7" w:val="single" w:color="A9C7B0"/>
            </w:tcBorders>
          </w:tcPr>
          <w:p>
            <w:r>
              <w:rPr>
                <w:rFonts w:ascii="Noto Sans CJK SC" w:hAnsi="Noto Sans CJK SC" w:eastAsia="Noto Sans CJK SC"/>
                <w:b/>
                <w:color w:val="2D4E38"/>
                <w:sz w:val="18"/>
              </w:rPr>
              <w:t>该项目帮助医疗健康行业的 Financial Analyst 跟踪不同细分行业的市场、管线、监管和科研动态，将选定行业、批准的信息源及内部规划背景转化为一份带引用、匹配行业模型并说明 FP&amp;A 影响和下季度关注事项的简报，从而减少研究时间并降低遗漏重大动态的风险。</w:t>
            </w:r>
          </w:p>
        </w:tc>
      </w:tr>
    </w:tbl>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1</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选择一个值得解决的问题</w:t>
            </w:r>
          </w:p>
          <w:p>
            <w:pPr>
              <w:spacing w:before="0" w:after="0"/>
            </w:pPr>
            <w:r>
              <w:rPr>
                <w:rFonts w:ascii="Noto Sans CJK SC" w:hAnsi="Noto Sans CJK SC" w:eastAsia="Noto Sans CJK SC"/>
                <w:i/>
                <w:color w:val="5B6877"/>
                <w:sz w:val="17"/>
              </w:rPr>
              <w:t>从真实任务出发，而不是从宽泛的 AI 平台出发。</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构思三个可能的项目问题。每个想法都要写明用户和任务，而不是要开发什么 App。</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医疗健康市场情报：医疗行业 Financial Analyst 需要跟踪细分行业新闻、公司和产品管线、监管或报销变化、医疗顶刊技术突破，并把它们转化为收入、费用和季度规划影响。</w:t>
              <w:br/>
              <w:br/>
              <w:t>2. 费用与发票变化追踪：FP&amp;A Analyst 需要上传发票以及前后期费用报表，提取关键字段，与预算或上期进行比较，标记异常，并形成可供审批的核对结果。</w:t>
              <w:br/>
              <w:br/>
              <w:t>3. 细分行业收入驱动监测：医疗行业 FP&amp;A Analyst 需要针对不同商业模式跟踪正确的驱动因素，例如药物管线里程碑、器械装机量、患者量、保险会员数或 Digital Health 留存率，并判断下季度可能发生什么变化。</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本次作业选择哪个问题？为什么？</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本次选择“医疗健康市场情报”问题。它是我熟悉的、重复发生的、信息密集型任务，可以用真实的行业名称、信息源、公司关注列表和季度规划假设进行测试，也能产出管理层可以直接使用的明确结果。发票/费用工作流和消息自动化同样有价值，但需要不同的内控和审批机制，不应与第一版混在一起。</w:t>
            </w:r>
          </w:p>
        </w:tc>
      </w:tr>
    </w:tbl>
    <w:p>
      <w:pPr>
        <w:spacing w:after="0"/>
      </w:pPr>
    </w:p>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2</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定义用户与问题</w:t>
            </w:r>
          </w:p>
          <w:p>
            <w:pPr>
              <w:spacing w:before="0" w:after="0"/>
            </w:pPr>
            <w:r>
              <w:rPr>
                <w:rFonts w:ascii="Noto Sans CJK SC" w:hAnsi="Noto Sans CJK SC" w:eastAsia="Noto Sans CJK SC"/>
                <w:i/>
                <w:color w:val="5B6877"/>
                <w:sz w:val="17"/>
              </w:rPr>
              <w:t>具体到可以找到并访谈这类用户。</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谁是主要用户？</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在医疗健康行业从事 FP&amp;A、战略财务或商业财务的 Financial Analyst。该分析师支持滚动预测、管理层报告和季度规划，需要解释外部行业变化可能如何影响收入、费用、现金流和运营假设。</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用户想要完成什么工作？</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持续监测、整理和评估医疗健康行业最新动态；识别哪些信息具有财务重要性；将每条信息映射到正确的行业收入和费用驱动因素；形成可供决策的简报，明确 FP&amp;A 团队下季度应关注或重新审视哪些假设。</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为什么这项任务困难、耗时、重复或令人挫败？</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相关信息分散在监管网站、公司公告和 Investor Relations 页面、行业媒体、医疗期刊、会议报告以及内部 Google Docs 中。分析师需要反复搜索、阅读、去重和重新排版。同时，不同行业的财务含义不同：药物临床里程碑、器械审批、医院报销变化、保险利用率变化和 Digital Health 留存变化不能使用同一套模型。缺少统一框架时，重要信息可能被遗漏、重复记录，或只做了新闻摘要却没有说明对预测的影响。</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你有哪些经历或观察说明这个问题确实重要？</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我观察到，一份周度更新或季度行业分析通常需要在多个互不连接的信息源之间切换，再手动解释每条信息对收入确认时间、销量、价格、R&amp;D、SG&amp;A、资本开支或现金流的影响。很多时间消耗在信息搜集上，真正的财务分析反而开始得很晚。重要动态有时直到预测周期或管理层提出问题时才被发现，导致分析仓促、口径不一致。</w:t>
            </w:r>
          </w:p>
        </w:tc>
      </w:tr>
    </w:tbl>
    <w:p>
      <w:pPr>
        <w:spacing w:after="0"/>
      </w:pPr>
    </w:p>
    <w:p>
      <w:r>
        <w:br w:type="page"/>
      </w: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3</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梳理当前工作流</w:t>
            </w:r>
          </w:p>
          <w:p>
            <w:pPr>
              <w:spacing w:before="0" w:after="0"/>
            </w:pPr>
            <w:r>
              <w:rPr>
                <w:rFonts w:ascii="Noto Sans CJK SC" w:hAnsi="Noto Sans CJK SC" w:eastAsia="Noto Sans CJK SC"/>
                <w:i/>
                <w:color w:val="5B6877"/>
                <w:sz w:val="17"/>
              </w:rPr>
              <w:t>先理解现有工作，再决定 Claude 应该做什么。</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什么事件会启动当前流程？</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当分析师需要准备每日/每周医疗行业更新、收到管理层问题、进入月度预测或季度规划周期、看到重要公司或监管公告，或需要刷新某一医疗细分行业的关键假设时，流程开始。</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用户现在按什么步骤完成任务？按顺序写 3-7 步。</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确定行业细分、公司列表、产品/管线、时间范围和业务问题。</w:t>
              <w:br/>
              <w:t>2. 搜索批准的外部信息源，并查看内部 Google Docs 或历史报告。</w:t>
              <w:br/>
              <w:t>3. 阅读文章、公告、报告或论文摘要，将潜在相关信息复制到笔记。</w:t>
              <w:br/>
              <w:t>4. 去重，并按公司、行业、事件类型、产品/管线阶段和日期分类。</w:t>
              <w:br/>
              <w:t>5. 判断可信度、重要性和影响时间，并确定可能变化的收入或费用驱动因素。</w:t>
              <w:br/>
              <w:t>6. 更新行业趋势文档或模型假设清单，撰写管理层摘要。</w:t>
              <w:br/>
              <w:t>7. 发送或汇报更新，并回答 FP&amp;A 或管理层的追问。</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用户在哪些环节花费最多时间或最容易出错？</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最大的两个瓶颈是：（1）在碎片化来源中发现并筛选真正相关的信息，同时避免重复；（2）把技术、临床或政策动态转化为正确的行业财务驱动因素。常见错误包括漏掉重要信息、只引用二手摘要而未查看原始来源、把不同细分行业的驱动因素混用，以及只描述新闻却没有说明预测影响。</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哪些部分必须依赖人工判断、背景信息或审批？</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分析师必须判断信息源是否可信、某条动态对公司和规划周期是否重要、哪些内部假设受到影响，以及该事项应该进入预算、预测、风险清单还是观察清单。人工还必须核实引用、保护机密信息、批准任何模型调整，并在沟通发出前审核最终内容。</w:t>
            </w:r>
          </w:p>
        </w:tc>
      </w:tr>
    </w:tbl>
    <w:p>
      <w:pPr>
        <w:spacing w:after="0"/>
      </w:pPr>
    </w:p>
    <w:p>
      <w:pPr>
        <w:pStyle w:val="Heading2"/>
      </w:pPr>
      <w:r>
        <w:t>当前工作流汇总</w:t>
      </w:r>
    </w:p>
    <w:tbl>
      <w:tblPr>
        <w:tblW w:type="auto" w:w="0"/>
        <w:jc w:val="center"/>
        <w:tblLayout w:type="fixed"/>
        <w:tblLook w:firstColumn="1" w:firstRow="1" w:lastColumn="0" w:lastRow="0" w:noHBand="0" w:noVBand="1" w:val="04A0"/>
      </w:tblPr>
      <w:tblGrid>
        <w:gridCol w:w="2592"/>
        <w:gridCol w:w="2592"/>
        <w:gridCol w:w="2592"/>
        <w:gridCol w:w="2592"/>
      </w:tblGrid>
      <w:tr>
        <w:trPr>
          <w:tblHeader w:val="true"/>
        </w:trPr>
        <w:tc>
          <w:tcPr>
            <w:tcW w:type="dxa" w:w="648"/>
            <w:shd w:fill="405F86"/>
            <w:tcMar>
              <w:top w:w="90" w:type="dxa"/>
              <w:start w:w="90" w:type="dxa"/>
              <w:bottom w:w="90" w:type="dxa"/>
              <w:end w:w="90" w:type="dxa"/>
            </w:tcMar>
          </w:tcPr>
          <w:p>
            <w:pPr>
              <w:spacing w:after="0"/>
            </w:pPr>
            <w:r>
              <w:rPr>
                <w:rFonts w:ascii="Noto Sans CJK SC" w:hAnsi="Noto Sans CJK SC" w:eastAsia="Noto Sans CJK SC"/>
                <w:b/>
                <w:color w:val="FFFFFF"/>
                <w:sz w:val="14"/>
              </w:rPr>
              <w:t>步骤</w:t>
            </w:r>
          </w:p>
        </w:tc>
        <w:tc>
          <w:tcPr>
            <w:tcW w:type="dxa" w:w="1872"/>
            <w:shd w:fill="405F86"/>
            <w:tcMar>
              <w:top w:w="90" w:type="dxa"/>
              <w:start w:w="90" w:type="dxa"/>
              <w:bottom w:w="90" w:type="dxa"/>
              <w:end w:w="90" w:type="dxa"/>
            </w:tcMar>
          </w:tcPr>
          <w:p>
            <w:pPr>
              <w:spacing w:after="0"/>
            </w:pPr>
            <w:r>
              <w:rPr>
                <w:rFonts w:ascii="Noto Sans CJK SC" w:hAnsi="Noto Sans CJK SC" w:eastAsia="Noto Sans CJK SC"/>
                <w:b/>
                <w:color w:val="FFFFFF"/>
                <w:sz w:val="14"/>
              </w:rPr>
              <w:t>人员 / 工具</w:t>
            </w:r>
          </w:p>
        </w:tc>
        <w:tc>
          <w:tcPr>
            <w:tcW w:type="dxa" w:w="5184"/>
            <w:shd w:fill="405F86"/>
            <w:tcMar>
              <w:top w:w="90" w:type="dxa"/>
              <w:start w:w="90" w:type="dxa"/>
              <w:bottom w:w="90" w:type="dxa"/>
              <w:end w:w="90" w:type="dxa"/>
            </w:tcMar>
          </w:tcPr>
          <w:p>
            <w:pPr>
              <w:spacing w:after="0"/>
            </w:pPr>
            <w:r>
              <w:rPr>
                <w:rFonts w:ascii="Noto Sans CJK SC" w:hAnsi="Noto Sans CJK SC" w:eastAsia="Noto Sans CJK SC"/>
                <w:b/>
                <w:color w:val="FFFFFF"/>
                <w:sz w:val="14"/>
              </w:rPr>
              <w:t>发生什么</w:t>
            </w:r>
          </w:p>
        </w:tc>
        <w:tc>
          <w:tcPr>
            <w:tcW w:type="dxa" w:w="2880"/>
            <w:shd w:fill="405F86"/>
            <w:tcMar>
              <w:top w:w="90" w:type="dxa"/>
              <w:start w:w="90" w:type="dxa"/>
              <w:bottom w:w="90" w:type="dxa"/>
              <w:end w:w="90" w:type="dxa"/>
            </w:tcMar>
          </w:tcPr>
          <w:p>
            <w:pPr>
              <w:spacing w:after="0"/>
            </w:pPr>
            <w:r>
              <w:rPr>
                <w:rFonts w:ascii="Noto Sans CJK SC" w:hAnsi="Noto Sans CJK SC" w:eastAsia="Noto Sans CJK SC"/>
                <w:b/>
                <w:color w:val="FFFFFF"/>
                <w:sz w:val="14"/>
              </w:rPr>
              <w:t>痛点或风险</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1</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分析师 / 规划日历</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确定行业、时间范围、关注列表和规划问题。</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范围可能过宽或口径不一致。</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2</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浏览器、行业邮件、公司公告、期刊、搜索</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检查多个外部来源，寻找相关动态。</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来源碎片化；搜索耗时；可能漏项。</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3</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分析师 / 笔记或 Google Doc</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阅读、复制并总结候选信息。</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重复劳动；信息去重困难；来源上下文丢失。</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4</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分析师 / Spreadsheet</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按行业、事件、产品/管线阶段和日期分类。</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标签不一致；行业逻辑可能混用。</w:t>
            </w:r>
          </w:p>
        </w:tc>
      </w:tr>
      <w:tr>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5</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分析师 / 财务模型</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映射到收入、费用和现金流驱动因素。</w:t>
            </w:r>
          </w:p>
        </w:tc>
        <w:tc>
          <w:tcPr>
            <w:tcW w:type="dxa" w:w="2592"/>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判断负担最大；容易选错驱动或影响时间。</w:t>
            </w:r>
          </w:p>
        </w:tc>
      </w:tr>
      <w:tr>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6</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分析师 / 报告和 Email/Teams</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撰写简报、更新假设并沟通。</w:t>
            </w:r>
          </w:p>
        </w:tc>
        <w:tc>
          <w:tcPr>
            <w:tcW w:type="dxa" w:w="2592"/>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排版耗时；论据不足；消息口径不一致。</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4</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设计第一版 AI 工作流</w:t>
            </w:r>
          </w:p>
          <w:p>
            <w:pPr>
              <w:spacing w:before="0" w:after="0"/>
            </w:pPr>
            <w:r>
              <w:rPr>
                <w:rFonts w:ascii="Noto Sans CJK SC" w:hAnsi="Noto Sans CJK SC" w:eastAsia="Noto Sans CJK SC"/>
                <w:i/>
                <w:color w:val="5B6877"/>
                <w:sz w:val="17"/>
              </w:rPr>
              <w:t>明确 Claude 接收什么、做什么、输出什么，以及哪些留给人工。</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用户会提供哪些信息？请区分必需输入和可选输入。</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必需输入：（1）选定的医疗细分行业；（2）报告时间范围；（3）批准的信息源、链接或上传的报告；（4）业务问题或规划目标；（5）期望的输出频率与格式。</w:t>
              <w:br/>
              <w:br/>
              <w:t>可选输入：公司、产品或管线关注列表；内部 Google Docs 或历史行业报告；当前预算/预测假设；模型驱动因素定义；重要性阈值；竞争对手列表；地区范围；接收人；以及管理层消息的长度和语气。</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提供一个现实的输入示例。</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行业：MedTech - 远程患者监测与可穿戴诊断。</w:t>
              <w:br/>
              <w:t>时间范围：过去 7 天。</w:t>
              <w:br/>
              <w:t>关注公司：Abbott、Dexcom、iRhythm 及部分私营竞争对手。</w:t>
              <w:br/>
              <w:t>批准的信息源：FDA 公告、公司 IR/SEC 材料、CMS 或 Payer 更新、NEJM、JAMA、Nature Medicine，以及两份批准的行业 Newsletter。</w:t>
              <w:br/>
              <w:t>内部背景：Google Doc“Q4 Revenue Planning Assumptions”，包含当前销量、平均售价、订阅附着率、R&amp;D、SG&amp;A 和上市时间假设。</w:t>
              <w:br/>
              <w:t>重点问题：产品审批、临床证据、报销、定价、合作、供应链或竞品上市发生了什么变化？哪些假设需要在下季度重新审视？</w:t>
              <w:br/>
              <w:t>输出：两页 Google Doc 简报，加一份五行的 Teams 消息草稿。</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Claude 应如何处理输入？</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检查项目范围，若缺少必要信息则提出问题。</w:t>
              <w:br/>
              <w:t>2. 阅读批准的链接和上传文件，保留来源、发布日期、公司、产品和事件细节。</w:t>
              <w:br/>
              <w:t>3. 提取候选动态，去重，并把多个来源对同一事件的报道聚类。</w:t>
              <w:br/>
              <w:t>4. 按行业、公司、事件类型、监管或临床阶段、地区和预计影响时间分类。</w:t>
              <w:br/>
              <w:t>5. 调用对应行业的财务驱动框架，而不是使用一套通用医疗模型。</w:t>
              <w:br/>
              <w:t>6. 与内部规划文件比较，识别可能受影响的假设。</w:t>
              <w:br/>
              <w:t>7. 按重要性、紧迫性、证据质量和下季度相关性排序。</w:t>
              <w:br/>
              <w:t>8. 起草结构化简报，为重要事实提供来源，标注不确定性，并区分事实与推断。</w:t>
              <w:br/>
              <w:t>9. 起草简短管理层消息，但不自动发送。</w:t>
              <w:br/>
              <w:t>10. 标记信息缺口或冲突，交由分析师复核。</w:t>
            </w:r>
          </w:p>
        </w:tc>
      </w:tr>
    </w:tbl>
    <w:p>
      <w:pPr>
        <w:spacing w:after="0"/>
      </w:pPr>
    </w:p>
    <w:p>
      <w:pPr>
        <w:pStyle w:val="Heading2"/>
      </w:pPr>
      <w:r>
        <w:t>工作流使用的不同行业模型逻辑</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800"/>
            <w:shd w:fill="405F86"/>
            <w:tcMar>
              <w:top w:w="90" w:type="dxa"/>
              <w:start w:w="90" w:type="dxa"/>
              <w:bottom w:w="90" w:type="dxa"/>
              <w:end w:w="90" w:type="dxa"/>
            </w:tcMar>
          </w:tcPr>
          <w:p>
            <w:pPr>
              <w:spacing w:after="0"/>
            </w:pPr>
            <w:r>
              <w:rPr>
                <w:rFonts w:ascii="Noto Sans CJK SC" w:hAnsi="Noto Sans CJK SC" w:eastAsia="Noto Sans CJK SC"/>
                <w:b/>
                <w:color w:val="FFFFFF"/>
                <w:sz w:val="14"/>
              </w:rPr>
              <w:t>医疗细分行业</w:t>
            </w:r>
          </w:p>
        </w:tc>
        <w:tc>
          <w:tcPr>
            <w:tcW w:type="dxa" w:w="3888"/>
            <w:shd w:fill="405F86"/>
            <w:tcMar>
              <w:top w:w="90" w:type="dxa"/>
              <w:start w:w="90" w:type="dxa"/>
              <w:bottom w:w="90" w:type="dxa"/>
              <w:end w:w="90" w:type="dxa"/>
            </w:tcMar>
          </w:tcPr>
          <w:p>
            <w:pPr>
              <w:spacing w:after="0"/>
            </w:pPr>
            <w:r>
              <w:rPr>
                <w:rFonts w:ascii="Noto Sans CJK SC" w:hAnsi="Noto Sans CJK SC" w:eastAsia="Noto Sans CJK SC"/>
                <w:b/>
                <w:color w:val="FFFFFF"/>
                <w:sz w:val="14"/>
              </w:rPr>
              <w:t>主要收入驱动因素</w:t>
            </w:r>
          </w:p>
        </w:tc>
        <w:tc>
          <w:tcPr>
            <w:tcW w:type="dxa" w:w="4896"/>
            <w:shd w:fill="405F86"/>
            <w:tcMar>
              <w:top w:w="90" w:type="dxa"/>
              <w:start w:w="90" w:type="dxa"/>
              <w:bottom w:w="90" w:type="dxa"/>
              <w:end w:w="90" w:type="dxa"/>
            </w:tcMar>
          </w:tcPr>
          <w:p>
            <w:pPr>
              <w:spacing w:after="0"/>
            </w:pPr>
            <w:r>
              <w:rPr>
                <w:rFonts w:ascii="Noto Sans CJK SC" w:hAnsi="Noto Sans CJK SC" w:eastAsia="Noto Sans CJK SC"/>
                <w:b/>
                <w:color w:val="FFFFFF"/>
                <w:sz w:val="14"/>
              </w:rPr>
              <w:t>典型费用 / 规划影响</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Pharma &amp; Biotech</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管线阶段、成功概率、审批/上市时间、可覆盖患者、价格、Market Access、专利/独占期。</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R&amp;D 里程碑、临床试验支出、上市 SG&amp;A、授权合作、产能扩张、Cash Runway。</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MedTech</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器械审批、装机量、设备投放、手术/检测量、ASP、耗材、服务或订阅附着率。</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制造良率、库存、销售团队、临床证据、上市后研究、Capex。</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Provider</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患者量、服务线组合、Payer Mix、报销、容量、患者复杂度。</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人工成本、耗材、床位利用、医生费用、资本项目、拒付与回款。</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Payer</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会员数、保费收益率、Utilisation、MLR、Risk Adjustment、产品组合。</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赔付趋势、Care Management、经纪佣金、Technology 与 Compliance 支出。</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Digital Health</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Covered Lives、ARR/PMPM、激活、使用率、留存/NRR、定价、报销。</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CAC、实施成本、Customer Success、平台 R&amp;D、云成本、销售效率。</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Life-science Tools &amp; Services</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生物医药融资、订单、Backlog、仪器装机、耗材、使用率、临床试验量。</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4"/>
              </w:rPr>
              <w:t>产能、服务人工、制造、R&amp;D、营运资金、客户集中度。</w:t>
            </w:r>
          </w:p>
        </w:tc>
      </w:tr>
    </w:tbl>
    <w:p>
      <w:pPr>
        <w:spacing w:after="0"/>
      </w:pPr>
    </w:p>
    <w:p>
      <w:pPr>
        <w:pStyle w:val="Heading1"/>
      </w:pPr>
      <w:r>
        <w:t>4C-4D：输出与人工控制</w:t>
      </w: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Claude 应输出什么？</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生成一份结构化、可编辑的 Google Doc 或 Word 简报，包括：（1）管理层摘要；（2）按行业/公司列出的高优先级动态；（3）管线、监管、报销和医疗顶刊科研更新；（4）受影响的行业收入驱动因素；（5）费用、现金流和运营影响；（6）下季度展望和观察清单；（7）需要复核的模型假设或预测问题；（8）来源链接和置信度标签；（9）简短的 Email 或 Teams/Slack 消息草稿。Daily 输出可为一页，Weekly 输出可为两到四页。</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提供一个现实的输出示例或结构。</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虚构示例结构 - MedTech 周度简报</w:t>
              <w:br/>
              <w:br/>
              <w:t>1. 管理层摘要：本周有三项动态需要复核；一项可能影响上市时间，一项可能影响订阅附着率，一项属于长期临床证据信号。</w:t>
              <w:br/>
              <w:t>2. 优先事项 A：“公司 A 的新一代监测设备获得审批。”附来源和日期。财务映射：可覆盖人群、设备投放、ASP、耗材/订阅收入；可能增加上市 SG&amp;A 和制造扩张。规划行动：复核 Q+1 上市曲线和商业化支出。置信度：高。</w:t>
              <w:br/>
              <w:t>3. 优先事项 B：“医疗顶刊发布连续监测支持更早干预的研究。”财务映射：中长期采用率与报销支持；暂不直接调整近期预测。规划行动：加入战略观察清单。置信度：中。</w:t>
              <w:br/>
              <w:t>4. 优先事项 C：“某 Payer 更新远程监测覆盖标准。”财务映射：覆盖人群、使用率、报销时间和 Provider 采用。规划行动：测试 Base/Downside 场景。置信度：中，等待政策原文复核。</w:t>
              <w:br/>
              <w:t>5. 需要复核的假设：上市日期、销量爬坡、订阅附着率、报销时间、上市 SG&amp;A、库存准备。</w:t>
              <w:br/>
              <w:t>6. 来源清单与未解决问题。</w:t>
              <w:br/>
              <w:t>7. 待分析师审批的五行管理层消息草稿。</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用户需要复核、决定、批准或编辑什么？</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分析师需要查看每条高优先级信息及其原始来源；确认事实、日期、产品管线或监管阶段；判断该事项是否具有财务重要性；验证行业驱动因素映射；决定哪些假设需要调整、做情景分析或仅继续观察；删除机密或受限信息；编辑管理层摘要；并批准最终消息。任何预测、交易、发票或沟通都不会自动修改或发送。</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5</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设定范围并定义成功</w:t>
            </w:r>
          </w:p>
          <w:p>
            <w:pPr>
              <w:spacing w:before="0" w:after="0"/>
            </w:pPr>
            <w:r>
              <w:rPr>
                <w:rFonts w:ascii="Noto Sans CJK SC" w:hAnsi="Noto Sans CJK SC" w:eastAsia="Noto Sans CJK SC"/>
                <w:i/>
                <w:color w:val="5B6877"/>
                <w:sz w:val="17"/>
              </w:rPr>
              <w:t>小而可测试的项目强于大而模糊的承诺。</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第一版会做什么？</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 接收一个医疗细分行业、一个时间范围、一组批准的信息源和一份内部规划文件。</w:t>
              <w:br/>
              <w:t>• 阅读上传文件和提供的链接，提取、去重并分类行业动态。</w:t>
              <w:br/>
              <w:t>• 使用对应行业的收入和费用驱动框架。</w:t>
              <w:br/>
              <w:t>• 与当前规划假设比较，标记潜在变化。</w:t>
              <w:br/>
              <w:t>• 按相关性、重要性、影响时间和证据质量排序。</w:t>
              <w:br/>
              <w:t>• 输出可编辑、带引用的简报以及管理层消息草稿。</w:t>
              <w:br/>
              <w:t>• 显示置信度、来源缺口和必须人工复核的事项。</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第一版明确不做什么？</w:t>
            </w:r>
          </w:p>
        </w:tc>
      </w:tr>
      <w:tr>
        <w:tc>
          <w:tcPr>
            <w:tcW w:type="dxa" w:w="10368"/>
            <w:shd w:fill="FFF4D6"/>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第一版不会自动上传或过账发票，不会核对总账，不会直接修改费用报表、ERP、预算、预测或财务模型，不会自动发送消息，不会建立实时全网抓取或长期数据库，不会提供投资或临床建议，也不会处理受保护的患者健康信息。这些功能需要单独的内控和审批，因此不属于第一个项目。</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如何判断项目成功？</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1. 准确性与可信度：至少 90% 的重要事实可以追溯至批准的信息源，所有推断均明确标注。</w:t>
              <w:br/>
              <w:t>2. 节省时间：每周研究和简报流程至少缩短 60%，在输入准备完成后，目标完成时间不超过 45 分钟。</w:t>
              <w:br/>
              <w:t>3. 完整性与实用性：100% 的必需模块均被生成，并且分析师对其在预测或季度规划讨论中的实用性评分至少为 4/5。</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你做了哪些假设？</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用户能够明确行业和时间范围；批准的信息源可访问且基本准确；内部文件可读取且不包含受保护的患者健康信息；公司可以提供基本的行业分类和驱动因素定义；第一版以英文处理为主；分析师会在结果影响预测或管理层沟通之前进行人工复核。</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可能出现什么问题？</w:t>
            </w:r>
          </w:p>
        </w:tc>
      </w:tr>
      <w:tr>
        <w:tc>
          <w:tcPr>
            <w:tcW w:type="dxa" w:w="10368"/>
            <w:shd w:fill="F5F8FC"/>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Claude 可能产生不存在的事实、使用过时或二手来源、遗漏付费墙后的信息、错误合并不同事件、误判管线阶段、使用通用模型而非正确行业模型、夸大对下季度的影响、暴露机密规划假设，或产生过多低价值提醒。缓解方式包括逐条来源引用、置信度标签、限制批准的信息源、明确区分“事实与推断”、设定重要性阈值，以及强制分析师审批。</w:t>
            </w:r>
          </w:p>
        </w:tc>
      </w:tr>
    </w:tbl>
    <w:p>
      <w:pPr>
        <w:spacing w:after="0"/>
      </w:pPr>
    </w:p>
    <w:tbl>
      <w:tblPr>
        <w:tblW w:type="auto" w:w="0"/>
        <w:jc w:val="center"/>
        <w:tblLayout w:type="fixed"/>
        <w:tblLook w:firstColumn="1" w:firstRow="1" w:lastColumn="0" w:lastRow="0" w:noHBand="0" w:noVBand="1" w:val="04A0"/>
      </w:tblPr>
      <w:tblGrid>
        <w:gridCol w:w="936"/>
        <w:gridCol w:w="9720"/>
      </w:tblGrid>
      <w:tr>
        <w:tc>
          <w:tcPr>
            <w:tcW w:type="dxa" w:w="5184"/>
            <w:shd w:fill="405F86"/>
            <w:vAlign w:val="center"/>
            <w:tcMar>
              <w:top w:w="140" w:type="dxa"/>
              <w:start w:w="120" w:type="dxa"/>
              <w:bottom w:w="140" w:type="dxa"/>
              <w:end w:w="120" w:type="dxa"/>
            </w:tcMar>
          </w:tcPr>
          <w:p>
            <w:pPr>
              <w:jc w:val="center"/>
            </w:pPr>
            <w:r>
              <w:rPr>
                <w:rFonts w:ascii="Noto Sans CJK SC" w:hAnsi="Noto Sans CJK SC" w:eastAsia="Noto Sans CJK SC"/>
                <w:b/>
                <w:color w:val="FFFFFF"/>
                <w:sz w:val="36"/>
              </w:rPr>
              <w:t>6</w:t>
            </w:r>
          </w:p>
        </w:tc>
        <w:tc>
          <w:tcPr>
            <w:tcW w:type="dxa" w:w="5184"/>
            <w:shd w:fill="EAF0F7"/>
            <w:vAlign w:val="center"/>
            <w:tcMar>
              <w:top w:w="110" w:type="dxa"/>
              <w:start w:w="160" w:type="dxa"/>
              <w:bottom w:w="110" w:type="dxa"/>
              <w:end w:w="120" w:type="dxa"/>
            </w:tcMar>
          </w:tcPr>
          <w:p>
            <w:r>
              <w:rPr>
                <w:rFonts w:ascii="Noto Sans CJK SC" w:hAnsi="Noto Sans CJK SC" w:eastAsia="Noto Sans CJK SC"/>
                <w:b/>
                <w:color w:val="2F496A"/>
                <w:sz w:val="28"/>
              </w:rPr>
              <w:t>撰写一句话项目定义</w:t>
            </w:r>
          </w:p>
          <w:p>
            <w:pPr>
              <w:spacing w:before="0" w:after="0"/>
            </w:pPr>
            <w:r>
              <w:rPr>
                <w:rFonts w:ascii="Noto Sans CJK SC" w:hAnsi="Noto Sans CJK SC" w:eastAsia="Noto Sans CJK SC"/>
                <w:i/>
                <w:color w:val="5B6877"/>
                <w:sz w:val="17"/>
              </w:rPr>
              <w:t>同学无需额外解释也能理解这个项目。</w:t>
            </w:r>
          </w:p>
        </w:tc>
      </w:tr>
    </w:tbl>
    <w:p>
      <w:pPr>
        <w:spacing w:after="0"/>
      </w:pPr>
    </w:p>
    <w:tbl>
      <w:tblPr>
        <w:tblW w:type="auto" w:w="0"/>
        <w:jc w:val="center"/>
        <w:tblLayout w:type="autofit"/>
        <w:tblLook w:firstColumn="1" w:firstRow="1" w:lastColumn="0" w:lastRow="0" w:noHBand="0" w:noVBand="1" w:val="04A0"/>
      </w:tblPr>
      <w:tblGrid>
        <w:gridCol w:w="10368"/>
      </w:tblGrid>
      <w:tr>
        <w:tc>
          <w:tcPr>
            <w:tcW w:type="dxa" w:w="10368"/>
            <w:shd w:fill="EAF0F7"/>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Prompt"/>
              <w:spacing w:after="0"/>
            </w:pPr>
            <w:r>
              <w:t>写出一句话项目定义。</w:t>
            </w:r>
          </w:p>
        </w:tc>
      </w:tr>
      <w:tr>
        <w:tc>
          <w:tcPr>
            <w:tcW w:type="dxa" w:w="10368"/>
            <w:shd w:fill="EAF4ED"/>
            <w:tcBorders>
              <w:top w:sz="6" w:val="single" w:color="B8C6D6"/>
              <w:left w:sz="6" w:val="single" w:color="B8C6D6"/>
              <w:bottom w:sz="6" w:val="single" w:color="B8C6D6"/>
              <w:right w:sz="6" w:val="single" w:color="B8C6D6"/>
            </w:tcBorders>
            <w:tcMar>
              <w:top w:w="90" w:type="dxa"/>
              <w:start w:w="130" w:type="dxa"/>
              <w:bottom w:w="90" w:type="dxa"/>
              <w:end w:w="130" w:type="dxa"/>
            </w:tcMar>
          </w:tcPr>
          <w:p>
            <w:pPr>
              <w:pStyle w:val="Answer"/>
              <w:spacing w:after="0"/>
            </w:pPr>
            <w:r>
              <w:t>该项目帮助医疗健康行业的 Financial Analyst 跟踪不同细分行业的市场、管线、监管和科研动态，将选定行业、批准的信息源及内部规划背景转化为一份带引用、匹配行业模型并说明 FP&amp;A 影响和下季度关注事项的简报，从而减少研究时间并降低遗漏重大动态的风险。</w:t>
            </w:r>
          </w:p>
        </w:tc>
      </w:tr>
    </w:tbl>
    <w:p>
      <w:pPr>
        <w:spacing w:after="0"/>
      </w:pPr>
    </w:p>
    <w:p>
      <w:r>
        <w:br w:type="page"/>
      </w:r>
    </w:p>
    <w:p>
      <w:pPr>
        <w:pStyle w:val="Heading2"/>
      </w:pPr>
      <w:r>
        <w:t>相关后续工作流 - 明确不属于第一版</w:t>
      </w:r>
    </w:p>
    <w:tbl>
      <w:tblPr>
        <w:tblW w:type="auto" w:w="0"/>
        <w:jc w:val="center"/>
        <w:tblLayout w:type="fixed"/>
        <w:tblLook w:firstColumn="1" w:firstRow="1" w:lastColumn="0" w:lastRow="0" w:noHBand="0" w:noVBand="1" w:val="04A0"/>
      </w:tblPr>
      <w:tblGrid>
        <w:gridCol w:w="3456"/>
        <w:gridCol w:w="3456"/>
        <w:gridCol w:w="3456"/>
      </w:tblGrid>
      <w:tr>
        <w:trPr>
          <w:tblHeader w:val="true"/>
        </w:trPr>
        <w:tc>
          <w:tcPr>
            <w:tcW w:type="dxa" w:w="1152"/>
            <w:shd w:fill="405F86"/>
            <w:tcMar>
              <w:top w:w="90" w:type="dxa"/>
              <w:start w:w="90" w:type="dxa"/>
              <w:bottom w:w="90" w:type="dxa"/>
              <w:end w:w="90" w:type="dxa"/>
            </w:tcMar>
          </w:tcPr>
          <w:p>
            <w:pPr>
              <w:spacing w:after="0"/>
            </w:pPr>
            <w:r>
              <w:rPr>
                <w:rFonts w:ascii="Noto Sans CJK SC" w:hAnsi="Noto Sans CJK SC" w:eastAsia="Noto Sans CJK SC"/>
                <w:b/>
                <w:color w:val="FFFFFF"/>
                <w:sz w:val="15"/>
              </w:rPr>
              <w:t>阶段</w:t>
            </w:r>
          </w:p>
        </w:tc>
        <w:tc>
          <w:tcPr>
            <w:tcW w:type="dxa" w:w="2880"/>
            <w:shd w:fill="405F86"/>
            <w:tcMar>
              <w:top w:w="90" w:type="dxa"/>
              <w:start w:w="90" w:type="dxa"/>
              <w:bottom w:w="90" w:type="dxa"/>
              <w:end w:w="90" w:type="dxa"/>
            </w:tcMar>
          </w:tcPr>
          <w:p>
            <w:pPr>
              <w:spacing w:after="0"/>
            </w:pPr>
            <w:r>
              <w:rPr>
                <w:rFonts w:ascii="Noto Sans CJK SC" w:hAnsi="Noto Sans CJK SC" w:eastAsia="Noto Sans CJK SC"/>
                <w:b/>
                <w:color w:val="FFFFFF"/>
                <w:sz w:val="15"/>
              </w:rPr>
              <w:t>工作流</w:t>
            </w:r>
          </w:p>
        </w:tc>
        <w:tc>
          <w:tcPr>
            <w:tcW w:type="dxa" w:w="6480"/>
            <w:shd w:fill="405F86"/>
            <w:tcMar>
              <w:top w:w="90" w:type="dxa"/>
              <w:start w:w="90" w:type="dxa"/>
              <w:bottom w:w="90" w:type="dxa"/>
              <w:end w:w="90" w:type="dxa"/>
            </w:tcMar>
          </w:tcPr>
          <w:p>
            <w:pPr>
              <w:spacing w:after="0"/>
            </w:pPr>
            <w:r>
              <w:rPr>
                <w:rFonts w:ascii="Noto Sans CJK SC" w:hAnsi="Noto Sans CJK SC" w:eastAsia="Noto Sans CJK SC"/>
                <w:b/>
                <w:color w:val="FFFFFF"/>
                <w:sz w:val="15"/>
              </w:rPr>
              <w:t>第一版验证后的可能范围</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2</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发票与费用报表变化追踪</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上传发票和前后期费用报表；提取供应商、日期、金额、Cost Centre 和类别；与预算/上期比较；标记异常；形成可供审批的核对结果。</w:t>
            </w:r>
          </w:p>
        </w:tc>
      </w:tr>
      <w:tr>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3</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预测与模型更新助手</w:t>
            </w:r>
          </w:p>
        </w:tc>
        <w:tc>
          <w:tcPr>
            <w:tcW w:type="dxa" w:w="3456"/>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将已批准的行业信号写入模型假设清单，展示情景影响，并提出预测调整建议，但不自动过账。</w:t>
            </w:r>
          </w:p>
        </w:tc>
      </w:tr>
      <w:tr>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4</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消息自动化</w:t>
            </w:r>
          </w:p>
        </w:tc>
        <w:tc>
          <w:tcPr>
            <w:tcW w:type="dxa" w:w="3456"/>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5"/>
              </w:rPr>
              <w:t>在人工批准后，将提醒路由给正确负责人，并按计划发送 Teams/Slack/Email 摘要，保留审计记录。</w:t>
            </w:r>
          </w:p>
        </w:tc>
      </w:tr>
    </w:tbl>
    <w:p>
      <w:pPr>
        <w:spacing w:after="0"/>
      </w:pPr>
    </w:p>
    <w:p>
      <w:pPr>
        <w:pStyle w:val="Heading2"/>
      </w:pPr>
      <w:r>
        <w:t>提交检查清单</w:t>
      </w:r>
    </w:p>
    <w:tbl>
      <w:tblPr>
        <w:tblW w:type="auto" w:w="0"/>
        <w:jc w:val="center"/>
        <w:tblLayout w:type="fixed"/>
        <w:tblLook w:firstColumn="1" w:firstRow="1" w:lastColumn="0" w:lastRow="0" w:noHBand="0" w:noVBand="1" w:val="04A0"/>
      </w:tblPr>
      <w:tblGrid>
        <w:gridCol w:w="5184"/>
        <w:gridCol w:w="5184"/>
      </w:tblGrid>
      <w:tr>
        <w:trPr>
          <w:tblHeader w:val="true"/>
        </w:trPr>
        <w:tc>
          <w:tcPr>
            <w:tcW w:type="dxa" w:w="792"/>
            <w:shd w:fill="2F496A"/>
            <w:tcMar>
              <w:top w:w="90" w:type="dxa"/>
              <w:start w:w="90" w:type="dxa"/>
              <w:bottom w:w="90" w:type="dxa"/>
              <w:end w:w="90" w:type="dxa"/>
            </w:tcMar>
          </w:tcPr>
          <w:p>
            <w:pPr>
              <w:spacing w:after="0"/>
            </w:pPr>
            <w:r>
              <w:rPr>
                <w:rFonts w:ascii="Noto Sans CJK SC" w:hAnsi="Noto Sans CJK SC" w:eastAsia="Noto Sans CJK SC"/>
                <w:b/>
                <w:color w:val="FFFFFF"/>
                <w:sz w:val="16"/>
              </w:rPr>
              <w:t>完成</w:t>
            </w:r>
          </w:p>
        </w:tc>
        <w:tc>
          <w:tcPr>
            <w:tcW w:type="dxa" w:w="9720"/>
            <w:shd w:fill="2F496A"/>
            <w:tcMar>
              <w:top w:w="90" w:type="dxa"/>
              <w:start w:w="90" w:type="dxa"/>
              <w:bottom w:w="90" w:type="dxa"/>
              <w:end w:w="90" w:type="dxa"/>
            </w:tcMar>
          </w:tcPr>
          <w:p>
            <w:pPr>
              <w:spacing w:after="0"/>
            </w:pPr>
            <w:r>
              <w:rPr>
                <w:rFonts w:ascii="Noto Sans CJK SC" w:hAnsi="Noto Sans CJK SC" w:eastAsia="Noto Sans CJK SC"/>
                <w:b/>
                <w:color w:val="FFFFFF"/>
                <w:sz w:val="16"/>
              </w:rPr>
              <w:t>检查内容</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已定义一个主要用户和一个核心问题。</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在提出 AI 工作流之前已描述当前工作流。</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已明确必需输入和预期输出。</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包含现实的输入示例和输出结构示例。</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逐步说明 Claude 应做什么。</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明确人工复核和审批节点。</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包含三个可衡量的成功指标。</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清楚说明第一版不做什么。</w:t>
            </w:r>
          </w:p>
        </w:tc>
      </w:tr>
      <w:tr>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FFFFF"/>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一句话定义具体且易理解。</w:t>
            </w:r>
          </w:p>
        </w:tc>
      </w:tr>
      <w:tr>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是</w:t>
            </w:r>
          </w:p>
        </w:tc>
        <w:tc>
          <w:tcPr>
            <w:tcW w:type="dxa" w:w="5184"/>
            <w:shd w:fill="F5F8FC"/>
            <w:tcMar>
              <w:top w:w="70" w:type="dxa"/>
              <w:start w:w="90" w:type="dxa"/>
              <w:bottom w:w="70" w:type="dxa"/>
              <w:end w:w="90" w:type="dxa"/>
            </w:tcMar>
            <w:tcBorders>
              <w:top w:sz="4" w:val="single" w:color="B8C6D6"/>
              <w:left w:sz="4" w:val="single" w:color="B8C6D6"/>
              <w:bottom w:sz="4" w:val="single" w:color="B8C6D6"/>
              <w:right w:sz="4" w:val="single" w:color="B8C6D6"/>
            </w:tcBorders>
          </w:tcPr>
          <w:p>
            <w:pPr>
              <w:spacing w:after="0"/>
            </w:pPr>
            <w:r>
              <w:rPr>
                <w:rFonts w:ascii="Noto Sans CJK SC" w:hAnsi="Noto Sans CJK SC" w:eastAsia="Noto Sans CJK SC"/>
                <w:color w:val="242F3D"/>
                <w:sz w:val="16"/>
              </w:rPr>
              <w:t>AI 建议最终由分析师判断和决定。</w:t>
            </w:r>
          </w:p>
        </w:tc>
      </w:tr>
    </w:tbl>
    <w:p>
      <w:pPr>
        <w:spacing w:after="0"/>
      </w:pPr>
    </w:p>
    <w:sectPr w:rsidR="00FC693F" w:rsidRPr="0006063C" w:rsidSect="00034616">
      <w:headerReference w:type="default" r:id="rId9"/>
      <w:footerReference w:type="default" r:id="rId10"/>
      <w:pgSz w:w="12240" w:h="15840"/>
      <w:pgMar w:top="792"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CJK SC" w:hAnsi="Noto Sans CJK SC" w:eastAsia="Noto Sans CJK SC"/>
        <w:color w:val="5B6877"/>
        <w:sz w:val="16"/>
      </w:rPr>
      <w:t xml:space="preserve">Page </w:t>
    </w:r>
    <w:r>
      <w:rPr>
        <w:rFonts w:ascii="Noto Sans CJK SC" w:hAnsi="Noto Sans CJK SC" w:eastAsia="Noto Sans CJK SC"/>
        <w:color w:val="5B6877"/>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Noto Sans CJK SC" w:hAnsi="Noto Sans CJK SC" w:eastAsia="Noto Sans CJK SC"/>
        <w:b/>
        <w:color w:val="405F86"/>
        <w:sz w:val="17"/>
      </w:rPr>
      <w:t>FIRST AI PROJECT</w:t>
    </w:r>
    <w:r>
      <w:rPr>
        <w:rFonts w:ascii="Noto Sans CJK SC" w:hAnsi="Noto Sans CJK SC" w:eastAsia="Noto Sans CJK SC"/>
        <w:b/>
        <w:color w:val="5B6877"/>
        <w:sz w:val="17"/>
      </w:rPr>
      <w:t xml:space="preserve">    AI 项目简报作业</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2" w:lineRule="auto"/>
    </w:pPr>
    <w:rPr>
      <w:rFonts w:ascii="Noto Sans CJK SC" w:hAnsi="Noto Sans CJK SC" w:eastAsia="Noto Sans CJK SC"/>
      <w:color w:val="242F3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60"/>
      <w:outlineLvl w:val="0"/>
    </w:pPr>
    <w:rPr>
      <w:rFonts w:asciiTheme="majorHAnsi" w:eastAsiaTheme="majorEastAsia" w:hAnsiTheme="majorHAnsi" w:cstheme="majorBidi" w:ascii="Noto Sans CJK SC" w:hAnsi="Noto Sans CJK SC" w:eastAsia="Noto Sans CJK SC"/>
      <w:b/>
      <w:bCs/>
      <w:color w:val="2F496A"/>
      <w:sz w:val="32"/>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Noto Sans CJK SC" w:hAnsi="Noto Sans CJK SC" w:eastAsia="Noto Sans CJK SC"/>
      <w:b/>
      <w:bCs/>
      <w:color w:val="405F86"/>
      <w:sz w:val="24"/>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Noto Sans CJK SC" w:hAnsi="Noto Sans CJK SC" w:eastAsia="Noto Sans CJK SC"/>
      <w:b/>
      <w:bCs/>
      <w:color w:val="405F86"/>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before="120"/>
      <w:contextualSpacing/>
    </w:pPr>
    <w:rPr>
      <w:rFonts w:asciiTheme="majorHAnsi" w:eastAsiaTheme="majorEastAsia" w:hAnsiTheme="majorHAnsi" w:cstheme="majorBidi" w:ascii="Noto Sans CJK SC" w:hAnsi="Noto Sans CJK SC" w:eastAsia="Noto Sans CJK SC"/>
      <w:b/>
      <w:color w:val="2F496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
    <w:name w:val="Prompt"/>
    <w:pPr>
      <w:spacing w:before="80" w:after="20"/>
    </w:pPr>
    <w:rPr>
      <w:rFonts w:ascii="Noto Sans CJK SC" w:hAnsi="Noto Sans CJK SC" w:eastAsia="Noto Sans CJK SC"/>
      <w:b/>
      <w:color w:val="2F496A"/>
      <w:sz w:val="19"/>
    </w:rPr>
  </w:style>
  <w:style w:type="paragraph" w:customStyle="1" w:styleId="Answer">
    <w:name w:val="Answer"/>
    <w:pPr>
      <w:spacing w:after="80" w:line="252" w:lineRule="auto"/>
    </w:pPr>
    <w:rPr>
      <w:rFonts w:ascii="Noto Sans CJK SC" w:hAnsi="Noto Sans CJK SC" w:eastAsia="Noto Sans CJK SC"/>
      <w:color w:val="242F3D"/>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医疗健康市场情报与 FP&amp;A 趋势监测工作流</dc:title>
  <dc:subject>已完成作业指南 + 可编辑提交版本</dc:subject>
  <dc:creator>Marilyn You</dc:creator>
  <cp:keywords>AI workflow, healthcare, financial analysis, FP&amp;A, market intelligence</cp:keywords>
  <dc:description>generated by python-docx</dc:description>
  <cp:lastModifiedBy/>
  <cp:revision>1</cp:revision>
  <dcterms:created xsi:type="dcterms:W3CDTF">2013-12-23T23:15:00Z</dcterms:created>
  <dcterms:modified xsi:type="dcterms:W3CDTF">2013-12-23T23:15:00Z</dcterms:modified>
  <cp:category/>
</cp:coreProperties>
</file>