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405F86"/>
            <w:tcMar>
              <w:top w:w="400" w:type="dxa"/>
              <w:start w:w="300" w:type="dxa"/>
              <w:bottom w:w="400" w:type="dxa"/>
              <w:end w:w="300" w:type="dxa"/>
            </w:tcMar>
          </w:tcPr>
          <w:p>
            <w:pPr>
              <w:jc w:val="center"/>
            </w:pPr>
            <w:r>
              <w:rPr>
                <w:rFonts w:ascii="Aptos" w:hAnsi="Aptos" w:eastAsia="Aptos"/>
                <w:b/>
                <w:color w:val="FFFFFF"/>
                <w:sz w:val="56"/>
              </w:rPr>
              <w:t>AI PROJECT BRIEF</w:t>
            </w:r>
          </w:p>
          <w:p>
            <w:pPr>
              <w:jc w:val="center"/>
            </w:pPr>
            <w:r>
              <w:rPr>
                <w:rFonts w:ascii="Aptos" w:hAnsi="Aptos" w:eastAsia="Aptos"/>
                <w:color w:val="FFFFFF"/>
                <w:sz w:val="36"/>
              </w:rPr>
              <w:t>Healthcare Market Intelligence &amp; FP&amp;A Trend Monitor</w:t>
            </w:r>
          </w:p>
          <w:p>
            <w:pPr>
              <w:jc w:val="center"/>
            </w:pPr>
            <w:r>
              <w:rPr>
                <w:rFonts w:ascii="Aptos" w:hAnsi="Aptos" w:eastAsia="Aptos"/>
                <w:color w:val="E4ECF6"/>
                <w:sz w:val="21"/>
              </w:rPr>
              <w:t>Completed Homework Guide + Editable Submission Copy</w:t>
            </w:r>
          </w:p>
        </w:tc>
      </w:tr>
    </w:tbl>
    <w:p/>
    <w:tbl>
      <w:tblPr>
        <w:tblW w:type="auto" w:w="0"/>
        <w:jc w:val="center"/>
        <w:tblLook w:firstColumn="1" w:firstRow="1" w:lastColumn="0" w:lastRow="0" w:noHBand="0" w:noVBand="1" w:val="04A0"/>
      </w:tblPr>
      <w:tblGrid>
        <w:gridCol w:w="3456"/>
        <w:gridCol w:w="3456"/>
        <w:gridCol w:w="3456"/>
      </w:tblGrid>
      <w:tr>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b/>
                <w:color w:val="2F496A"/>
                <w:sz w:val="18"/>
              </w:rPr>
              <w:t>Student name</w:t>
            </w:r>
          </w:p>
        </w:tc>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b/>
                <w:color w:val="2F496A"/>
                <w:sz w:val="18"/>
              </w:rPr>
              <w:t>Course / section</w:t>
            </w:r>
          </w:p>
        </w:tc>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b/>
                <w:color w:val="2F496A"/>
                <w:sz w:val="18"/>
              </w:rPr>
              <w:t>Due date</w:t>
            </w:r>
          </w:p>
        </w:tc>
      </w:tr>
      <w:tr>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color w:val="242F3D"/>
                <w:sz w:val="19"/>
              </w:rPr>
              <w:t>Marilyn You</w:t>
            </w:r>
          </w:p>
        </w:tc>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color w:val="242F3D"/>
                <w:sz w:val="19"/>
              </w:rPr>
              <w:t>[Enter course / section]</w:t>
            </w:r>
          </w:p>
        </w:tc>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Aptos" w:hAnsi="Aptos" w:eastAsia="Aptos"/>
                <w:color w:val="242F3D"/>
                <w:sz w:val="19"/>
              </w:rPr>
              <w:t>[Enter due date]</w:t>
            </w:r>
          </w:p>
        </w:tc>
      </w:tr>
    </w:tbl>
    <w:p/>
    <w:tbl>
      <w:tblPr>
        <w:tblW w:type="auto" w:w="0"/>
        <w:jc w:val="center"/>
        <w:tblLayout w:type="fixed"/>
        <w:tblLook w:firstColumn="1" w:firstRow="1" w:lastColumn="0" w:lastRow="0" w:noHBand="0" w:noVBand="1" w:val="04A0"/>
      </w:tblPr>
      <w:tblGrid>
        <w:gridCol w:w="1152"/>
        <w:gridCol w:w="9504"/>
      </w:tblGrid>
      <w:tr>
        <w:tc>
          <w:tcPr>
            <w:tcW w:type="dxa" w:w="5184"/>
            <w:shd w:fill="405F86"/>
            <w:tcMar>
              <w:top w:w="130" w:type="dxa"/>
              <w:start w:w="120" w:type="dxa"/>
              <w:bottom w:w="130" w:type="dxa"/>
              <w:end w:w="120" w:type="dxa"/>
            </w:tcMar>
          </w:tcPr>
          <w:p>
            <w:pPr>
              <w:jc w:val="center"/>
            </w:pPr>
            <w:r>
              <w:rPr>
                <w:rFonts w:ascii="Aptos" w:hAnsi="Aptos" w:eastAsia="Aptos"/>
                <w:b/>
                <w:color w:val="FFFFFF"/>
                <w:sz w:val="19"/>
              </w:rPr>
              <w:t>START</w:t>
            </w:r>
          </w:p>
        </w:tc>
        <w:tc>
          <w:tcPr>
            <w:tcW w:type="dxa" w:w="5184"/>
            <w:shd w:fill="FFF4D6"/>
            <w:tcMar>
              <w:top w:w="110" w:type="dxa"/>
              <w:start w:w="150" w:type="dxa"/>
              <w:bottom w:w="110" w:type="dxa"/>
              <w:end w:w="120" w:type="dxa"/>
            </w:tcMar>
          </w:tcPr>
          <w:p>
            <w:r>
              <w:rPr>
                <w:rFonts w:ascii="Aptos" w:hAnsi="Aptos" w:eastAsia="Aptos"/>
                <w:color w:val="242F3D"/>
                <w:sz w:val="19"/>
              </w:rPr>
              <w:t>Career-coach scope decision: Version 1 focuses on one repeated problem - turning fragmented healthcare developments into a decision-ready FP&amp;A briefing. Invoice uploads, expense-statement reconciliation, and automatic messaging are documented as separate future workflows so the first project remains specific and testable.</w:t>
            </w:r>
          </w:p>
        </w:tc>
      </w:tr>
    </w:tbl>
    <w:p/>
    <w:p>
      <w:pPr>
        <w:jc w:val="center"/>
      </w:pPr>
      <w:r>
        <w:rPr>
          <w:rFonts w:ascii="Aptos" w:hAnsi="Aptos" w:eastAsia="Aptos"/>
          <w:i/>
          <w:color w:val="5B6877"/>
          <w:sz w:val="18"/>
        </w:rPr>
        <w:t>Prepared July 24, 2026 | Fully editable Word document</w:t>
      </w:r>
    </w:p>
    <w:p>
      <w:r>
        <w:br w:type="page"/>
      </w:r>
    </w:p>
    <w:p>
      <w:pPr>
        <w:jc w:val="center"/>
      </w:pPr>
      <w:r>
        <w:rPr>
          <w:rFonts w:ascii="Aptos" w:hAnsi="Aptos" w:eastAsia="Aptos"/>
          <w:b/>
          <w:color w:val="2F496A"/>
          <w:sz w:val="40"/>
        </w:rPr>
        <w:t>Final Project Brief - Submission Copy</w:t>
      </w:r>
    </w:p>
    <w:p>
      <w:pPr>
        <w:jc w:val="center"/>
      </w:pPr>
      <w:r>
        <w:rPr>
          <w:rFonts w:ascii="Aptos" w:hAnsi="Aptos" w:eastAsia="Aptos"/>
          <w:i/>
          <w:color w:val="5B6877"/>
          <w:sz w:val="17"/>
        </w:rPr>
        <w:t>One-page substantive brief based on the completed worksheet.</w:t>
      </w:r>
    </w:p>
    <w:tbl>
      <w:tblPr>
        <w:tblW w:type="auto" w:w="0"/>
        <w:jc w:val="center"/>
        <w:tblLayout w:type="fixed"/>
        <w:tblLook w:firstColumn="1" w:firstRow="1" w:lastColumn="0" w:lastRow="0" w:noHBand="0" w:noVBand="1" w:val="04A0"/>
      </w:tblPr>
      <w:tblGrid>
        <w:gridCol w:w="2232"/>
        <w:gridCol w:w="8424"/>
      </w:tblGrid>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PROJECT NAME</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Healthcare Market Intelligence &amp; FP&amp;A Trend Monitor</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PRIMARY USER</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A healthcare financial analyst working in FP&amp;A, strategy, or commercial finance who supports recurring forecasts, management reporting, and quarterly planning across a defined healthcare sector.</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PROBLEM</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analyst must monitor market news, company and product pipelines, regulatory activity, reimbursement changes, and medical-journal breakthroughs, then translate them into sector-specific revenue and expense implications. Information is fragmented, time-sensitive, and financially different across pharma, medtech, providers, payers, digital health, and life-science tools.</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CURRENT WORKFLOW</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analyst manually checks company filings and investor-relations pages, regulatory and reimbursement sources, industry publications, medical journals, and internal Google Docs; copies relevant items into notes; removes duplicates; interprets materiality; maps developments to revenue and cost drivers; updates a briefing; and drafts messages. The main bottlenecks are discovery/filtering and converting technical news into model-ready FP&amp;A implications.</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PROPOSED AI WORKFLOW</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user provides a sector, timeframe, approved sources or uploaded reports, a company/product/pipeline watchlist, and internal planning context. Claude extracts and de-duplicates developments, classifies them by sector and event type, applies the correct sector revenue-driver framework, compares findings with planning assumptions, ranks materiality, and produces a cited Google Doc or Word briefing with an executive summary, driver impacts, next-quarter watch items, model assumptions to review, confidence labels, and a draft message.</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HUMAN REVIEW</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analyst verifies every material claim and source, confirms sector classification and financial logic, decides whether budget or forecast assumptions should change, removes confidential information, edits the executive summary, and approves any communication. The workflow does not post transactions, change forecasts, or send messages without review.</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SUCCESS MEASURES</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1) At least 90% of material claims are traceable to an approved source. 2) Weekly research-and-briefing time falls by at least 60%, with a target of 45 minutes or less. 3) Every output includes all required sections and receives an analyst usefulness rating of at least 4 out of 5.</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FIRST-VERSION NON-GOALS</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No automatic invoice upload or expense posting; no direct edits to ERP, budget, forecast, or financial models; no automatic message sending; no unrestricted real-time scraping or live database; no investment, clinical, or patient-care recommendations; and no processing of protected health information.</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b/>
                <w:color w:val="FFFFFF"/>
                <w:sz w:val="17"/>
              </w:rPr>
              <w:t>ONE-SENTENCE DEFINITION</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This project helps healthcare financial analysts monitor sector-specific market, pipeline, regulatory, and research developments by turning a selected healthcare sector, approved sources, and internal planning context into a cited, model-aware briefing with FP&amp;A implications and next-quarter watch items, reducing research time and the risk of missing material developments.</w:t>
            </w:r>
          </w:p>
        </w:tc>
      </w:tr>
    </w:tbl>
    <w:p/>
    <w:tbl>
      <w:tblPr>
        <w:tblW w:type="auto" w:w="0"/>
        <w:tblLook w:firstColumn="1" w:firstRow="1" w:lastColumn="0" w:lastRow="0" w:noHBand="0" w:noVBand="1" w:val="04A0"/>
      </w:tblPr>
      <w:tblGrid>
        <w:gridCol w:w="10368"/>
      </w:tblGrid>
      <w:tr>
        <w:tc>
          <w:tcPr>
            <w:tcW w:type="dxa" w:w="10368"/>
            <w:shd w:fill="EAF4ED"/>
            <w:tcMar>
              <w:top w:w="120" w:type="dxa"/>
              <w:start w:w="150" w:type="dxa"/>
              <w:bottom w:w="120" w:type="dxa"/>
              <w:end w:w="150" w:type="dxa"/>
            </w:tcMar>
            <w:tcBorders>
              <w:top w:sz="7" w:val="single" w:color="A9C7B0"/>
              <w:left w:sz="7" w:val="single" w:color="A9C7B0"/>
              <w:bottom w:sz="7" w:val="single" w:color="A9C7B0"/>
              <w:right w:sz="7" w:val="single" w:color="A9C7B0"/>
            </w:tcBorders>
          </w:tcPr>
          <w:p>
            <w:r>
              <w:rPr>
                <w:rFonts w:ascii="Aptos" w:hAnsi="Aptos" w:eastAsia="Aptos"/>
                <w:b/>
                <w:color w:val="2D4E38"/>
                <w:sz w:val="18"/>
              </w:rPr>
              <w:t>This project helps healthcare financial analysts monitor sector-specific market, pipeline, regulatory, and research developments by turning a selected healthcare sector, approved sources, and internal planning context into a cited, model-aware briefing with FP&amp;A implications and next-quarter watch items, reducing research time and the risk of missing material developments.</w:t>
            </w:r>
          </w:p>
        </w:tc>
      </w:tr>
    </w:tbl>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1</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Choose a Problem Worth Solving</w:t>
            </w:r>
          </w:p>
          <w:p>
            <w:pPr>
              <w:spacing w:before="0" w:after="0"/>
            </w:pPr>
            <w:r>
              <w:rPr>
                <w:rFonts w:ascii="Aptos" w:hAnsi="Aptos" w:eastAsia="Aptos"/>
                <w:i/>
                <w:color w:val="5B6877"/>
                <w:sz w:val="17"/>
              </w:rPr>
              <w:t>Start with a real task, not a broad AI platform.</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Brainstorm three possible project problems. For each idea, name the user and the task - not the app.</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Healthcare market intelligence: A healthcare financial analyst needs to monitor sector news, company and product pipelines, regulatory or reimbursement changes, and medical-journal breakthroughs, then translate them into revenue, expense, and quarterly-planning implications.</w:t>
              <w:br/>
              <w:br/>
              <w:t>2. Expense and invoice change tracking: An FP&amp;A analyst needs to upload invoices and prior/current expense statements, extract key fields, identify changes versus budget or prior period, flag exceptions, and prepare an approval-ready reconciliation.</w:t>
              <w:br/>
              <w:br/>
              <w:t>3. Sector-specific revenue-driver monitoring: A healthcare FP&amp;A analyst needs to keep different operating models on track by monitoring the right drivers for each sector, such as drug-pipeline milestones, device placements, patient volumes, payer membership, or digital-health retention, and summarizing what may change next quarter.</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Which problem will you use for this homework, and why?</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I will use the healthcare market-intelligence problem. It is a repeated, information-heavy task that I understand directly and can test with realistic sector names, source documents, company watchlists, and quarterly-planning assumptions. It also creates a clear output that management can use. The invoice/expense workflow and message automation are valuable, but they require different controls and should be separate follow-on projects rather than being mixed into the first version.</w:t>
            </w:r>
          </w:p>
        </w:tc>
      </w:tr>
    </w:tbl>
    <w:p>
      <w:pPr>
        <w:spacing w:after="0"/>
      </w:pPr>
    </w:p>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2</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Define the User and the Problem</w:t>
            </w:r>
          </w:p>
          <w:p>
            <w:pPr>
              <w:spacing w:before="0" w:after="0"/>
            </w:pPr>
            <w:r>
              <w:rPr>
                <w:rFonts w:ascii="Aptos" w:hAnsi="Aptos" w:eastAsia="Aptos"/>
                <w:i/>
                <w:color w:val="5B6877"/>
                <w:sz w:val="17"/>
              </w:rPr>
              <w:t>Be specific enough that the primary user could be interviewed.</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Who is the primary user?</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A healthcare financial analyst working in FP&amp;A, strategy, or commercial finance. The analyst supports recurring forecasts, management reporting, and quarterly planning for one or more healthcare sectors and must explain how external developments could affect revenue, expenses, cash flow, and operating assumptions.</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is the user trying to accomplish?</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Monitor, organize, and evaluate recent healthcare developments; identify which items are financially material; map each item to the correct sector-specific revenue and expense drivers; and prepare a decision-ready briefing that shows what the FP&amp;A team should watch or revisit for the next quarter.</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makes the task difficult, slow, repetitive, or frustrating?</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Relevant information is spread across regulatory websites, company filings and investor-relations pages, industry publications, medical journals, conference reports, and internal Google Docs. The analyst repeatedly searches, reads, de-duplicates, and reformats similar information. The financial meaning also changes by sector: a clinical milestone matters differently for pharma than a device clearance, provider reimbursement update, payer utilisation shift, or digital-health retention change. Without a consistent framework, important news may be missed, duplicated, or summarised without a clear connection to the forecast.</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have you experienced or observed that suggests this problem matters?</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I have observed that a single weekly or quarterly update often requires moving between many disconnected sources and then manually explaining how each item affects revenue timing, volume, pricing, R&amp;D, SG&amp;A, capex, or cash flow. The research itself can consume hours before any financial analysis begins. Important developments may be noticed only when a forecast cycle or management request is already underway, which creates rushed analysis and inconsistent reporting.</w:t>
            </w:r>
          </w:p>
        </w:tc>
      </w:tr>
    </w:tbl>
    <w:p>
      <w:pPr>
        <w:spacing w:after="0"/>
      </w:pPr>
    </w:p>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3</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Map the Current Workflow</w:t>
            </w:r>
          </w:p>
          <w:p>
            <w:pPr>
              <w:spacing w:before="0" w:after="0"/>
            </w:pPr>
            <w:r>
              <w:rPr>
                <w:rFonts w:ascii="Aptos" w:hAnsi="Aptos" w:eastAsia="Aptos"/>
                <w:i/>
                <w:color w:val="5B6877"/>
                <w:sz w:val="17"/>
              </w:rPr>
              <w:t>Understand the work before deciding what Claude should do.</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starts the current process?</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process starts when the analyst prepares a daily or weekly healthcare update, receives a management question, begins a monthly forecast or quarterly planning cycle, sees a major company or regulatory announcement, or needs to refresh assumptions for a specific healthcare sector.</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steps does the user complete today? Write 3-7 steps in order.</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Define the sector, company list, pipeline/products, timeframe, and business question.</w:t>
              <w:br/>
              <w:t>2. Search approved external sources and review internal Google Docs or prior reports.</w:t>
              <w:br/>
              <w:t>3. Open and read articles, filings, announcements, abstracts, or reports; copy potentially relevant details into notes.</w:t>
              <w:br/>
              <w:t>4. Remove duplicates and classify items by company, sector, event type, product or pipeline stage, and date.</w:t>
              <w:br/>
              <w:t>5. Judge credibility, materiality, and timing; determine which revenue or expense drivers may change.</w:t>
              <w:br/>
              <w:t>6. Update a market-trend document or model-assumption log and draft an executive summary.</w:t>
              <w:br/>
              <w:t>7. Send or present the update and answer follow-up questions from FP&amp;A or leadership.</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Where does the user spend the most time or make the most mistakes?</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two largest bottlenecks are: (1) finding and filtering relevant information across fragmented sources while avoiding duplicates, and (2) translating technical or clinical developments into the correct sector-specific financial drivers. Common errors include missing a relevant item, relying on a secondary summary instead of the original source, mixing drivers across sectors, and describing news without stating the forecast implication.</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parts require human judgment, context, or approval?</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analyst must decide whether a source is credible, whether an item is material to the company or planning horizon, which internal assumptions are affected, and whether the impact belongs in the budget, forecast, risk register, or watchlist. A human must also verify citations, protect confidential information, approve any model change, and review final communication before it is shared.</w:t>
            </w:r>
          </w:p>
        </w:tc>
      </w:tr>
    </w:tbl>
    <w:p>
      <w:pPr>
        <w:spacing w:after="0"/>
      </w:pPr>
    </w:p>
    <w:p>
      <w:pPr>
        <w:pStyle w:val="Heading2"/>
      </w:pPr>
      <w:r>
        <w:t>Current workflow summary</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405F86"/>
            <w:tcMar>
              <w:top w:w="90" w:type="dxa"/>
              <w:start w:w="90" w:type="dxa"/>
              <w:bottom w:w="90" w:type="dxa"/>
              <w:end w:w="90" w:type="dxa"/>
            </w:tcMar>
          </w:tcPr>
          <w:p>
            <w:pPr>
              <w:spacing w:after="0"/>
            </w:pPr>
            <w:r>
              <w:rPr>
                <w:rFonts w:ascii="Aptos" w:hAnsi="Aptos" w:eastAsia="Aptos"/>
                <w:b/>
                <w:color w:val="FFFFFF"/>
                <w:sz w:val="15"/>
              </w:rPr>
              <w:t>Step</w:t>
            </w:r>
          </w:p>
        </w:tc>
        <w:tc>
          <w:tcPr>
            <w:tcW w:type="dxa" w:w="1872"/>
            <w:shd w:fill="405F86"/>
            <w:tcMar>
              <w:top w:w="90" w:type="dxa"/>
              <w:start w:w="90" w:type="dxa"/>
              <w:bottom w:w="90" w:type="dxa"/>
              <w:end w:w="90" w:type="dxa"/>
            </w:tcMar>
          </w:tcPr>
          <w:p>
            <w:pPr>
              <w:spacing w:after="0"/>
            </w:pPr>
            <w:r>
              <w:rPr>
                <w:rFonts w:ascii="Aptos" w:hAnsi="Aptos" w:eastAsia="Aptos"/>
                <w:b/>
                <w:color w:val="FFFFFF"/>
                <w:sz w:val="15"/>
              </w:rPr>
              <w:t>Who / tool</w:t>
            </w:r>
          </w:p>
        </w:tc>
        <w:tc>
          <w:tcPr>
            <w:tcW w:type="dxa" w:w="5184"/>
            <w:shd w:fill="405F86"/>
            <w:tcMar>
              <w:top w:w="90" w:type="dxa"/>
              <w:start w:w="90" w:type="dxa"/>
              <w:bottom w:w="90" w:type="dxa"/>
              <w:end w:w="90" w:type="dxa"/>
            </w:tcMar>
          </w:tcPr>
          <w:p>
            <w:pPr>
              <w:spacing w:after="0"/>
            </w:pPr>
            <w:r>
              <w:rPr>
                <w:rFonts w:ascii="Aptos" w:hAnsi="Aptos" w:eastAsia="Aptos"/>
                <w:b/>
                <w:color w:val="FFFFFF"/>
                <w:sz w:val="15"/>
              </w:rPr>
              <w:t>What happens</w:t>
            </w:r>
          </w:p>
        </w:tc>
        <w:tc>
          <w:tcPr>
            <w:tcW w:type="dxa" w:w="2880"/>
            <w:shd w:fill="405F86"/>
            <w:tcMar>
              <w:top w:w="90" w:type="dxa"/>
              <w:start w:w="90" w:type="dxa"/>
              <w:bottom w:w="90" w:type="dxa"/>
              <w:end w:w="90" w:type="dxa"/>
            </w:tcMar>
          </w:tcPr>
          <w:p>
            <w:pPr>
              <w:spacing w:after="0"/>
            </w:pPr>
            <w:r>
              <w:rPr>
                <w:rFonts w:ascii="Aptos" w:hAnsi="Aptos" w:eastAsia="Aptos"/>
                <w:b/>
                <w:color w:val="FFFFFF"/>
                <w:sz w:val="15"/>
              </w:rPr>
              <w:t>Pain point or risk</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1</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Analyst / planning calendar</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Defines sector, timeframe, watchlist, and planning question.</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Scope may be too broad or inconsistent.</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2</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Browser, newsletters, filings, journals, Google search</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Checks many external sources for relevant developments.</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Fragmented sources; high search time; missed items.</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3</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Analyst / notes or Google Doc</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Reads, copies, and summarises candidate items.</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Manual rework; duplication; loss of source context.</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4</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Analyst / spreadsheet</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Classifies by sector, event, pipeline/product stage, and date.</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Inconsistent labels and sector logic.</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5</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Analyst / financial model</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Maps developments to revenue, expense, and cash-flow drivers.</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Highest judgment burden; wrong driver or timing risk.</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6</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Analyst / report and email or Teams</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Drafts briefing, updates assumptions, and communicates.</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Formatting time; unsupported claims; message inconsistency.</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4</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Design the First AI Workflow</w:t>
            </w:r>
          </w:p>
          <w:p>
            <w:pPr>
              <w:spacing w:before="0" w:after="0"/>
            </w:pPr>
            <w:r>
              <w:rPr>
                <w:rFonts w:ascii="Aptos" w:hAnsi="Aptos" w:eastAsia="Aptos"/>
                <w:i/>
                <w:color w:val="5B6877"/>
                <w:sz w:val="17"/>
              </w:rPr>
              <w:t>Define what Claude receives, does, produces, and leaves to the human.</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information will the user provide? Identify required and optional inputs.</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Required inputs: (1) selected healthcare sector; (2) reporting timeframe; (3) approved source list, links, or uploaded reports; (4) business question or planning objective; and (5) preferred output cadence and format.</w:t>
              <w:br/>
              <w:br/>
              <w:t>Optional inputs: company, product, or pipeline watchlist; internal Google Docs or previous market reports; current budget/forecast assumptions; model-driver definitions; materiality thresholds; competitor list; geographies; recipients; and preferred length or tone for the executive message.</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Provide one realistic example input.</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Sector: MedTech - remote patient monitoring and wearable diagnostics.</w:t>
              <w:br/>
              <w:t>Timeframe: Previous 7 days.</w:t>
              <w:br/>
              <w:t>Watchlist: Abbott, Dexcom, iRhythm, and selected private competitors.</w:t>
              <w:br/>
              <w:t>Approved sources: FDA announcements, company investor-relations/SEC materials, CMS or payer updates, NEJM, JAMA, Nature Medicine, and two approved industry newsletters.</w:t>
              <w:br/>
              <w:t>Internal context: Google Doc titled “Q4 Revenue Planning Assumptions,” including current unit-volume, average-selling-price, subscription-attach, R&amp;D, SG&amp;A, and launch-timing assumptions.</w:t>
              <w:br/>
              <w:t>Focus questions: What changed in product approvals, clinical evidence, reimbursement, pricing, partnerships, supply chain, or competitor launches? Which assumptions may need review for next quarter?</w:t>
              <w:br/>
              <w:t>Output: A two-page Google Doc briefing plus a five-line draft Teams message.</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should Claude do with the input?</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Validate the scope and ask for missing required information.</w:t>
              <w:br/>
              <w:t>2. Read the approved links and uploaded documents, preserving source, publication date, company, product, and event details.</w:t>
              <w:br/>
              <w:t>3. Extract candidate developments; remove duplicates; cluster multiple reports about the same event.</w:t>
              <w:br/>
              <w:t>4. Classify each item by sector, company, event type, regulatory or clinical stage, geography, and expected timing.</w:t>
              <w:br/>
              <w:t>5. Apply the sector-specific financial-driver map rather than using one generic healthcare model.</w:t>
              <w:br/>
              <w:t>6. Compare each development with the internal planning document and identify assumptions that may be affected.</w:t>
              <w:br/>
              <w:t>7. Rank items by materiality, urgency, evidence quality, and relevance to the next quarter.</w:t>
              <w:br/>
              <w:t>8. Draft the structured briefing, cite the source for each material claim, label uncertainty, and separate fact from inference.</w:t>
              <w:br/>
              <w:t>9. Draft a concise management message, but do not send it.</w:t>
              <w:br/>
              <w:t>10. Flag information gaps or conflicts that require analyst review.</w:t>
            </w:r>
          </w:p>
        </w:tc>
      </w:tr>
    </w:tbl>
    <w:p>
      <w:pPr>
        <w:spacing w:after="0"/>
      </w:pPr>
    </w:p>
    <w:p>
      <w:pPr>
        <w:pStyle w:val="Heading2"/>
      </w:pPr>
      <w:r>
        <w:t>Sector-specific model logic used by the workflow</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0"/>
            <w:shd w:fill="405F86"/>
            <w:tcMar>
              <w:top w:w="90" w:type="dxa"/>
              <w:start w:w="90" w:type="dxa"/>
              <w:bottom w:w="90" w:type="dxa"/>
              <w:end w:w="90" w:type="dxa"/>
            </w:tcMar>
          </w:tcPr>
          <w:p>
            <w:pPr>
              <w:spacing w:after="0"/>
            </w:pPr>
            <w:r>
              <w:rPr>
                <w:rFonts w:ascii="Aptos" w:hAnsi="Aptos" w:eastAsia="Aptos"/>
                <w:b/>
                <w:color w:val="FFFFFF"/>
                <w:sz w:val="15"/>
              </w:rPr>
              <w:t>Healthcare sector</w:t>
            </w:r>
          </w:p>
        </w:tc>
        <w:tc>
          <w:tcPr>
            <w:tcW w:type="dxa" w:w="3888"/>
            <w:shd w:fill="405F86"/>
            <w:tcMar>
              <w:top w:w="90" w:type="dxa"/>
              <w:start w:w="90" w:type="dxa"/>
              <w:bottom w:w="90" w:type="dxa"/>
              <w:end w:w="90" w:type="dxa"/>
            </w:tcMar>
          </w:tcPr>
          <w:p>
            <w:pPr>
              <w:spacing w:after="0"/>
            </w:pPr>
            <w:r>
              <w:rPr>
                <w:rFonts w:ascii="Aptos" w:hAnsi="Aptos" w:eastAsia="Aptos"/>
                <w:b/>
                <w:color w:val="FFFFFF"/>
                <w:sz w:val="15"/>
              </w:rPr>
              <w:t>Primary revenue drivers</w:t>
            </w:r>
          </w:p>
        </w:tc>
        <w:tc>
          <w:tcPr>
            <w:tcW w:type="dxa" w:w="4896"/>
            <w:shd w:fill="405F86"/>
            <w:tcMar>
              <w:top w:w="90" w:type="dxa"/>
              <w:start w:w="90" w:type="dxa"/>
              <w:bottom w:w="90" w:type="dxa"/>
              <w:end w:w="90" w:type="dxa"/>
            </w:tcMar>
          </w:tcPr>
          <w:p>
            <w:pPr>
              <w:spacing w:after="0"/>
            </w:pPr>
            <w:r>
              <w:rPr>
                <w:rFonts w:ascii="Aptos" w:hAnsi="Aptos" w:eastAsia="Aptos"/>
                <w:b/>
                <w:color w:val="FFFFFF"/>
                <w:sz w:val="15"/>
              </w:rPr>
              <w:t>Typical expense / planning implications</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Pharma &amp; biotech</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Pipeline stage, probability of success, approval/launch timing, addressable patients, price, market access, exclusivity.</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R&amp;D milestones, clinical-trial spend, launch SG&amp;A, licensing, manufacturing scale-up, cash runway.</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MedTech</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Device approvals, installed base, placements, procedure volume, ASP, consumables, service/subscription attach.</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Manufacturing yield, inventory, salesforce, clinical evidence, post-market studies, capex.</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Providers</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Patient volume, service-line mix, payer mix, reimbursement, capacity, acuity.</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Labour, supplies, occupancy, physician costs, capital projects, denials and collections.</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Payers</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Membership, premium yield, utilisation, medical loss ratio, risk adjustment, product mix.</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Claims trend, care management, broker commissions, technology and compliance spend.</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Digital health</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Covered lives, ARR/PMPM, activation, utilisation, retention/NRR, pricing, reimbursement.</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CAC, implementation, customer success, platform R&amp;D, hosting, sales efficiency.</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Life-science tools &amp; services</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Biopharma funding, orders, backlog, instrument placements, consumables, utilisation, trial volume.</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5"/>
              </w:rPr>
              <w:t>Capacity, service labour, manufacturing, R&amp;D, working capital, customer concentration.</w:t>
            </w:r>
          </w:p>
        </w:tc>
      </w:tr>
    </w:tbl>
    <w:p>
      <w:pPr>
        <w:spacing w:after="0"/>
      </w:pPr>
    </w:p>
    <w:p>
      <w:pPr>
        <w:pStyle w:val="Heading1"/>
      </w:pPr>
      <w:r>
        <w:t>4C-4D. Output and Human Control</w:t>
      </w: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should Claude produce?</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A structured, editable Google Doc or Word briefing with: (1) executive summary; (2) high-priority developments by sector/company; (3) pipeline, regulatory, reimbursement, and top-journal research updates; (4) sector-specific revenue drivers affected; (5) expense, cash-flow, and operational implications; (6) next-quarter outlook and watchlist; (7) model assumptions or forecast questions to review; (8) source links and confidence labels; and (9) a short draft email or Teams/Slack message. A daily output may be one page; a weekly output may be two to four pages.</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Provide one realistic example output or output outline.</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Fictional example outline - MedTech weekly brief</w:t>
              <w:br/>
              <w:br/>
              <w:t>1. Executive summary: Three developments require review; one may affect launch timing, one may affect subscription attach, and one is a longer-term clinical evidence signal.</w:t>
              <w:br/>
              <w:t>2. Priority development A: “Company A receives clearance for a next-generation monitoring device.” Source/date attached. Financial mapping: eligible population, unit placements, ASP, recurring consumables/subscription revenue; possible SG&amp;A and manufacturing scale-up. Planning action: review Q+1 launch curve and commercial-spend assumptions. Confidence: High.</w:t>
              <w:br/>
              <w:t>3. Priority development B: “A top medical journal publishes evidence supporting earlier intervention using continuous monitoring.” Financial mapping: medium-term adoption and reimbursement support; no immediate forecast change. Planning action: add to strategic watchlist. Confidence: Medium.</w:t>
              <w:br/>
              <w:t>4. Priority development C: “A payer updates coverage criteria for remote monitoring.” Financial mapping: covered population, utilisation, reimbursement timing, and provider adoption. Planning action: test base/downside scenarios. Confidence: Medium pending policy review.</w:t>
              <w:br/>
              <w:t>5. Assumptions to review: launch date, unit-volume ramp, subscription attach, reimbursement timing, launch SG&amp;A, inventory build.</w:t>
              <w:br/>
              <w:t>6. Source log and unresolved questions.</w:t>
              <w:br/>
              <w:t>7. Draft five-line management message for analyst approval.</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should the user review, decide, approve, or edit?</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analyst reviews every high-priority item and its original source; confirms that facts, dates, and pipeline or regulatory stages are correct; decides whether the item is financially material; validates the sector-driver mapping; selects which assumptions should be changed, scenario-tested, or only monitored; removes confidential or restricted information; edits the executive summary; and approves the final message. No forecast, transaction, invoice, or communication is changed or sent automatically.</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5</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Set Scope and Define Success</w:t>
            </w:r>
          </w:p>
          <w:p>
            <w:pPr>
              <w:spacing w:before="0" w:after="0"/>
            </w:pPr>
            <w:r>
              <w:rPr>
                <w:rFonts w:ascii="Aptos" w:hAnsi="Aptos" w:eastAsia="Aptos"/>
                <w:i/>
                <w:color w:val="5B6877"/>
                <w:sz w:val="17"/>
              </w:rPr>
              <w:t>A smaller, testable project is stronger than a broad promise.</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will the first version do?</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 Accept one healthcare sector, one timeframe, an approved source set, and one internal planning document.</w:t>
              <w:br/>
              <w:t>• Read uploaded files and provided links; extract, de-duplicate, and classify developments.</w:t>
              <w:br/>
              <w:t>• Use a sector-specific revenue and expense driver framework.</w:t>
              <w:br/>
              <w:t>• Compare developments with current planning assumptions and flag potential changes.</w:t>
              <w:br/>
              <w:t>• Rank items by relevance, materiality, timing, and evidence quality.</w:t>
              <w:br/>
              <w:t>• Produce an editable, cited briefing and a draft management message.</w:t>
              <w:br/>
              <w:t>• Show confidence, source gaps, and areas requiring human review.</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will the first version NOT do?</w:t>
            </w:r>
          </w:p>
        </w:tc>
      </w:tr>
      <w:tr>
        <w:tc>
          <w:tcPr>
            <w:tcW w:type="dxa" w:w="10368"/>
            <w:shd w:fill="FFF4D6"/>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first version will not upload or post invoices, reconcile the general ledger, change an expense statement, modify ERP/budget/forecast systems, edit a financial model automatically, send messages, maintain a live database, scrape the entire internet in real time, make investment or clinical recommendations, or process protected health information. These functions require separate controls and are intentionally outside the first project.</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How will you know the project is successful?</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Accuracy and trust: At least 90% of material factual claims are traceable to an approved source, and every inference is labelled.</w:t>
              <w:br/>
              <w:t>2. Time saved: The weekly research-and-briefing process is reduced by at least 60%, with a target completion time of 45 minutes or less after inputs are prepared.</w:t>
              <w:br/>
              <w:t>3. Completeness and usefulness: 100% of required report sections are present, and the analyst rates the output at least 4 out of 5 for usefulness in a forecast or quarterly-planning discussion.</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assumptions are you making?</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The user can define a clear sector and timeframe; approved sources are accessible and reasonably accurate; internal documents have usable text and do not contain protected health information; the organisation can provide a basic sector taxonomy and driver definitions; the first version is completed in English; and the analyst is available to review the result before it affects a forecast or management communication.</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What could go wrong?</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Claude could hallucinate a fact, rely on an outdated or secondary source, miss paywalled or unavailable information, merge separate events incorrectly, misclassify a pipeline stage, apply a generic driver instead of the correct sector model, overstate a quarterly impact, expose confidential planning assumptions, or create too many low-value alerts. Mitigations are source-level citations, confidence labels, approved-source restrictions, explicit “fact vs inference” sections, a materiality threshold, and mandatory analyst approval.</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Aptos" w:hAnsi="Aptos" w:eastAsia="Aptos"/>
                <w:b/>
                <w:color w:val="FFFFFF"/>
                <w:sz w:val="36"/>
              </w:rPr>
              <w:t>6</w:t>
            </w:r>
          </w:p>
        </w:tc>
        <w:tc>
          <w:tcPr>
            <w:tcW w:type="dxa" w:w="5184"/>
            <w:shd w:fill="EAF0F7"/>
            <w:vAlign w:val="center"/>
            <w:tcMar>
              <w:top w:w="110" w:type="dxa"/>
              <w:start w:w="160" w:type="dxa"/>
              <w:bottom w:w="110" w:type="dxa"/>
              <w:end w:w="120" w:type="dxa"/>
            </w:tcMar>
          </w:tcPr>
          <w:p>
            <w:r>
              <w:rPr>
                <w:rFonts w:ascii="Aptos" w:hAnsi="Aptos" w:eastAsia="Aptos"/>
                <w:b/>
                <w:color w:val="2F496A"/>
                <w:sz w:val="28"/>
              </w:rPr>
              <w:t>Write the One-Sentence Definition</w:t>
            </w:r>
          </w:p>
          <w:p>
            <w:pPr>
              <w:spacing w:before="0" w:after="0"/>
            </w:pPr>
            <w:r>
              <w:rPr>
                <w:rFonts w:ascii="Aptos" w:hAnsi="Aptos" w:eastAsia="Aptos"/>
                <w:i/>
                <w:color w:val="5B6877"/>
                <w:sz w:val="17"/>
              </w:rPr>
              <w:t>A classmate should understand the project without extra explanation.</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Write your one-sentence project definition.</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This project helps healthcare financial analysts monitor sector-specific market, pipeline, regulatory, and research developments by turning a selected healthcare sector, approved sources, and internal planning context into a cited, model-aware briefing with FP&amp;A implications and next-quarter watch items, reducing research time and the risk of missing material developments.</w:t>
            </w:r>
          </w:p>
        </w:tc>
      </w:tr>
    </w:tbl>
    <w:p>
      <w:pPr>
        <w:spacing w:after="0"/>
      </w:pPr>
    </w:p>
    <w:p>
      <w:r>
        <w:br w:type="page"/>
      </w:r>
    </w:p>
    <w:p>
      <w:pPr>
        <w:pStyle w:val="Heading2"/>
      </w:pPr>
      <w:r>
        <w:t>Related future workflows - intentionally separate from Version 1</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52"/>
            <w:shd w:fill="405F86"/>
            <w:tcMar>
              <w:top w:w="90" w:type="dxa"/>
              <w:start w:w="90" w:type="dxa"/>
              <w:bottom w:w="90" w:type="dxa"/>
              <w:end w:w="90" w:type="dxa"/>
            </w:tcMar>
          </w:tcPr>
          <w:p>
            <w:pPr>
              <w:spacing w:after="0"/>
            </w:pPr>
            <w:r>
              <w:rPr>
                <w:rFonts w:ascii="Aptos" w:hAnsi="Aptos" w:eastAsia="Aptos"/>
                <w:b/>
                <w:color w:val="FFFFFF"/>
                <w:sz w:val="16"/>
              </w:rPr>
              <w:t>Phase</w:t>
            </w:r>
          </w:p>
        </w:tc>
        <w:tc>
          <w:tcPr>
            <w:tcW w:type="dxa" w:w="2880"/>
            <w:shd w:fill="405F86"/>
            <w:tcMar>
              <w:top w:w="90" w:type="dxa"/>
              <w:start w:w="90" w:type="dxa"/>
              <w:bottom w:w="90" w:type="dxa"/>
              <w:end w:w="90" w:type="dxa"/>
            </w:tcMar>
          </w:tcPr>
          <w:p>
            <w:pPr>
              <w:spacing w:after="0"/>
            </w:pPr>
            <w:r>
              <w:rPr>
                <w:rFonts w:ascii="Aptos" w:hAnsi="Aptos" w:eastAsia="Aptos"/>
                <w:b/>
                <w:color w:val="FFFFFF"/>
                <w:sz w:val="16"/>
              </w:rPr>
              <w:t>Workflow</w:t>
            </w:r>
          </w:p>
        </w:tc>
        <w:tc>
          <w:tcPr>
            <w:tcW w:type="dxa" w:w="6480"/>
            <w:shd w:fill="405F86"/>
            <w:tcMar>
              <w:top w:w="90" w:type="dxa"/>
              <w:start w:w="90" w:type="dxa"/>
              <w:bottom w:w="90" w:type="dxa"/>
              <w:end w:w="90" w:type="dxa"/>
            </w:tcMar>
          </w:tcPr>
          <w:p>
            <w:pPr>
              <w:spacing w:after="0"/>
            </w:pPr>
            <w:r>
              <w:rPr>
                <w:rFonts w:ascii="Aptos" w:hAnsi="Aptos" w:eastAsia="Aptos"/>
                <w:b/>
                <w:color w:val="FFFFFF"/>
                <w:sz w:val="16"/>
              </w:rPr>
              <w:t>Possible scope after Version 1 is validated</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2</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Invoice and expense-statement change tracker</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Upload invoices and prior/current expense statements; extract vendor, date, amount, cost centre, and category; compare with budget/prior period; flag exceptions; draft an approval-ready reconciliation.</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3</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Forecast and model update assistant</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Route approved market signals to a model-assumption log, show scenario impact, and prepare proposed forecast changes without posting them automatically.</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4</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Message automation</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After human approval, route alerts to the right owner and send scheduled Teams/Slack/email summaries with an audit trail.</w:t>
            </w:r>
          </w:p>
        </w:tc>
      </w:tr>
    </w:tbl>
    <w:p>
      <w:pPr>
        <w:spacing w:after="0"/>
      </w:pPr>
    </w:p>
    <w:p>
      <w:pPr>
        <w:pStyle w:val="Heading2"/>
      </w:pPr>
      <w:r>
        <w:t>Submission checklist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792"/>
            <w:shd w:fill="2F496A"/>
            <w:tcMar>
              <w:top w:w="90" w:type="dxa"/>
              <w:start w:w="90" w:type="dxa"/>
              <w:bottom w:w="90" w:type="dxa"/>
              <w:end w:w="90" w:type="dxa"/>
            </w:tcMar>
          </w:tcPr>
          <w:p>
            <w:pPr>
              <w:spacing w:after="0"/>
            </w:pPr>
            <w:r>
              <w:rPr>
                <w:rFonts w:ascii="Aptos" w:hAnsi="Aptos" w:eastAsia="Aptos"/>
                <w:b/>
                <w:color w:val="FFFFFF"/>
                <w:sz w:val="16"/>
              </w:rPr>
              <w:t>Done</w:t>
            </w:r>
          </w:p>
        </w:tc>
        <w:tc>
          <w:tcPr>
            <w:tcW w:type="dxa" w:w="9720"/>
            <w:shd w:fill="2F496A"/>
            <w:tcMar>
              <w:top w:w="90" w:type="dxa"/>
              <w:start w:w="90" w:type="dxa"/>
              <w:bottom w:w="90" w:type="dxa"/>
              <w:end w:w="90" w:type="dxa"/>
            </w:tcMar>
          </w:tcPr>
          <w:p>
            <w:pPr>
              <w:spacing w:after="0"/>
            </w:pPr>
            <w:r>
              <w:rPr>
                <w:rFonts w:ascii="Aptos" w:hAnsi="Aptos" w:eastAsia="Aptos"/>
                <w:b/>
                <w:color w:val="FFFFFF"/>
                <w:sz w:val="16"/>
              </w:rPr>
              <w:t>Submission check</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One primary user and one main problem are defined.</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current workflow is described before the AI workflow.</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Required inputs and expected outputs are identified.</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A realistic example input and example output outline are included.</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Claude's work is described step by step.</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Human review and approval points are explicit.</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Three measurable success criteria are included.</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First-version non-goals are clearly stated.</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The one-sentence definition is specific and understandable.</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Yes</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Aptos" w:hAnsi="Aptos" w:eastAsia="Aptos"/>
                <w:color w:val="242F3D"/>
                <w:sz w:val="16"/>
              </w:rPr>
              <w:t>AI suggestions are subject to the analyst's final judgment.</w:t>
            </w:r>
          </w:p>
        </w:tc>
      </w:tr>
    </w:tbl>
    <w:p>
      <w:pPr>
        <w:spacing w:after="0"/>
      </w:pP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B6877"/>
        <w:sz w:val="16"/>
      </w:rPr>
      <w:t xml:space="preserve">Page </w:t>
    </w:r>
    <w:r>
      <w:rPr>
        <w:rFonts w:ascii="Aptos" w:hAnsi="Aptos" w:eastAsia="Aptos"/>
        <w:color w:val="5B6877"/>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405F86"/>
        <w:sz w:val="17"/>
      </w:rPr>
      <w:t>FIRST AI PROJECT</w:t>
    </w:r>
    <w:r>
      <w:rPr>
        <w:rFonts w:ascii="Aptos" w:hAnsi="Aptos" w:eastAsia="Aptos"/>
        <w:b/>
        <w:color w:val="5B6877"/>
        <w:sz w:val="17"/>
      </w:rPr>
      <w:t xml:space="preserve">    PROJECT BRIEF HOMEWORK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color w:val="242F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eastAsia="Aptos"/>
      <w:b/>
      <w:bCs/>
      <w:color w:val="2F496A"/>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405F86"/>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405F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w:hAnsi="Aptos" w:eastAsia="Aptos"/>
      <w:b/>
      <w:color w:val="2F49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80" w:after="20"/>
    </w:pPr>
    <w:rPr>
      <w:rFonts w:ascii="Aptos" w:hAnsi="Aptos" w:eastAsia="Aptos"/>
      <w:b/>
      <w:color w:val="2F496A"/>
      <w:sz w:val="19"/>
    </w:rPr>
  </w:style>
  <w:style w:type="paragraph" w:customStyle="1" w:styleId="Answer">
    <w:name w:val="Answer"/>
    <w:pPr>
      <w:spacing w:after="80" w:line="252" w:lineRule="auto"/>
    </w:pPr>
    <w:rPr>
      <w:rFonts w:ascii="Aptos" w:hAnsi="Aptos" w:eastAsia="Aptos"/>
      <w:color w:val="242F3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Market Intelligence &amp; FP&amp;A Trend Monitor</dc:title>
  <dc:subject>Completed Homework Guide + Editable Submission Copy</dc:subject>
  <dc:creator>Marilyn You</dc:creator>
  <cp:keywords>AI workflow, healthcare, financial analysis, FP&amp;A, market intelligence</cp:keywords>
  <dc:description>generated by python-docx</dc:description>
  <cp:lastModifiedBy/>
  <cp:revision>1</cp:revision>
  <dcterms:created xsi:type="dcterms:W3CDTF">2013-12-23T23:15:00Z</dcterms:created>
  <dcterms:modified xsi:type="dcterms:W3CDTF">2013-12-23T23:15:00Z</dcterms:modified>
  <cp:category/>
</cp:coreProperties>
</file>