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jc w:val="center"/>
      </w:pPr>
      <w:r>
        <w:rPr>
          <w:b/>
        </w:rPr>
        <w:t>AI Project Proposal</w:t>
      </w:r>
    </w:p>
    <w:p>
      <w:pPr>
        <w:jc w:val="center"/>
      </w:pPr>
      <w:r>
        <w:rPr>
          <w:b/>
          <w:color w:val="2F5496"/>
          <w:sz w:val="28"/>
        </w:rPr>
        <w:t>Healthcare Market Intelligence Copilot</w:t>
      </w:r>
    </w:p>
    <w:p>
      <w:pPr>
        <w:jc w:val="center"/>
      </w:pPr>
      <w:r>
        <w:rPr>
          <w:i/>
          <w:color w:val="595959"/>
          <w:sz w:val="21"/>
        </w:rPr>
        <w:t>An AI-assisted workflow for healthcare financial analysts and FP&amp;A teams</w:t>
      </w:r>
    </w:p>
    <w:p>
      <w:pPr>
        <w:pStyle w:val="Heading2"/>
        <w:keepNext/>
      </w:pPr>
      <w:r>
        <w:t>1. Product Summary</w:t>
      </w:r>
    </w:p>
    <w:p>
      <w:pPr>
        <w:keepLines/>
      </w:pPr>
      <w:r>
        <w:rPr>
          <w:b/>
          <w:color w:val="1F4E79"/>
        </w:rPr>
        <w:t xml:space="preserve">Product Name / One-Line Pitch: </w:t>
      </w:r>
      <w:r>
        <w:t>Healthcare Market Intelligence Copilot is an AI workflow that helps healthcare financial analysts and FP&amp;A teams turn fragmented sector news, company disclosures, clinical-pipeline updates, regulatory developments, and medical research into cited, finance-focused briefings.</w:t>
      </w:r>
    </w:p>
    <w:p>
      <w:pPr>
        <w:pStyle w:val="Heading2"/>
        <w:keepNext/>
      </w:pPr>
      <w:r>
        <w:t>2. Problem Statement</w:t>
      </w:r>
    </w:p>
    <w:p>
      <w:pPr>
        <w:keepLines/>
      </w:pPr>
      <w:r>
        <w:rPr>
          <w:b/>
          <w:color w:val="1F4E79"/>
        </w:rPr>
        <w:t xml:space="preserve">The Problem: </w:t>
      </w:r>
      <w:r>
        <w:t>Healthcare information is scattered across industry reports, company investor-relations pages, government databases, regulatory announcements, medical journals, and news sites. Analysts must manually find, verify, de-duplicate, and interpret these updates. The work is slow and inconsistent, and important developments may not be connected to the correct revenue, expense, volume, pricing, reimbursement, R&amp;D, or capital-spending drivers.</w:t>
      </w:r>
    </w:p>
    <w:p>
      <w:pPr>
        <w:keepLines/>
      </w:pPr>
      <w:r>
        <w:rPr>
          <w:b/>
          <w:color w:val="1F4E79"/>
        </w:rPr>
        <w:t xml:space="preserve">Target User: </w:t>
      </w:r>
      <w:r>
        <w:t>A healthcare financial analyst or FP&amp;A professional who supports monthly forecasting, management reporting, budgeting, and quarterly planning for a provider, payer, pharmaceutical, biotechnology, medical-device, or digital-health organization.</w:t>
      </w:r>
    </w:p>
    <w:p>
      <w:pPr>
        <w:keepLines/>
      </w:pPr>
      <w:r>
        <w:rPr>
          <w:b/>
          <w:color w:val="1F4E79"/>
        </w:rPr>
        <w:t xml:space="preserve">Intended Impact: </w:t>
      </w:r>
      <w:r>
        <w:t>The product reduces research time, lowers the risk of missing material developments, standardizes market monitoring, and helps the user translate external events into practical implications for forecasts, budgets, operating plans, and next-quarter priorities.</w:t>
      </w:r>
    </w:p>
    <w:p>
      <w:pPr>
        <w:pStyle w:val="Heading2"/>
        <w:keepNext/>
      </w:pPr>
      <w:r>
        <w:t>3. Target User &amp; Scenario</w:t>
      </w:r>
    </w:p>
    <w:p>
      <w:pPr>
        <w:keepLines/>
      </w:pPr>
      <w:r>
        <w:rPr>
          <w:b/>
          <w:color w:val="1F4E79"/>
        </w:rPr>
        <w:t xml:space="preserve">User Profile — Demographics: </w:t>
      </w:r>
      <w:r>
        <w:t>Working-age professionals, generally 22–45, primarily based in the United States or covering the U.S. healthcare market; occupation is healthcare financial analysis or FP&amp;A; gender is not relevant.</w:t>
      </w:r>
    </w:p>
    <w:p>
      <w:pPr>
        <w:keepLines/>
      </w:pPr>
      <w:r>
        <w:rPr>
          <w:b/>
          <w:color w:val="1F4E79"/>
        </w:rPr>
        <w:t xml:space="preserve">User Profile — Background: </w:t>
      </w:r>
      <w:r>
        <w:t>The user has a finance, accounting, economics, or business background and regularly uses Excel, PowerPoint, Google Docs, email, Slack or Teams, ERP systems, and budgeting or forecasting tools. The user can interpret financial statements and industry KPIs but does not need programming experience.</w:t>
      </w:r>
    </w:p>
    <w:p>
      <w:pPr>
        <w:keepLines/>
      </w:pPr>
      <w:r>
        <w:rPr>
          <w:b/>
          <w:color w:val="1F4E79"/>
        </w:rPr>
        <w:t xml:space="preserve">Usage Scenario: </w:t>
      </w:r>
      <w:r>
        <w:t>The user opens the product at the start of the day or week, before a forecast review, earnings discussion, budget update, or quarterly planning meeting. The user selects a sector, company, pipeline, topic, and time period, and may upload a Google Doc, internal planning assumptions, watchlist, or preferred report links. Example trigger: “Create this week’s payer market briefing and explain the likely revenue and expense implications for next quarter.”</w:t>
      </w:r>
    </w:p>
    <w:p>
      <w:pPr>
        <w:pStyle w:val="Heading2"/>
        <w:keepNext/>
      </w:pPr>
      <w:r>
        <w:t>4. Feature Roadmap</w:t>
      </w:r>
    </w:p>
    <w:p>
      <w:pPr>
        <w:keepLines/>
      </w:pPr>
      <w:r>
        <w:rPr>
          <w:b/>
          <w:color w:val="1F4E79"/>
        </w:rPr>
        <w:t xml:space="preserve">Core Features (MVP - Must-Have): </w:t>
      </w:r>
      <w:r/>
    </w:p>
    <w:p>
      <w:pPr>
        <w:spacing w:after="40"/>
        <w:ind w:left="317" w:hanging="230"/>
      </w:pPr>
      <w:r>
        <w:rPr>
          <w:b/>
        </w:rPr>
        <w:t xml:space="preserve">• </w:t>
      </w:r>
      <w:r>
        <w:t>Source ingestion and monitoring: collect recent information from approved public sources and user-provided documents, links, or Google Drive files.</w:t>
      </w:r>
    </w:p>
    <w:p>
      <w:pPr>
        <w:spacing w:after="40"/>
        <w:ind w:left="317" w:hanging="230"/>
      </w:pPr>
      <w:r>
        <w:rPr>
          <w:b/>
        </w:rPr>
        <w:t xml:space="preserve">• </w:t>
      </w:r>
      <w:r>
        <w:t>Sector-aware classification and verification: categorize updates by healthcare sector, company, product or pipeline, regulatory event, technology, and date; remove duplicates and preserve source links.</w:t>
      </w:r>
    </w:p>
    <w:p>
      <w:pPr>
        <w:spacing w:after="40"/>
        <w:ind w:left="317" w:hanging="230"/>
      </w:pPr>
      <w:r>
        <w:rPr>
          <w:b/>
        </w:rPr>
        <w:t xml:space="preserve">• </w:t>
      </w:r>
      <w:r>
        <w:t>Finance-impact mapping: connect each development to the relevant sector-specific drivers, such as patient volume, reimbursement, pricing, membership, utilization, drug launches, pipeline milestones, R&amp;D, SG&amp;A, capital expenditure, and working capital.</w:t>
      </w:r>
    </w:p>
    <w:p>
      <w:pPr>
        <w:spacing w:after="40"/>
        <w:ind w:left="317" w:hanging="230"/>
      </w:pPr>
      <w:r>
        <w:rPr>
          <w:b/>
        </w:rPr>
        <w:t xml:space="preserve">• </w:t>
      </w:r>
      <w:r>
        <w:t>Structured briefing generation: create a cited daily or weekly report with an executive summary, prioritized developments, financial implications, risks, opportunities, uncertainty flags, and questions for human review.</w:t>
      </w:r>
    </w:p>
    <w:p>
      <w:pPr>
        <w:keepLines/>
      </w:pPr>
      <w:r>
        <w:rPr>
          <w:b/>
          <w:color w:val="1F4E79"/>
        </w:rPr>
        <w:t xml:space="preserve">Bonus Features (Nice-to-Have): </w:t>
      </w:r>
      <w:r/>
    </w:p>
    <w:p>
      <w:pPr>
        <w:spacing w:after="40"/>
        <w:ind w:left="317" w:hanging="230"/>
      </w:pPr>
      <w:r>
        <w:rPr>
          <w:b/>
        </w:rPr>
        <w:t xml:space="preserve">• </w:t>
      </w:r>
      <w:r>
        <w:t>Automated email, Slack, or Teams alerts when a high-impact event is detected, with user approval before sending.</w:t>
      </w:r>
    </w:p>
    <w:p>
      <w:pPr>
        <w:spacing w:after="40"/>
        <w:ind w:left="317" w:hanging="230"/>
      </w:pPr>
      <w:r>
        <w:rPr>
          <w:b/>
        </w:rPr>
        <w:t xml:space="preserve">• </w:t>
      </w:r>
      <w:r>
        <w:t>Invoice and expense-statement workflow that extracts invoices, categorizes spending, compares expenses with budget, and explains period-over-period variances.</w:t>
      </w:r>
    </w:p>
    <w:p>
      <w:pPr>
        <w:spacing w:after="40"/>
        <w:ind w:left="317" w:hanging="230"/>
      </w:pPr>
      <w:r>
        <w:rPr>
          <w:b/>
        </w:rPr>
        <w:t xml:space="preserve">• </w:t>
      </w:r>
      <w:r>
        <w:t>Custom sector dashboards, company watchlists, and reusable revenue-driver models for quarterly outlook and scenario planning.</w:t>
      </w:r>
    </w:p>
    <w:p>
      <w:pPr>
        <w:pStyle w:val="Heading2"/>
        <w:keepNext/>
      </w:pPr>
      <w:r>
        <w:t>5. Technical Form &amp; Architecture</w:t>
      </w:r>
    </w:p>
    <w:p>
      <w:pPr>
        <w:keepLines/>
      </w:pPr>
      <w:r>
        <w:rPr>
          <w:b/>
          <w:color w:val="1F4E79"/>
        </w:rPr>
        <w:t xml:space="preserve">Product Format: </w:t>
      </w:r>
      <w:r>
        <w:t>A Claude Custom Skill / AI Agent and scheduled automated workflow, with an optional lightweight web dashboard in a later version.</w:t>
      </w:r>
    </w:p>
    <w:p>
      <w:pPr>
        <w:keepLines/>
      </w:pPr>
      <w:r>
        <w:rPr>
          <w:b/>
          <w:color w:val="1F4E79"/>
        </w:rPr>
        <w:t xml:space="preserve">Proposed Tech Stack: </w:t>
      </w:r>
      <w:r>
        <w:t>Claude API using a production Sonnet-class model; Python and FastAPI for orchestration; scheduled background jobs for monitoring; PostgreSQL or Supabase with pgvector for metadata and retrieval; Google Drive and Google Docs integration; connectors or APIs for approved healthcare and financial sources; and deployment on Render, Vercel, AWS, or a comparable cloud platform.</w:t>
      </w:r>
    </w:p>
    <w:p>
      <w:pPr>
        <w:pStyle w:val="Heading2"/>
        <w:keepNext/>
      </w:pPr>
      <w:r>
        <w:t>6. Data Strategy</w:t>
      </w:r>
    </w:p>
    <w:p>
      <w:pPr>
        <w:keepLines/>
      </w:pPr>
      <w:r>
        <w:rPr>
          <w:b/>
          <w:color w:val="1F4E79"/>
        </w:rPr>
        <w:t xml:space="preserve">Data Needs: </w:t>
      </w:r>
      <w:r>
        <w:t>A healthcare-sector taxonomy; trusted source lists; article, filing, abstract, and announcement text; publication dates and URLs; company, therapy, trial, product, and regulatory entities; event classifications; sector-specific revenue and expense drivers; and user-defined watchlists, planning assumptions, and report preferences.</w:t>
      </w:r>
    </w:p>
    <w:p>
      <w:pPr>
        <w:keepLines/>
      </w:pPr>
      <w:r>
        <w:rPr>
          <w:b/>
          <w:color w:val="1F4E79"/>
        </w:rPr>
        <w:t xml:space="preserve">Data Sources: </w:t>
      </w:r>
      <w:r>
        <w:t>Public sources may include SEC EDGAR, FDA announcements and databases, CMS releases, PubMed, ClinicalTrials.gov, company investor-relations pages, earnings releases, government feeds, and RSS or approved news APIs. The workflow may also use user-provided Google Docs, internal reports, forecast assumptions, invoices, and expense statements. Premium industry reports may be added only when the organization has the required subscription and usage rights.</w:t>
      </w:r>
    </w:p>
    <w:p>
      <w:pPr>
        <w:keepLines/>
      </w:pPr>
      <w:r>
        <w:rPr>
          <w:b/>
          <w:color w:val="1F4E79"/>
        </w:rPr>
        <w:t xml:space="preserve">Accessibility &amp; Cost: </w:t>
      </w:r>
      <w:r>
        <w:t>Many government, academic, company, and regulatory sources are publicly available at no direct cost, although APIs may have rate limits or require keys. Google integrations require authentication. Premium news and industry-research services may charge subscription or API fees and have licensing restrictions. The MVP will prioritize free public sources and user-owned documents.</w:t>
      </w:r>
    </w:p>
    <w:p>
      <w:pPr>
        <w:pStyle w:val="Heading2"/>
        <w:keepNext/>
      </w:pPr>
      <w:r>
        <w:t>7. AI &amp; LLM Integration</w:t>
      </w:r>
    </w:p>
    <w:p>
      <w:pPr>
        <w:keepLines/>
      </w:pPr>
      <w:r>
        <w:rPr>
          <w:b/>
          <w:color w:val="1F4E79"/>
        </w:rPr>
        <w:t xml:space="preserve">Role of AI/LLM: </w:t>
      </w:r>
      <w:r>
        <w:t>AI is the core analysis layer. It extracts entities and events, classifies information, removes duplication, summarizes evidence, compares updates with prior periods or user assumptions, maps developments to financial drivers, identifies uncertainty, answers follow-up questions, and drafts a consistent management-ready briefing.</w:t>
      </w:r>
    </w:p>
    <w:p>
      <w:pPr>
        <w:keepLines/>
      </w:pPr>
      <w:r>
        <w:rPr>
          <w:b/>
          <w:color w:val="1F4E79"/>
        </w:rPr>
        <w:t xml:space="preserve">Implementation Depth: </w:t>
      </w:r>
      <w:r>
        <w:t>The MVP will use the Claude API with structured prompts, output schemas, and sector-specific reasoning instructions. Retrieval-augmented generation (RAG) will ground answers in approved public sources and user documents, while citations will link claims to evidence. Rules will enforce source dates, sector classifications, and required report sections. Fine-tuning is not necessary for the first version; quality will be improved through prompt iteration, a test set of healthcare events, automated checks, and mandatory human review.</w:t>
      </w:r>
    </w:p>
    <w:p>
      <w:pPr>
        <w:pStyle w:val="Heading2"/>
        <w:keepNext/>
      </w:pPr>
      <w:r>
        <w:t>8. Success Metrics</w:t>
      </w:r>
    </w:p>
    <w:p>
      <w:pPr>
        <w:keepLines/>
      </w:pPr>
      <w:r>
        <w:rPr>
          <w:b/>
          <w:color w:val="1F4E79"/>
        </w:rPr>
        <w:t xml:space="preserve">Key Performance Indicators (KPIs): </w:t>
      </w:r>
      <w:r/>
    </w:p>
    <w:p>
      <w:pPr>
        <w:spacing w:after="40"/>
        <w:ind w:left="317" w:hanging="230"/>
      </w:pPr>
      <w:r>
        <w:rPr>
          <w:b/>
        </w:rPr>
        <w:t xml:space="preserve">• </w:t>
      </w:r>
      <w:r>
        <w:t>Time saved: reduce the analyst’s recurring market-research and briefing time by at least 50%, or enable a standard weekly briefing to be reviewed in 30 minutes or less.</w:t>
      </w:r>
    </w:p>
    <w:p>
      <w:pPr>
        <w:spacing w:after="40"/>
        <w:ind w:left="317" w:hanging="230"/>
      </w:pPr>
      <w:r>
        <w:rPr>
          <w:b/>
        </w:rPr>
        <w:t xml:space="preserve">• </w:t>
      </w:r>
      <w:r>
        <w:t>Accuracy and traceability: at least 90% of material factual claims are supported by a visible source citation, with no uncited critical financial figures in the final approved report.</w:t>
      </w:r>
    </w:p>
    <w:p>
      <w:pPr>
        <w:spacing w:after="40"/>
        <w:ind w:left="317" w:hanging="230"/>
      </w:pPr>
      <w:r>
        <w:rPr>
          <w:b/>
        </w:rPr>
        <w:t xml:space="preserve">• </w:t>
      </w:r>
      <w:r>
        <w:t>Coverage and relevance: capture at least 80% of reviewer-identified high-impact developments in a controlled test set and receive an average usefulness rating of at least 4 out of 5 from pilot users.</w:t>
      </w:r>
    </w:p>
    <w:p>
      <w:pPr>
        <w:spacing w:after="40"/>
        <w:ind w:left="317" w:hanging="230"/>
      </w:pPr>
      <w:r>
        <w:rPr>
          <w:b/>
        </w:rPr>
        <w:t xml:space="preserve">• </w:t>
      </w:r>
      <w:r>
        <w:t>Consistency and adoption: at least 95% of outputs contain all required sections, and pilot users use the workflow for recurring weekly or quarterly planning tasks.</w:t>
      </w:r>
    </w:p>
    <w:p>
      <w:pPr>
        <w:pStyle w:val="Heading2"/>
        <w:keepNext/>
      </w:pPr>
      <w:r>
        <w:t>One-Sentence Project Definition</w:t>
      </w:r>
    </w:p>
    <w:p>
      <w:r>
        <w:rPr>
          <w:b/>
        </w:rPr>
        <w:t>This project helps healthcare financial analysts and FP&amp;A professionals monitor industry change by turning fragmented healthcare news, filings, pipeline updates, research, and internal planning inputs into cited, sector-specific financial briefings, reducing research time, missed signals, and forecasting confusion.</w:t>
      </w:r>
    </w:p>
    <w:sectPr>
      <w:footerReference w:type="default" r:id="rId6"/>
      <w:pgSz w:h="15840" w:w="12240" w:orient="portrait"/>
      <w:pgMar w:bottom="936" w:top="936"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Healthcare Market Intelligence Copilot | AI Project Proposal</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52" w:lineRule="auto"/>
    </w:pPr>
    <w:rPr>
      <w:rFonts w:ascii="Aptos" w:hAnsi="Aptos"/>
      <w:sz w:val="21"/>
    </w:rPr>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80" w:before="160" w:lineRule="auto"/>
    </w:pPr>
    <w:rPr>
      <w:rFonts w:ascii="Aptos Display" w:hAnsi="Aptos Display"/>
      <w:b w:val="1"/>
      <w:bCs w:val="1"/>
      <w:i w:val="0"/>
      <w:iCs w:val="0"/>
      <w:color w:val="1F4E79"/>
      <w:sz w:val="42"/>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80" w:before="160" w:lineRule="auto"/>
    </w:pPr>
    <w:rPr>
      <w:rFonts w:ascii="Aptos Display" w:hAnsi="Aptos Display"/>
      <w:b w:val="1"/>
      <w:bCs w:val="1"/>
      <w:i w:val="0"/>
      <w:iCs w:val="0"/>
      <w:color w:val="1F4E79"/>
      <w:sz w:val="30"/>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80" w:before="160" w:lineRule="auto"/>
    </w:pPr>
    <w:rPr>
      <w:rFonts w:ascii="Aptos" w:hAnsi="Aptos"/>
      <w:b w:val="1"/>
      <w:bCs w:val="1"/>
      <w:i w:val="0"/>
      <w:iCs w:val="0"/>
      <w:color w:val="1F4E79"/>
      <w:sz w:val="23"/>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