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259" w:before="0" w:after="159"/>
        <w:rPr/>
      </w:pPr>
      <w:r>
        <w:rPr>
          <w:sz w:val="40"/>
          <w:szCs w:val="40"/>
        </w:rPr>
        <w:t>Référence de la revue biblio :</w:t>
      </w:r>
    </w:p>
    <w:p>
      <w:pPr>
        <w:pStyle w:val="NormalWeb"/>
        <w:spacing w:lineRule="auto" w:line="259" w:before="0" w:after="159"/>
        <w:rPr/>
      </w:pPr>
      <w:r>
        <w:rPr/>
        <w:t>Page 14 :</w:t>
      </w:r>
    </w:p>
    <w:p>
      <w:pPr>
        <w:pStyle w:val="NormalWeb"/>
        <w:spacing w:lineRule="auto" w:line="259" w:before="0" w:after="159"/>
        <w:rPr/>
      </w:pPr>
      <w:r>
        <w:rPr/>
        <w:t>récupérée dans IRD-2009-SAW-EVA.pdf :</w:t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  <w:iCs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Faris, D.G., 1965. The origin and evolution of the cultivated forms of </w:t>
      </w:r>
      <w:r>
        <w:rPr>
          <w:rFonts w:cs="Arial" w:ascii="Arial" w:hAnsi="Arial"/>
          <w:i/>
          <w:iCs/>
          <w:sz w:val="23"/>
          <w:szCs w:val="23"/>
        </w:rPr>
        <w:t>Vigna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i/>
          <w:iCs/>
          <w:sz w:val="23"/>
          <w:szCs w:val="23"/>
        </w:rPr>
        <w:t xml:space="preserve">Sinensis. </w:t>
      </w:r>
      <w:r>
        <w:rPr>
          <w:rFonts w:cs="Arial" w:ascii="Arial" w:hAnsi="Arial"/>
          <w:sz w:val="23"/>
          <w:szCs w:val="23"/>
        </w:rPr>
        <w:t>Canadian Journal of Genetics and Cytology 7:433-452.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Faris, G. D., 1963. Evidence for the West African origin of Vigna sinensis L. Savi. Ph.D. Dissertation. University of California. 84 pages.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Piper, C. V.,1913. The wild prototype of cowpea. U.S. Department of Agric. Bot.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Plant Indus. Circ. 124: pp. 29-32.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Pasquet, R. S., et Baudoin, </w:t>
      </w:r>
      <w:r>
        <w:rPr>
          <w:rFonts w:cs="Times New Roman" w:ascii="Times New Roman" w:hAnsi="Times New Roman"/>
          <w:sz w:val="25"/>
          <w:szCs w:val="25"/>
        </w:rPr>
        <w:t xml:space="preserve">J. </w:t>
      </w:r>
      <w:r>
        <w:rPr>
          <w:rFonts w:cs="Arial" w:ascii="Arial" w:hAnsi="Arial"/>
          <w:sz w:val="24"/>
          <w:szCs w:val="24"/>
        </w:rPr>
        <w:t xml:space="preserve">P., 1997. Le niébé, Vigna unguiculata </w:t>
      </w:r>
      <w:r>
        <w:rPr>
          <w:rFonts w:cs="Arial" w:ascii="Arial" w:hAnsi="Arial"/>
          <w:sz w:val="23"/>
          <w:szCs w:val="23"/>
        </w:rPr>
        <w:t xml:space="preserve">(L.) </w:t>
      </w:r>
      <w:r>
        <w:rPr>
          <w:rFonts w:cs="Arial" w:ascii="Arial" w:hAnsi="Arial"/>
          <w:sz w:val="24"/>
          <w:szCs w:val="24"/>
        </w:rPr>
        <w:t>Walp.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ln: L'amélioration des plantes tropicales. Ed. Charrier A., Jacquot M., Hammon S.,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Nicolas D., Montpellier (France), CIRAD-ORSTOM, 483-505.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Lush, W. M. and Evans, L. T., 1981. Domestication and improvement of cowpea.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4"/>
          <w:szCs w:val="24"/>
        </w:rPr>
        <w:t xml:space="preserve">Euphytica </w:t>
      </w:r>
      <w:r>
        <w:rPr>
          <w:rFonts w:cs="Arial" w:ascii="Arial" w:hAnsi="Arial"/>
          <w:sz w:val="23"/>
          <w:szCs w:val="23"/>
        </w:rPr>
        <w:t xml:space="preserve">30, </w:t>
      </w:r>
      <w:r>
        <w:rPr>
          <w:rFonts w:cs="Arial" w:ascii="Arial" w:hAnsi="Arial"/>
          <w:sz w:val="24"/>
          <w:szCs w:val="24"/>
        </w:rPr>
        <w:t xml:space="preserve">pp. </w:t>
      </w:r>
      <w:r>
        <w:rPr>
          <w:rFonts w:cs="Arial" w:ascii="Arial" w:hAnsi="Arial"/>
          <w:sz w:val="23"/>
          <w:szCs w:val="23"/>
        </w:rPr>
        <w:t>579-587.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Vanderborght, T., Baudoin, </w:t>
      </w:r>
      <w:r>
        <w:rPr>
          <w:rFonts w:cs="Times New Roman" w:ascii="Times New Roman" w:hAnsi="Times New Roman"/>
          <w:sz w:val="26"/>
          <w:szCs w:val="26"/>
        </w:rPr>
        <w:t xml:space="preserve">J, </w:t>
      </w:r>
      <w:r>
        <w:rPr>
          <w:rFonts w:cs="Arial" w:ascii="Arial" w:hAnsi="Arial"/>
          <w:sz w:val="24"/>
          <w:szCs w:val="24"/>
        </w:rPr>
        <w:t xml:space="preserve">P., 2001. Niébé: </w:t>
      </w:r>
      <w:r>
        <w:rPr>
          <w:rFonts w:cs="Arial" w:ascii="Arial" w:hAnsi="Arial"/>
          <w:i/>
          <w:iCs/>
          <w:sz w:val="23"/>
          <w:szCs w:val="23"/>
        </w:rPr>
        <w:t xml:space="preserve">Vigna unguiculata </w:t>
      </w:r>
      <w:r>
        <w:rPr>
          <w:rFonts w:cs="Arial" w:ascii="Arial" w:hAnsi="Arial"/>
        </w:rPr>
        <w:t xml:space="preserve">(L.) </w:t>
      </w:r>
      <w:r>
        <w:rPr>
          <w:rFonts w:cs="Arial" w:ascii="Arial" w:hAnsi="Arial"/>
          <w:sz w:val="24"/>
          <w:szCs w:val="24"/>
        </w:rPr>
        <w:t>Walpers.Agriculture en Afrique Tropicale. DGCI.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Verdcourt, B., 1970. Studies in the </w:t>
      </w:r>
      <w:r>
        <w:rPr>
          <w:rFonts w:cs="Arial" w:ascii="Arial" w:hAnsi="Arial"/>
          <w:i/>
          <w:iCs/>
          <w:sz w:val="23"/>
          <w:szCs w:val="23"/>
        </w:rPr>
        <w:t xml:space="preserve">Leguminosae-Papilionoideae </w:t>
      </w:r>
      <w:r>
        <w:rPr>
          <w:rFonts w:cs="Arial" w:ascii="Arial" w:hAnsi="Arial"/>
          <w:sz w:val="24"/>
          <w:szCs w:val="24"/>
        </w:rPr>
        <w:t>for the "Flora of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Tropical East Africa" vols III and IV. Kew Bull. 24:379-447 and 507-569.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Maréchal, R.; Mascherpa, </w:t>
      </w:r>
      <w:r>
        <w:rPr>
          <w:rFonts w:cs="Times New Roman" w:ascii="Times New Roman" w:hAnsi="Times New Roman"/>
          <w:sz w:val="25"/>
          <w:szCs w:val="25"/>
        </w:rPr>
        <w:t xml:space="preserve">J. </w:t>
      </w:r>
      <w:r>
        <w:rPr>
          <w:rFonts w:cs="Arial" w:ascii="Arial" w:hAnsi="Arial"/>
          <w:sz w:val="24"/>
          <w:szCs w:val="24"/>
        </w:rPr>
        <w:t>M. and Stainier, F., 1978. Etude taxonomique d'un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groupe d'espèces des genres </w:t>
      </w:r>
      <w:r>
        <w:rPr>
          <w:rFonts w:cs="Arial" w:ascii="Arial" w:hAnsi="Arial"/>
          <w:i/>
          <w:iCs/>
          <w:sz w:val="23"/>
          <w:szCs w:val="23"/>
        </w:rPr>
        <w:t xml:space="preserve">Phaseolus </w:t>
      </w:r>
      <w:r>
        <w:rPr>
          <w:rFonts w:cs="Arial" w:ascii="Arial" w:hAnsi="Arial"/>
          <w:sz w:val="24"/>
          <w:szCs w:val="24"/>
        </w:rPr>
        <w:t xml:space="preserve">et </w:t>
      </w:r>
      <w:r>
        <w:rPr>
          <w:rFonts w:cs="Arial" w:ascii="Arial" w:hAnsi="Arial"/>
          <w:i/>
          <w:iCs/>
          <w:sz w:val="23"/>
          <w:szCs w:val="23"/>
        </w:rPr>
        <w:t xml:space="preserve">Vigna (Papilionaceae) </w:t>
      </w:r>
      <w:r>
        <w:rPr>
          <w:rFonts w:cs="Arial" w:ascii="Arial" w:hAnsi="Arial"/>
          <w:sz w:val="24"/>
          <w:szCs w:val="24"/>
        </w:rPr>
        <w:t>sur la base de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données morphologique et pollinique traitées pour l'analyse informatique. Boissier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28: </w:t>
      </w:r>
      <w:r>
        <w:rPr>
          <w:rFonts w:cs="Arial" w:ascii="Arial" w:hAnsi="Arial"/>
          <w:sz w:val="24"/>
          <w:szCs w:val="24"/>
        </w:rPr>
        <w:t xml:space="preserve">pp. </w:t>
      </w:r>
      <w:r>
        <w:rPr>
          <w:rFonts w:cs="Arial" w:ascii="Arial" w:hAnsi="Arial"/>
          <w:sz w:val="23"/>
          <w:szCs w:val="23"/>
        </w:rPr>
        <w:t>1-273.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Page15 : </w:t>
      </w:r>
    </w:p>
    <w:p>
      <w:pPr>
        <w:pStyle w:val="Normal"/>
        <w:spacing w:lineRule="auto" w:line="240" w:before="0" w:after="0"/>
        <w:rPr/>
      </w:pPr>
      <w:r>
        <w:rPr/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Steele, W. M., 1972. Cowpeas in Africa. Reading, UK, University Reading. (Ph. D.thesis). 242 pages.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Page16 :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Singh, S. R., et Allen, O. </w:t>
      </w:r>
      <w:r>
        <w:rPr>
          <w:rFonts w:cs="Times New Roman" w:ascii="Times New Roman" w:hAnsi="Times New Roman"/>
          <w:sz w:val="26"/>
          <w:szCs w:val="26"/>
        </w:rPr>
        <w:t xml:space="preserve">J., </w:t>
      </w:r>
      <w:r>
        <w:rPr>
          <w:rFonts w:cs="Arial" w:ascii="Arial" w:hAnsi="Arial"/>
          <w:sz w:val="24"/>
          <w:szCs w:val="24"/>
        </w:rPr>
        <w:t>1979. Les insectes nuisibles et maladies du niébé.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Manuel n²2 lITA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Fery, </w:t>
      </w:r>
      <w:r>
        <w:rPr>
          <w:rFonts w:cs="Arial" w:ascii="Arial" w:hAnsi="Arial"/>
          <w:sz w:val="24"/>
          <w:szCs w:val="24"/>
        </w:rPr>
        <w:t xml:space="preserve">R. </w:t>
      </w:r>
      <w:r>
        <w:rPr>
          <w:rFonts w:cs="Arial" w:ascii="Arial" w:hAnsi="Arial"/>
          <w:sz w:val="25"/>
          <w:szCs w:val="25"/>
        </w:rPr>
        <w:t xml:space="preserve">L. </w:t>
      </w:r>
      <w:r>
        <w:rPr>
          <w:rFonts w:cs="Arial" w:ascii="Arial" w:hAnsi="Arial"/>
          <w:sz w:val="23"/>
          <w:szCs w:val="23"/>
        </w:rPr>
        <w:t>1985. The genetics of cowpeas: a review of the world Iiterature. In: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Cowpea Research, Production and Utilization. Singh, S.R. and Rachie, K.O.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(Eds.), Chichester, John Wiley and Sons. pp. 25 - 62.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i/>
          <w:i/>
          <w:iCs/>
          <w:sz w:val="23"/>
          <w:szCs w:val="23"/>
        </w:rPr>
      </w:pPr>
      <w:r>
        <w:rPr>
          <w:rFonts w:cs="Arial" w:ascii="Arial" w:hAnsi="Arial"/>
          <w:sz w:val="23"/>
          <w:szCs w:val="23"/>
        </w:rPr>
        <w:t xml:space="preserve">Drabo, </w:t>
      </w:r>
      <w:r>
        <w:rPr>
          <w:rFonts w:cs="Times New Roman" w:ascii="Times New Roman" w:hAnsi="Times New Roman"/>
          <w:sz w:val="26"/>
          <w:szCs w:val="26"/>
        </w:rPr>
        <w:t xml:space="preserve">1. </w:t>
      </w:r>
      <w:r>
        <w:rPr>
          <w:rFonts w:cs="Arial" w:ascii="Arial" w:hAnsi="Arial"/>
          <w:sz w:val="23"/>
          <w:szCs w:val="23"/>
        </w:rPr>
        <w:t xml:space="preserve">1981. Inheritance of some seed qualities in cowpea </w:t>
      </w:r>
      <w:r>
        <w:rPr>
          <w:rFonts w:cs="Arial" w:ascii="Arial" w:hAnsi="Arial"/>
          <w:i/>
          <w:iCs/>
          <w:sz w:val="23"/>
          <w:szCs w:val="23"/>
        </w:rPr>
        <w:t>(Vigna unguiculata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L. Walp.) Master of Philosophy thesis, University of Ibadan. 146 pages.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  <w:t>Page 17 :</w:t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3"/>
          <w:szCs w:val="23"/>
        </w:rPr>
      </w:pPr>
      <w:r>
        <w:rPr>
          <w:rFonts w:cs="Arial" w:ascii="Arial" w:hAnsi="Arial"/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Langyintuo, A. S., Lowenberg-DeBoer, </w:t>
      </w:r>
      <w:r>
        <w:rPr>
          <w:rFonts w:cs="Times New Roman" w:ascii="Times New Roman" w:hAnsi="Times New Roman"/>
          <w:sz w:val="26"/>
          <w:szCs w:val="26"/>
        </w:rPr>
        <w:t xml:space="preserve">J., </w:t>
      </w:r>
      <w:r>
        <w:rPr>
          <w:rFonts w:cs="Arial" w:ascii="Arial" w:hAnsi="Arial"/>
          <w:sz w:val="24"/>
          <w:szCs w:val="24"/>
        </w:rPr>
        <w:t>Faye, M., Lambert, D., Ibro,G.,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Moussa, B., Kergna, A., Kushwaha, S., Mussa, S., Ntoukam, G., 2003. Cowpea</w:t>
      </w:r>
    </w:p>
    <w:p>
      <w:pPr>
        <w:pStyle w:val="Normal"/>
        <w:spacing w:lineRule="auto" w:line="240" w:before="0" w:after="0"/>
        <w:rPr>
          <w:rFonts w:ascii="Arial" w:hAnsi="Arial" w:cs="Arial"/>
          <w:sz w:val="25"/>
          <w:szCs w:val="25"/>
        </w:rPr>
      </w:pPr>
      <w:r>
        <w:rPr>
          <w:rFonts w:cs="Arial" w:ascii="Arial" w:hAnsi="Arial"/>
          <w:sz w:val="24"/>
          <w:szCs w:val="24"/>
        </w:rPr>
        <w:t xml:space="preserve">supply and demand in West, and Central Africa. In : Peter H. Graham., Anthony </w:t>
      </w:r>
      <w:r>
        <w:rPr>
          <w:rFonts w:cs="Arial" w:ascii="Arial" w:hAnsi="Arial"/>
          <w:sz w:val="25"/>
          <w:szCs w:val="25"/>
        </w:rPr>
        <w:t>E.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3"/>
          <w:szCs w:val="23"/>
        </w:rPr>
        <w:t xml:space="preserve">Hall., </w:t>
      </w:r>
      <w:r>
        <w:rPr>
          <w:rFonts w:cs="Arial" w:ascii="Arial" w:hAnsi="Arial"/>
          <w:sz w:val="24"/>
          <w:szCs w:val="24"/>
        </w:rPr>
        <w:t>Dernot P. Cogne. (Eds), Field crops Research.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Quin, F. M., 1997. Introduction. In: Advances in Cowpea Research- Singh, B. B.,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Mohan Raj, Dashiell, </w:t>
      </w:r>
      <w:r>
        <w:rPr>
          <w:rFonts w:cs="Times New Roman" w:ascii="Times New Roman" w:hAnsi="Times New Roman"/>
          <w:sz w:val="25"/>
          <w:szCs w:val="25"/>
        </w:rPr>
        <w:t xml:space="preserve">K. </w:t>
      </w:r>
      <w:r>
        <w:rPr>
          <w:rFonts w:cs="Arial" w:ascii="Arial" w:hAnsi="Arial"/>
          <w:sz w:val="24"/>
          <w:szCs w:val="24"/>
        </w:rPr>
        <w:t xml:space="preserve">E. et Jackai, </w:t>
      </w:r>
      <w:r>
        <w:rPr>
          <w:rFonts w:cs="Arial" w:ascii="Arial" w:hAnsi="Arial"/>
          <w:sz w:val="23"/>
          <w:szCs w:val="23"/>
        </w:rPr>
        <w:t xml:space="preserve">L. </w:t>
      </w:r>
      <w:r>
        <w:rPr>
          <w:rFonts w:cs="Arial" w:ascii="Arial" w:hAnsi="Arial"/>
          <w:sz w:val="24"/>
          <w:szCs w:val="24"/>
        </w:rPr>
        <w:t>E. N. (eds)- 375p.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Page 19 :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 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Récupéré dans DEA_ZONGO_2013</w:t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Thiombiano L. (2000) : </w:t>
      </w:r>
      <w:r>
        <w:rPr>
          <w:sz w:val="23"/>
          <w:szCs w:val="23"/>
        </w:rPr>
        <w:t>Etude de l’importance des facteurs édaphiques et pédo-paysagiques dans le développement de la désertification en zone sahélienne du Burkina Faso. Thèse d’Etat, volume 1, 209p.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b/>
          <w:bCs/>
          <w:sz w:val="23"/>
          <w:szCs w:val="23"/>
        </w:rPr>
        <w:t xml:space="preserve">PANA (2003) </w:t>
      </w:r>
      <w:r>
        <w:rPr>
          <w:sz w:val="23"/>
          <w:szCs w:val="23"/>
        </w:rPr>
        <w:t>: Synthèse des études de vulnérabilité et d’adaptation aux changements climatiques : étude de cas du Burkina Faso. Etapes 3, 4 et 5 du processus NAPA. Atelier de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  <w:t>formation sur les Programmes d’Action Nationaux pour l’Adaptation (PANA) Ouagadougou, Burkina Faso 28 – 31 octobre 2003.Groupe d’experts PANA du Burkina Faso.11p.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INERA (2003) : </w:t>
      </w:r>
      <w:r>
        <w:rPr>
          <w:sz w:val="23"/>
          <w:szCs w:val="23"/>
        </w:rPr>
        <w:t>Recherche sur des technologies de lutte contre la désertification au sahel et étude de leur impact agro écologique. Département GRN/SP. 91 pp.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SP CONEDD (2006) </w:t>
      </w:r>
      <w:r>
        <w:rPr>
          <w:sz w:val="23"/>
          <w:szCs w:val="23"/>
        </w:rPr>
        <w:t>: Revue scientifique sur l’état de la dégradation des sols du Burkina Faso. Etude réalisée dans le cadre du programme de gestion durable des terres. 16p.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Traoré K. et Toé A. M. (2008) : </w:t>
      </w:r>
      <w:r>
        <w:rPr>
          <w:sz w:val="23"/>
          <w:szCs w:val="23"/>
        </w:rPr>
        <w:t>Capitalisation des initiatives sur les bonnes pratiques agricoles au Burkina Faso. DVRD/DPV/MAHRH. 99p</w:t>
      </w:r>
      <w:r>
        <w:rPr>
          <w:b/>
          <w:bCs/>
          <w:sz w:val="23"/>
          <w:szCs w:val="23"/>
        </w:rPr>
        <w:t>.</w:t>
      </w:r>
    </w:p>
    <w:p>
      <w:pPr>
        <w:pStyle w:val="Normal"/>
        <w:spacing w:lineRule="auto" w:line="240" w:before="0" w:after="0"/>
        <w:rPr>
          <w:b/>
          <w:b/>
          <w:bCs/>
          <w:sz w:val="23"/>
          <w:szCs w:val="23"/>
        </w:rPr>
      </w:pPr>
      <w:r>
        <w:rPr>
          <w:b/>
          <w:bCs/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Berger M., Dakuo D. et Hien V., 1991. </w:t>
      </w:r>
      <w:r>
        <w:rPr>
          <w:sz w:val="23"/>
          <w:szCs w:val="23"/>
        </w:rPr>
        <w:t>Recherche d’accompagnement projet motorisation intermédiaire, Rapport de synthèse INERA/ Programme coton, Multigr., 67p.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>Roose E. (2004</w:t>
      </w:r>
      <w:r>
        <w:rPr>
          <w:sz w:val="23"/>
          <w:szCs w:val="23"/>
        </w:rPr>
        <w:t xml:space="preserve">) : La zone soudano-sahélienne (La gestion conservatoire de l’eau, et de la fertilité des sols : une stratégie nouvelle de la lutte antiérosive pour le développement durable).sciences et changements planétaires / Sécheresse, john-libbey-eurotext.fr ; </w:t>
      </w:r>
      <w:r>
        <w:rPr>
          <w:b/>
          <w:bCs/>
          <w:sz w:val="23"/>
          <w:szCs w:val="23"/>
        </w:rPr>
        <w:t>15</w:t>
      </w:r>
      <w:r>
        <w:rPr>
          <w:sz w:val="23"/>
          <w:szCs w:val="23"/>
        </w:rPr>
        <w:t>(1), 5-7.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  <w:t>Page 20 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Zombré, N.P. (2006) : </w:t>
      </w:r>
      <w:r>
        <w:rPr>
          <w:sz w:val="23"/>
          <w:szCs w:val="23"/>
        </w:rPr>
        <w:t>Evolution de l’occupation des terres et localisation des sols nus dans le Centre Nord du Burkina Faso. Télédétection, 2006, vol. 5, n°4, pp 285-297.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  <w:t>Page 22 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Jensen E.S. (1996): </w:t>
      </w:r>
      <w:r>
        <w:rPr>
          <w:sz w:val="23"/>
          <w:szCs w:val="23"/>
        </w:rPr>
        <w:t>Grain yield, symbiotic N</w:t>
      </w:r>
      <w:r>
        <w:rPr>
          <w:sz w:val="16"/>
          <w:szCs w:val="16"/>
        </w:rPr>
        <w:t xml:space="preserve">2 </w:t>
      </w:r>
      <w:r>
        <w:rPr>
          <w:sz w:val="23"/>
          <w:szCs w:val="23"/>
        </w:rPr>
        <w:t xml:space="preserve">fixation and interspecific competition for inorganic N in peabarley intercrops. </w:t>
      </w:r>
      <w:r>
        <w:rPr>
          <w:i/>
          <w:iCs/>
          <w:sz w:val="23"/>
          <w:szCs w:val="23"/>
        </w:rPr>
        <w:t xml:space="preserve">Plant Soil, </w:t>
      </w:r>
      <w:r>
        <w:rPr>
          <w:sz w:val="23"/>
          <w:szCs w:val="23"/>
        </w:rPr>
        <w:t>182: 25-38.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Bedoussac L. and Justes E. (2010): </w:t>
      </w:r>
      <w:r>
        <w:rPr>
          <w:sz w:val="23"/>
          <w:szCs w:val="23"/>
        </w:rPr>
        <w:t xml:space="preserve">The efficiency of a durum wheat-winter pea intercrop to improve yield and wheat grain protein concentration depends on N availability during early growth. </w:t>
      </w:r>
      <w:r>
        <w:rPr>
          <w:i/>
          <w:iCs/>
          <w:sz w:val="23"/>
          <w:szCs w:val="23"/>
        </w:rPr>
        <w:t>Plant and Soil</w:t>
      </w:r>
      <w:r>
        <w:rPr>
          <w:sz w:val="23"/>
          <w:szCs w:val="23"/>
        </w:rPr>
        <w:t>; 330(1):19-35.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Altieri M. (1999): </w:t>
      </w:r>
      <w:r>
        <w:rPr>
          <w:sz w:val="23"/>
          <w:szCs w:val="23"/>
        </w:rPr>
        <w:t xml:space="preserve">The ecological role of biodiversity in agroecosystems. </w:t>
      </w:r>
      <w:r>
        <w:rPr>
          <w:i/>
          <w:iCs/>
          <w:sz w:val="23"/>
          <w:szCs w:val="23"/>
        </w:rPr>
        <w:t>Agric. Ecosyst. Environ</w:t>
      </w:r>
      <w:r>
        <w:rPr>
          <w:sz w:val="23"/>
          <w:szCs w:val="23"/>
        </w:rPr>
        <w:t>. 74:19-31.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Hauggaard-Nielsen H., Ambus P. and Jensen E. S. (2001): </w:t>
      </w:r>
      <w:r>
        <w:rPr>
          <w:sz w:val="23"/>
          <w:szCs w:val="23"/>
        </w:rPr>
        <w:t xml:space="preserve">Interspecific competition, N use and interference with weeds in pea-barley intercropping. </w:t>
      </w:r>
      <w:r>
        <w:rPr>
          <w:i/>
          <w:iCs/>
          <w:sz w:val="23"/>
          <w:szCs w:val="23"/>
        </w:rPr>
        <w:t>Field Crops Res</w:t>
      </w:r>
      <w:r>
        <w:rPr>
          <w:sz w:val="23"/>
          <w:szCs w:val="23"/>
        </w:rPr>
        <w:t>. 70:101-109.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Zougmoré R., Kamboun F., Outtara K. et Guillobez S. (1998) : </w:t>
      </w:r>
      <w:r>
        <w:rPr>
          <w:sz w:val="23"/>
          <w:szCs w:val="23"/>
        </w:rPr>
        <w:t>L'association culturale sorgho–niébé pour prévenir le ruissellement et l'érosion dans le Sahel au Burkina Faso : dans plantes de couvertures en Afrique de l’ouest, une contribution à l’agriculture durable ; SASSAKAWA 2000. pp : 217-224 ;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Anil L., Park J., Phipps R. H. and Miller F. A. (1998): </w:t>
      </w:r>
      <w:r>
        <w:rPr>
          <w:sz w:val="23"/>
          <w:szCs w:val="23"/>
        </w:rPr>
        <w:t xml:space="preserve">Temperate intercropping of cereals for forage: a review of the potential for growth and utilization with particular reference to the UK. </w:t>
      </w:r>
      <w:r>
        <w:rPr>
          <w:i/>
          <w:iCs/>
          <w:sz w:val="23"/>
          <w:szCs w:val="23"/>
        </w:rPr>
        <w:t>Grass Forage Sci</w:t>
      </w:r>
      <w:r>
        <w:rPr>
          <w:sz w:val="23"/>
          <w:szCs w:val="23"/>
        </w:rPr>
        <w:t>. 53:301-317.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Corre-Hellou G. (2005): </w:t>
      </w:r>
      <w:r>
        <w:rPr>
          <w:sz w:val="23"/>
          <w:szCs w:val="23"/>
        </w:rPr>
        <w:t>Acquisition de l'azote dans des associations pois-orge (</w:t>
      </w:r>
      <w:r>
        <w:rPr>
          <w:i/>
          <w:iCs/>
          <w:sz w:val="23"/>
          <w:szCs w:val="23"/>
        </w:rPr>
        <w:t>Pisum sativum L</w:t>
      </w:r>
      <w:r>
        <w:rPr>
          <w:sz w:val="23"/>
          <w:szCs w:val="23"/>
        </w:rPr>
        <w:t>.-</w:t>
      </w:r>
      <w:r>
        <w:rPr>
          <w:i/>
          <w:iCs/>
          <w:sz w:val="23"/>
          <w:szCs w:val="23"/>
        </w:rPr>
        <w:t>Hordeum vulgare L.</w:t>
      </w:r>
      <w:r>
        <w:rPr>
          <w:sz w:val="23"/>
          <w:szCs w:val="23"/>
        </w:rPr>
        <w:t>) en relation avec le fonctionnement du peuplement. Thèse de doctorat, Université d'Angers, Angers, France. pp.100.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Lithourgidis A. S., Vasilakoglou I. B., Dhima K. V., Dordas C. A. and Yiakoulaki M. D. (2006): </w:t>
      </w:r>
      <w:r>
        <w:rPr>
          <w:sz w:val="23"/>
          <w:szCs w:val="23"/>
        </w:rPr>
        <w:t xml:space="preserve">Forage yield and quality of common vetch mixtures with oat and triticale in two seeding ratios. </w:t>
      </w:r>
      <w:r>
        <w:rPr>
          <w:i/>
          <w:iCs/>
          <w:sz w:val="23"/>
          <w:szCs w:val="23"/>
        </w:rPr>
        <w:t>Field Crops Res</w:t>
      </w:r>
      <w:r>
        <w:rPr>
          <w:sz w:val="23"/>
          <w:szCs w:val="23"/>
        </w:rPr>
        <w:t>. 99:106-113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Chu G. X., Shen Q. R. and Cao J. L. (2004): </w:t>
      </w:r>
      <w:r>
        <w:rPr>
          <w:sz w:val="23"/>
          <w:szCs w:val="23"/>
        </w:rPr>
        <w:t xml:space="preserve">Nitrogen fixation and N transfer from peanut to rice cultivated in aerobic soil in an intercropping system and its effect on soil N fertility. </w:t>
      </w:r>
      <w:r>
        <w:rPr>
          <w:i/>
          <w:iCs/>
          <w:sz w:val="23"/>
          <w:szCs w:val="23"/>
        </w:rPr>
        <w:t xml:space="preserve">Plant and Soil, </w:t>
      </w:r>
      <w:r>
        <w:rPr>
          <w:sz w:val="23"/>
          <w:szCs w:val="23"/>
        </w:rPr>
        <w:t>263: 17–27.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/>
      </w:pPr>
      <w:r>
        <w:rPr>
          <w:b/>
          <w:bCs/>
          <w:sz w:val="23"/>
          <w:szCs w:val="23"/>
        </w:rPr>
        <w:t>Tsubo M., Walker S. and Ogindo H.O. (2005)</w:t>
      </w:r>
      <w:r>
        <w:rPr>
          <w:sz w:val="23"/>
          <w:szCs w:val="23"/>
        </w:rPr>
        <w:t xml:space="preserve">: A simulation model of cereal–legume intercropping systems for semi-arid regions: I. Model development. </w:t>
      </w:r>
      <w:r>
        <w:rPr>
          <w:i/>
          <w:iCs/>
          <w:sz w:val="23"/>
          <w:szCs w:val="23"/>
        </w:rPr>
        <w:t>Field Crops Research Volume 93, Issue 1</w:t>
      </w:r>
      <w:r>
        <w:rPr>
          <w:sz w:val="23"/>
          <w:szCs w:val="23"/>
        </w:rPr>
        <w:t>, pp: 10-22.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Page 25 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Fustec J. et Corre-Hellou G. (2009) : Les associations annuelles céréales-protéagineux :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quels potentiels agronomique et environnemental? Colloque régional ‘Agriculture et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Biodiversité’. Pp : 11-14.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Burity H.A., TA T.C. Faris M.A. and Coulman B.E. (1989): Estimation of nitrogen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fixation and transfer from alfalfa to associated grasses in mixed swards under field conditions.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Plant and Soil 114, 249-255.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Trenbath B. R. (1976): Plant interaction in mixed crop communities. In: PAPENDICK, R. I.;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SANCHES, P. A.; TRIPLETT, G. B. (Ed.). Multiple cropping. Madison: American Society of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Agronomy, pp: 129-169.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Makoi J. H. J. R. and Ndakidem P. A. (2009): The agronomic potential of vesicular-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arbuscular mycorrhiza (VAM) in cereals– legume mixtures in Africa. African Journal of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Microbiology Research Vol. 3(11) pp: 664-675.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Bado B. V., Bationo. A. and Cescas M. P. (2006): Assessment of cowpea and groundnut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contributions to soil fertility and succeeding sorghum yields in the Guinean savannah zone of</w:t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Burkina Faso (West Africa). Biol. Fertil. Soils 43: 171–176.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sz w:val="23"/>
          <w:szCs w:val="23"/>
        </w:rPr>
        <w:t>***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  <w:t>Pge11 :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  <w:t>Récupérée vers l’url de la webographie 17</w:t>
      </w:r>
    </w:p>
    <w:p>
      <w:pPr>
        <w:pStyle w:val="Normal"/>
        <w:spacing w:lineRule="auto" w:line="240" w:before="0" w:after="0"/>
        <w:rPr>
          <w:sz w:val="23"/>
          <w:szCs w:val="23"/>
        </w:rPr>
      </w:pPr>
      <w:r>
        <w:rPr>
          <w:sz w:val="23"/>
          <w:szCs w:val="23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Style w:val="Strong"/>
          <w:rFonts w:cs="Arial" w:ascii="Arial" w:hAnsi="Arial"/>
          <w:b w:val="false"/>
          <w:color w:val="000000"/>
          <w:sz w:val="24"/>
          <w:szCs w:val="24"/>
        </w:rPr>
        <w:t>CHANTEREAU J. et NICOU R., 1991</w:t>
      </w:r>
      <w:r>
        <w:rPr>
          <w:rFonts w:cs="Arial" w:ascii="Arial" w:hAnsi="Arial"/>
          <w:b/>
          <w:color w:val="000000"/>
          <w:sz w:val="24"/>
          <w:szCs w:val="24"/>
        </w:rPr>
        <w:t>. Le Sorgho. </w:t>
      </w:r>
      <w:r>
        <w:rPr>
          <w:rStyle w:val="Accentuation"/>
          <w:rFonts w:cs="Arial" w:ascii="Arial" w:hAnsi="Arial"/>
          <w:b/>
          <w:color w:val="000000"/>
          <w:sz w:val="24"/>
          <w:szCs w:val="24"/>
        </w:rPr>
        <w:t>Maisonneuve &amp; Larose</w:t>
      </w:r>
      <w:r>
        <w:rPr>
          <w:rFonts w:cs="Arial" w:ascii="Arial" w:hAnsi="Arial"/>
          <w:b/>
          <w:color w:val="000000"/>
          <w:sz w:val="24"/>
          <w:szCs w:val="24"/>
        </w:rPr>
        <w:t>, France, 159 p.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color w:val="000000"/>
          <w:sz w:val="24"/>
          <w:szCs w:val="24"/>
        </w:rPr>
      </w:pPr>
      <w:r>
        <w:rPr>
          <w:rFonts w:cs="Arial" w:ascii="Arial" w:hAnsi="Arial"/>
          <w:b/>
          <w:color w:val="000000"/>
          <w:sz w:val="24"/>
          <w:szCs w:val="24"/>
        </w:rPr>
      </w:r>
    </w:p>
    <w:p>
      <w:pPr>
        <w:pStyle w:val="Normal"/>
        <w:spacing w:lineRule="auto" w:line="240" w:before="0" w:after="0"/>
        <w:rPr>
          <w:b/>
          <w:b/>
          <w:sz w:val="24"/>
          <w:szCs w:val="24"/>
        </w:rPr>
      </w:pPr>
      <w:bookmarkStart w:id="0" w:name="_GoBack"/>
      <w:bookmarkStart w:id="1" w:name="_GoBack"/>
      <w:bookmarkEnd w:id="1"/>
      <w:r>
        <w:rPr>
          <w:b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Web"/>
        <w:spacing w:lineRule="auto" w:line="259" w:before="0" w:after="159"/>
        <w:rPr/>
      </w:pPr>
      <w:r>
        <w:rPr/>
        <w:t>Webographie</w:t>
      </w:r>
    </w:p>
    <w:p>
      <w:pPr>
        <w:pStyle w:val="NormalWeb"/>
        <w:spacing w:lineRule="auto" w:line="240" w:before="0" w:after="0"/>
        <w:rPr/>
      </w:pPr>
      <w:r>
        <w:rPr>
          <w:vertAlign w:val="superscript"/>
        </w:rPr>
        <w:t>1</w:t>
      </w:r>
      <w:r>
        <w:rPr>
          <w:color w:val="000000"/>
          <w:vertAlign w:val="superscript"/>
        </w:rPr>
        <w:t xml:space="preserve"> </w:t>
      </w:r>
      <w:hyperlink r:id="rId2">
        <w:r>
          <w:rPr>
            <w:rStyle w:val="LienInternet"/>
            <w:color w:val="000000"/>
            <w:u w:val="none"/>
          </w:rPr>
          <w:t>https://fr.wikipedia.org/wiki/Agriculture_au_Burkina_Faso</w:t>
        </w:r>
      </w:hyperlink>
    </w:p>
    <w:p>
      <w:pPr>
        <w:pStyle w:val="NormalWeb"/>
        <w:spacing w:lineRule="auto" w:line="240" w:before="0" w:after="0"/>
        <w:rPr/>
      </w:pPr>
      <w:r>
        <w:rPr/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 xml:space="preserve">2 </w:t>
      </w:r>
      <w:r>
        <w:rPr/>
        <w:t>fr.wikipedia.org/wiki/Agriculture_au_Burkina_Faso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3</w:t>
      </w:r>
      <w:hyperlink r:id="rId3">
        <w:r>
          <w:rPr>
            <w:rStyle w:val="LienInternet"/>
            <w:color w:val="000000"/>
            <w:u w:val="none"/>
          </w:rPr>
          <w:t>https://www.afdb.org/fr/countries/west-africa/burkina-faso/burkina-faso-economic-outlook/</w:t>
        </w:r>
      </w:hyperlink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4</w:t>
      </w:r>
      <w:r>
        <w:rPr>
          <w:shd w:fill="FFFFFF" w:val="clear"/>
        </w:rPr>
        <w:t>http://www.gnis-pedagogie.org/sorgho-intro-caracteristiques-plante.html</w:t>
      </w:r>
    </w:p>
    <w:p>
      <w:pPr>
        <w:pStyle w:val="NormalWeb"/>
        <w:spacing w:lineRule="auto" w:line="240" w:before="0" w:after="0"/>
        <w:rPr/>
      </w:pPr>
      <w:r>
        <w:rPr>
          <w:vertAlign w:val="superscript"/>
        </w:rPr>
        <w:t>5</w:t>
      </w:r>
      <w:r>
        <w:rPr/>
        <w:t xml:space="preserve"> https://books.google.sn/books?id=3RFaAgAAQBAJ&amp;pg=PA16&amp;lpg=PA16&amp;dq=sorgho+botanique&amp;source=bl&amp;ots=00CcJJ96PK&amp;sig=QVuYL1AdbFVLs8ewE2B_2Gau_to&amp;hl=fr&amp;sa=X&amp;ved=0ahUKEwjvv7rm2evYAhWBtBQKHekaBpkQ6AEIajAP#v=onepage&amp;q=sorgho%20botanique&amp;f=false</w:t>
      </w:r>
    </w:p>
    <w:p>
      <w:pPr>
        <w:pStyle w:val="NormalWeb"/>
        <w:spacing w:lineRule="auto" w:line="240" w:before="0" w:after="0"/>
        <w:rPr/>
      </w:pPr>
      <w:r>
        <w:rPr/>
      </w:r>
    </w:p>
    <w:p>
      <w:pPr>
        <w:pStyle w:val="NormalWeb"/>
        <w:spacing w:lineRule="auto" w:line="240" w:before="0" w:after="0"/>
        <w:rPr/>
      </w:pPr>
      <w:r>
        <w:rPr>
          <w:vertAlign w:val="superscript"/>
        </w:rPr>
        <w:t>6</w:t>
      </w:r>
      <w:r>
        <w:rPr/>
        <w:t xml:space="preserve"> https://fr.wikipedia.org/wiki/Poaceae</w:t>
      </w:r>
    </w:p>
    <w:p>
      <w:pPr>
        <w:pStyle w:val="NormalWeb"/>
        <w:spacing w:lineRule="auto" w:line="240" w:before="0" w:after="0"/>
        <w:rPr/>
      </w:pPr>
      <w:r>
        <w:rPr/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7</w:t>
      </w:r>
      <w:r>
        <w:rPr/>
        <w:t>https://jardinage.ooreka.fr/plante/voir/2001/sorgho</w:t>
      </w:r>
    </w:p>
    <w:p>
      <w:pPr>
        <w:pStyle w:val="NormalWeb"/>
        <w:spacing w:lineRule="auto" w:line="240" w:before="0" w:after="0"/>
        <w:rPr/>
      </w:pPr>
      <w:r>
        <w:rPr>
          <w:vertAlign w:val="superscript"/>
        </w:rPr>
        <w:t>8</w:t>
      </w:r>
      <w:r>
        <w:rPr>
          <w:color w:val="000000"/>
        </w:rPr>
        <w:t>https://fr.wikipedia.org/wiki/Fixation_du_carbone_en_C4</w:t>
      </w:r>
    </w:p>
    <w:p>
      <w:pPr>
        <w:pStyle w:val="NormalWeb"/>
        <w:spacing w:lineRule="auto" w:line="240" w:before="0" w:after="0"/>
        <w:rPr/>
      </w:pPr>
      <w:r>
        <w:rPr/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9</w:t>
      </w:r>
      <w:r>
        <w:rPr/>
        <w:t xml:space="preserve"> https://fr.wikipedia.org/wiki/Vertisol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10</w:t>
      </w:r>
      <w:r>
        <w:rPr/>
        <w:t>http://www.bioactualites.ch/fileadmin/documents/bafr/production-vegetale/grandes-cultures/4.5.11-73_Mais.pdf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11</w:t>
      </w:r>
      <w:r>
        <w:rPr/>
        <w:t>http://www.inspection.gc.ca/vegetaux/vegetaux-a-caracteres-nouveaux/demandeurs/directive-94-08/documents-sur-la-biologie/sorghum-bicolor-l-moench/fra/1490144063487/1490144119854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12</w:t>
      </w:r>
      <w:r>
        <w:rPr/>
        <w:t>http://www.memoireonline.com/01/14/8569/m_Contribution--l-etude-des-contraintes-de-stockage-des-cereales-mil-mas-sorgho-en-zone-sud-s8.html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13</w:t>
      </w:r>
      <w:r>
        <w:rPr/>
        <w:t>http://www.memoireonline.com/01/16/9362/m_Etude-de-la-diversite-agro-morphologique-du-sorgho-et-identification-de-cultivars-tolerants-au-str11.html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14</w:t>
      </w:r>
      <w:r>
        <w:rPr/>
        <w:t>https://www.doc-developpement-durable.org/file/Culture-plantes-alimentaires/FICHES_PLANTES/niebe/Le-ni%C3%A9b%C3%A9-010012937.pdf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15</w:t>
      </w:r>
      <w:r>
        <w:rPr/>
        <w:t>http://hydrologie.org/redbooks/a199/iahs_199_0217.pdf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 xml:space="preserve">16 </w:t>
      </w:r>
      <w:r>
        <w:rPr/>
        <w:t>http://eusoils.jrc.ec.europa.eu/Esdb_Archive/EuDASM/Africa/maps/afr_cpr_ha(cs).htm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17</w:t>
      </w:r>
      <w:r>
        <w:rPr>
          <w:color w:val="000000"/>
        </w:rPr>
        <w:t>http://www.fao.org/ag/agp/agpc/doc/counprof/burkinafaso/burkinaffrench.htm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18</w:t>
      </w:r>
      <w:r>
        <w:rPr>
          <w:color w:val="000000"/>
        </w:rPr>
        <w:t>http://www.jle.com/fr/revues/sec/e-docs/bois_de_feu_et_deboisement_au_sahel_mise_au_point_265802/article.phtml?tab=texte</w:t>
      </w:r>
    </w:p>
    <w:p>
      <w:pPr>
        <w:pStyle w:val="NormalWeb"/>
        <w:spacing w:lineRule="auto" w:line="259" w:before="0" w:after="159"/>
        <w:rPr/>
      </w:pPr>
      <w:r>
        <w:rPr>
          <w:vertAlign w:val="superscript"/>
        </w:rPr>
        <w:t>19</w:t>
      </w:r>
      <w:r>
        <w:rPr>
          <w:color w:val="000000"/>
        </w:rPr>
        <w:t>http://archives-fig-st-die.cndp.fr/actes/actes_2007/bret/article.htm</w:t>
      </w:r>
    </w:p>
    <w:p>
      <w:pPr>
        <w:pStyle w:val="NormalWeb"/>
        <w:spacing w:lineRule="auto" w:line="259" w:before="0" w:after="240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Lien Internet"/>
    <w:basedOn w:val="DefaultParagraphFont"/>
    <w:uiPriority w:val="99"/>
    <w:semiHidden/>
    <w:unhideWhenUsed/>
    <w:rsid w:val="009631ac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505c9d"/>
    <w:rPr>
      <w:b/>
      <w:bCs/>
    </w:rPr>
  </w:style>
  <w:style w:type="character" w:styleId="Accentuation">
    <w:name w:val="Accentuation"/>
    <w:basedOn w:val="DefaultParagraphFont"/>
    <w:uiPriority w:val="20"/>
    <w:qFormat/>
    <w:rsid w:val="00505c9d"/>
    <w:rPr>
      <w:i/>
      <w:iCs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AR PL SungtiL GB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9631ac"/>
    <w:pPr>
      <w:spacing w:lineRule="auto" w:line="288" w:beforeAutospacing="1" w:after="142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r.wikipedia.org/wiki/Agriculture_au_Burkina_Faso" TargetMode="External"/><Relationship Id="rId3" Type="http://schemas.openxmlformats.org/officeDocument/2006/relationships/hyperlink" Target="https://www.afdb.org/fr/countries/west-africa/burkina-faso/burkina-faso-economic-outlook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Application>LibreOffice/5.2.7.2$Linux_X86_64 LibreOffice_project/20m0$Build-2</Application>
  <Pages>5</Pages>
  <Words>1152</Words>
  <Characters>7943</Characters>
  <CharactersWithSpaces>8991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2018-05-26T15:32:00Z</dcterms:created>
  <dc:creator>mary AZA-GNANDJI</dc:creator>
  <dc:description/>
  <dc:language>fr-FR</dc:language>
  <cp:lastModifiedBy/>
  <dcterms:modified xsi:type="dcterms:W3CDTF">2018-05-29T16:51:45Z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