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F0C1" w14:textId="49FB4C9D" w:rsidR="00C51C2C" w:rsidRDefault="00C51C2C" w:rsidP="00C51C2C">
      <w:pPr>
        <w:jc w:val="center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Wbal</w:t>
      </w:r>
      <w:proofErr w:type="spellEnd"/>
      <w:r>
        <w:rPr>
          <w:b/>
          <w:bCs/>
          <w:lang w:val="fr-FR"/>
        </w:rPr>
        <w:t xml:space="preserve"> Model</w:t>
      </w:r>
    </w:p>
    <w:p w14:paraId="2FED4517" w14:textId="77777777" w:rsidR="00C51C2C" w:rsidRDefault="00C51C2C" w:rsidP="00C51C2C">
      <w:pPr>
        <w:jc w:val="center"/>
        <w:rPr>
          <w:b/>
          <w:bCs/>
          <w:lang w:val="fr-FR"/>
        </w:rPr>
      </w:pPr>
    </w:p>
    <w:p w14:paraId="21E34B97" w14:textId="77777777" w:rsidR="00C51C2C" w:rsidRDefault="00C51C2C" w:rsidP="00C51C2C">
      <w:pPr>
        <w:jc w:val="center"/>
        <w:rPr>
          <w:b/>
          <w:bCs/>
          <w:lang w:val="fr-FR"/>
        </w:rPr>
      </w:pPr>
    </w:p>
    <w:p w14:paraId="177AB02E" w14:textId="3D0CAFA5" w:rsidR="00C51C2C" w:rsidRDefault="00C51C2C" w:rsidP="00C51C2C">
      <w:pPr>
        <w:rPr>
          <w:b/>
          <w:bCs/>
          <w:u w:val="single"/>
          <w:lang w:val="fr-FR"/>
        </w:rPr>
      </w:pPr>
      <w:r w:rsidRPr="00C51C2C">
        <w:rPr>
          <w:b/>
          <w:bCs/>
          <w:u w:val="single"/>
          <w:lang w:val="fr-FR"/>
        </w:rPr>
        <w:t>CP – W’ Model</w:t>
      </w:r>
    </w:p>
    <w:p w14:paraId="7C2FF160" w14:textId="77777777" w:rsidR="00C51C2C" w:rsidRDefault="00C51C2C" w:rsidP="00C51C2C">
      <w:pPr>
        <w:rPr>
          <w:b/>
          <w:bCs/>
          <w:u w:val="single"/>
          <w:lang w:val="fr-FR"/>
        </w:rPr>
      </w:pPr>
    </w:p>
    <w:p w14:paraId="1950500A" w14:textId="00142AFE" w:rsidR="00C51C2C" w:rsidRDefault="00C51C2C" w:rsidP="00C51C2C">
      <w:pPr>
        <w:pStyle w:val="NormalWeb"/>
      </w:pPr>
      <w:r>
        <w:rPr>
          <w:rFonts w:ascii="URWPalladioL" w:hAnsi="URWPalladioL"/>
          <w:sz w:val="20"/>
          <w:szCs w:val="20"/>
        </w:rPr>
        <w:t xml:space="preserve">CP is arguably the “best” measure of a maximum steady state of predominantly aerobic </w:t>
      </w:r>
      <w:proofErr w:type="gramStart"/>
      <w:r>
        <w:rPr>
          <w:rFonts w:ascii="URWPalladioL" w:hAnsi="URWPalladioL"/>
          <w:sz w:val="20"/>
          <w:szCs w:val="20"/>
        </w:rPr>
        <w:t>metabolism</w:t>
      </w:r>
      <w:proofErr w:type="gramEnd"/>
      <w:r>
        <w:rPr>
          <w:rFonts w:ascii="URWPalladioL" w:hAnsi="URWPalladioL"/>
          <w:sz w:val="20"/>
          <w:szCs w:val="20"/>
        </w:rPr>
        <w:t xml:space="preserve"> </w:t>
      </w:r>
    </w:p>
    <w:p w14:paraId="49506601" w14:textId="5B000A45" w:rsidR="00C51C2C" w:rsidRDefault="00C51C2C" w:rsidP="00C51C2C">
      <w:pPr>
        <w:pStyle w:val="NormalWeb"/>
        <w:rPr>
          <w:rFonts w:ascii="URWPalladioL" w:hAnsi="URWPalladioL"/>
          <w:position w:val="-4"/>
          <w:sz w:val="16"/>
          <w:szCs w:val="16"/>
        </w:rPr>
      </w:pPr>
      <w:r>
        <w:rPr>
          <w:rFonts w:ascii="URWPalladioL" w:hAnsi="URWPalladioL"/>
          <w:sz w:val="20"/>
          <w:szCs w:val="20"/>
        </w:rPr>
        <w:t>W</w:t>
      </w:r>
      <w:r>
        <w:rPr>
          <w:rFonts w:ascii="Pxsy" w:hAnsi="Pxsy"/>
          <w:position w:val="8"/>
          <w:sz w:val="16"/>
          <w:szCs w:val="16"/>
        </w:rPr>
        <w:t xml:space="preserve">′ </w:t>
      </w:r>
      <w:r>
        <w:rPr>
          <w:rFonts w:ascii="URWPalladioL" w:hAnsi="URWPalladioL"/>
          <w:sz w:val="20"/>
          <w:szCs w:val="20"/>
        </w:rPr>
        <w:t>remains uncertain. Originally the parameter was described as a fixed energy reserve [</w:t>
      </w:r>
      <w:r>
        <w:rPr>
          <w:rFonts w:ascii="URWPalladioL" w:hAnsi="URWPalladioL"/>
          <w:color w:val="0772B5"/>
          <w:sz w:val="20"/>
          <w:szCs w:val="20"/>
        </w:rPr>
        <w:t>2</w:t>
      </w:r>
      <w:r>
        <w:rPr>
          <w:rFonts w:ascii="URWPalladioL" w:hAnsi="URWPalladioL"/>
          <w:sz w:val="20"/>
          <w:szCs w:val="20"/>
        </w:rPr>
        <w:t>], or anaerobic work capacity [</w:t>
      </w:r>
      <w:r>
        <w:rPr>
          <w:rFonts w:ascii="URWPalladioL" w:hAnsi="URWPalladioL"/>
          <w:color w:val="0772B5"/>
          <w:sz w:val="20"/>
          <w:szCs w:val="20"/>
        </w:rPr>
        <w:t>15</w:t>
      </w:r>
      <w:r>
        <w:rPr>
          <w:rFonts w:ascii="URWPalladioL" w:hAnsi="URWPalladioL"/>
          <w:sz w:val="20"/>
          <w:szCs w:val="20"/>
        </w:rPr>
        <w:t>], dependent upon oxygen stores within the muscle, high energy phosphates and anaerobic glycolysis [</w:t>
      </w:r>
      <w:r>
        <w:rPr>
          <w:rFonts w:ascii="URWPalladioL" w:hAnsi="URWPalladioL"/>
          <w:color w:val="0772B5"/>
          <w:sz w:val="20"/>
          <w:szCs w:val="20"/>
        </w:rPr>
        <w:t>3</w:t>
      </w:r>
      <w:r>
        <w:rPr>
          <w:rFonts w:ascii="URWPalladioL" w:hAnsi="URWPalladioL"/>
          <w:sz w:val="20"/>
          <w:szCs w:val="20"/>
        </w:rPr>
        <w:t>,</w:t>
      </w:r>
      <w:r>
        <w:rPr>
          <w:rFonts w:ascii="URWPalladioL" w:hAnsi="URWPalladioL"/>
          <w:color w:val="0772B5"/>
          <w:sz w:val="20"/>
          <w:szCs w:val="20"/>
        </w:rPr>
        <w:t>16</w:t>
      </w:r>
      <w:r>
        <w:rPr>
          <w:rFonts w:ascii="URWPalladioL" w:hAnsi="URWPalladioL"/>
          <w:sz w:val="20"/>
          <w:szCs w:val="20"/>
        </w:rPr>
        <w:t>]. That W</w:t>
      </w:r>
      <w:r>
        <w:rPr>
          <w:rFonts w:ascii="Pxsy" w:hAnsi="Pxsy"/>
          <w:position w:val="8"/>
          <w:sz w:val="16"/>
          <w:szCs w:val="16"/>
        </w:rPr>
        <w:t xml:space="preserve">′ </w:t>
      </w:r>
      <w:r>
        <w:rPr>
          <w:rFonts w:ascii="URWPalladioL" w:hAnsi="URWPalladioL"/>
          <w:sz w:val="20"/>
          <w:szCs w:val="20"/>
        </w:rPr>
        <w:t>is entirely anaerobic and independent of external oxygen availability is questionable following evidence of a reduction in W</w:t>
      </w:r>
      <w:r>
        <w:rPr>
          <w:rFonts w:ascii="Pxsy" w:hAnsi="Pxsy"/>
          <w:position w:val="8"/>
          <w:sz w:val="16"/>
          <w:szCs w:val="16"/>
        </w:rPr>
        <w:t xml:space="preserve">′ </w:t>
      </w:r>
      <w:r>
        <w:rPr>
          <w:rFonts w:ascii="URWPalladioL" w:hAnsi="URWPalladioL"/>
          <w:sz w:val="20"/>
          <w:szCs w:val="20"/>
        </w:rPr>
        <w:t>at high altitude [</w:t>
      </w:r>
      <w:r>
        <w:rPr>
          <w:rFonts w:ascii="URWPalladioL" w:hAnsi="URWPalladioL"/>
          <w:color w:val="0772B5"/>
          <w:sz w:val="20"/>
          <w:szCs w:val="20"/>
        </w:rPr>
        <w:t>17</w:t>
      </w:r>
      <w:r>
        <w:rPr>
          <w:rFonts w:ascii="URWPalladioL" w:hAnsi="URWPalladioL"/>
          <w:sz w:val="20"/>
          <w:szCs w:val="20"/>
        </w:rPr>
        <w:t>], and a reduction in W</w:t>
      </w:r>
      <w:r>
        <w:rPr>
          <w:rFonts w:ascii="Pxsy" w:hAnsi="Pxsy"/>
          <w:position w:val="8"/>
          <w:sz w:val="16"/>
          <w:szCs w:val="16"/>
        </w:rPr>
        <w:t xml:space="preserve">′ </w:t>
      </w:r>
      <w:r>
        <w:rPr>
          <w:rFonts w:ascii="URWPalladioL" w:hAnsi="URWPalladioL"/>
          <w:sz w:val="20"/>
          <w:szCs w:val="20"/>
        </w:rPr>
        <w:t xml:space="preserve">in hypoxia, with the latter being </w:t>
      </w:r>
      <w:r>
        <w:rPr>
          <w:rFonts w:ascii="URWPalladioL" w:hAnsi="URWPalladioL"/>
          <w:sz w:val="16"/>
          <w:szCs w:val="16"/>
        </w:rPr>
        <w:t xml:space="preserve">... </w:t>
      </w:r>
      <w:r>
        <w:rPr>
          <w:rFonts w:ascii="URWPalladioL" w:hAnsi="URWPalladioL"/>
          <w:sz w:val="20"/>
          <w:szCs w:val="20"/>
        </w:rPr>
        <w:t>correlated to a reduced delta between VO</w:t>
      </w:r>
      <w:r>
        <w:rPr>
          <w:rFonts w:ascii="URWPalladioL" w:hAnsi="URWPalladioL"/>
          <w:position w:val="-4"/>
          <w:sz w:val="16"/>
          <w:szCs w:val="16"/>
        </w:rPr>
        <w:t xml:space="preserve">2 </w:t>
      </w:r>
      <w:r>
        <w:rPr>
          <w:rFonts w:ascii="URWPalladioL" w:hAnsi="URWPalladioL"/>
          <w:sz w:val="20"/>
          <w:szCs w:val="20"/>
        </w:rPr>
        <w:t>at CP and VO</w:t>
      </w:r>
      <w:r>
        <w:rPr>
          <w:rFonts w:ascii="URWPalladioL" w:hAnsi="URWPalladioL"/>
          <w:position w:val="-4"/>
          <w:sz w:val="16"/>
          <w:szCs w:val="16"/>
        </w:rPr>
        <w:t xml:space="preserve">2max </w:t>
      </w:r>
    </w:p>
    <w:p w14:paraId="17F86B88" w14:textId="77777777" w:rsidR="00C51C2C" w:rsidRPr="00C51C2C" w:rsidRDefault="00C51C2C" w:rsidP="00C51C2C">
      <w:pPr>
        <w:pStyle w:val="NormalWeb"/>
        <w:rPr>
          <w:b/>
          <w:bCs/>
        </w:rPr>
      </w:pPr>
      <w:r w:rsidRPr="00C51C2C">
        <w:rPr>
          <w:rFonts w:ascii="URWPalladioL" w:hAnsi="URWPalladioL"/>
          <w:b/>
          <w:bCs/>
          <w:sz w:val="20"/>
          <w:szCs w:val="20"/>
        </w:rPr>
        <w:t>VO</w:t>
      </w:r>
      <w:r w:rsidRPr="00C51C2C">
        <w:rPr>
          <w:rFonts w:ascii="URWPalladioL" w:hAnsi="URWPalladioL"/>
          <w:b/>
          <w:bCs/>
          <w:position w:val="-4"/>
          <w:sz w:val="16"/>
          <w:szCs w:val="16"/>
        </w:rPr>
        <w:t xml:space="preserve">2 </w:t>
      </w:r>
      <w:r w:rsidRPr="00C51C2C">
        <w:rPr>
          <w:rFonts w:ascii="URWPalladioL" w:hAnsi="URWPalladioL"/>
          <w:b/>
          <w:bCs/>
          <w:sz w:val="20"/>
          <w:szCs w:val="20"/>
        </w:rPr>
        <w:t>“slow component” within the severe intensity domain have been shown to be determinants of W</w:t>
      </w:r>
      <w:r w:rsidRPr="00C51C2C">
        <w:rPr>
          <w:rFonts w:ascii="Pxsy" w:hAnsi="Pxsy"/>
          <w:b/>
          <w:bCs/>
          <w:position w:val="8"/>
          <w:sz w:val="16"/>
          <w:szCs w:val="16"/>
        </w:rPr>
        <w:t xml:space="preserve">′ </w:t>
      </w:r>
    </w:p>
    <w:p w14:paraId="54A17A64" w14:textId="77777777" w:rsidR="00C51C2C" w:rsidRDefault="00C51C2C" w:rsidP="00C51C2C">
      <w:pPr>
        <w:pStyle w:val="NormalWeb"/>
      </w:pPr>
    </w:p>
    <w:p w14:paraId="49ADA713" w14:textId="72086F26" w:rsidR="00C51C2C" w:rsidRDefault="00C51C2C" w:rsidP="00C51C2C">
      <w:pPr>
        <w:pStyle w:val="NormalWeb"/>
      </w:pPr>
      <w:r>
        <w:t xml:space="preserve">WHY </w:t>
      </w:r>
      <w:proofErr w:type="gramStart"/>
      <w:r>
        <w:t>we can’t</w:t>
      </w:r>
      <w:proofErr w:type="gramEnd"/>
      <w:r>
        <w:t xml:space="preserve"> deplete all the W’ during short term efforts?</w:t>
      </w:r>
    </w:p>
    <w:p w14:paraId="71314DB0" w14:textId="77777777" w:rsidR="00C51C2C" w:rsidRDefault="00C51C2C" w:rsidP="00C51C2C">
      <w:pPr>
        <w:pStyle w:val="NormalWeb"/>
      </w:pPr>
      <w:r>
        <w:rPr>
          <w:rFonts w:ascii="Calibri" w:hAnsi="Calibri" w:cs="Calibri"/>
        </w:rPr>
        <w:t>delay between the imposition of a work-rate and the increase in O</w:t>
      </w:r>
      <w:r>
        <w:rPr>
          <w:rFonts w:ascii="Calibri" w:hAnsi="Calibri" w:cs="Calibri"/>
          <w:position w:val="-2"/>
          <w:sz w:val="16"/>
          <w:szCs w:val="16"/>
        </w:rPr>
        <w:t xml:space="preserve">2 </w:t>
      </w:r>
      <w:proofErr w:type="spellStart"/>
      <w:r>
        <w:rPr>
          <w:rFonts w:ascii="Calibri" w:hAnsi="Calibri" w:cs="Calibri"/>
        </w:rPr>
        <w:t>utilisation</w:t>
      </w:r>
      <w:proofErr w:type="spellEnd"/>
      <w:r>
        <w:rPr>
          <w:rFonts w:ascii="Calibri" w:hAnsi="Calibri" w:cs="Calibri"/>
        </w:rPr>
        <w:t>. It can take approximately 5-15-s for the V̇O</w:t>
      </w:r>
      <w:r>
        <w:rPr>
          <w:rFonts w:ascii="Calibri" w:hAnsi="Calibri" w:cs="Calibri"/>
          <w:position w:val="-2"/>
          <w:sz w:val="16"/>
          <w:szCs w:val="16"/>
        </w:rPr>
        <w:t xml:space="preserve">2 </w:t>
      </w:r>
      <w:r>
        <w:rPr>
          <w:rFonts w:ascii="Calibri" w:hAnsi="Calibri" w:cs="Calibri"/>
        </w:rPr>
        <w:t>to respond to the work-rate and 15-40-s to progress through the phase II kinetics, after which the V̇O</w:t>
      </w:r>
      <w:r>
        <w:rPr>
          <w:rFonts w:ascii="Calibri" w:hAnsi="Calibri" w:cs="Calibri"/>
          <w:position w:val="-2"/>
          <w:sz w:val="16"/>
          <w:szCs w:val="16"/>
        </w:rPr>
        <w:t xml:space="preserve">2 </w:t>
      </w:r>
      <w:r>
        <w:rPr>
          <w:rFonts w:ascii="Calibri" w:hAnsi="Calibri" w:cs="Calibri"/>
        </w:rPr>
        <w:t xml:space="preserve">continues to progress towards maximum through the slow component phase (Berger &amp; Jones, 2007; </w:t>
      </w:r>
      <w:proofErr w:type="spellStart"/>
      <w:r>
        <w:rPr>
          <w:rFonts w:ascii="Calibri" w:hAnsi="Calibri" w:cs="Calibri"/>
        </w:rPr>
        <w:t>Koppo</w:t>
      </w:r>
      <w:proofErr w:type="spellEnd"/>
      <w:r>
        <w:rPr>
          <w:rFonts w:ascii="Calibri" w:hAnsi="Calibri" w:cs="Calibri"/>
        </w:rPr>
        <w:t xml:space="preserve"> et al., 2004). This may be a reason the work completed above CP in the 1-min TT was significantly less than the W’ (14.7 ± 3.8 vs 20.5 ± 5.3 kJ, </w:t>
      </w:r>
      <w:r>
        <w:rPr>
          <w:rFonts w:ascii="Calibri" w:hAnsi="Calibri" w:cs="Calibri"/>
          <w:i/>
          <w:iCs/>
        </w:rPr>
        <w:t>p</w:t>
      </w:r>
      <w:r>
        <w:rPr>
          <w:rFonts w:ascii="Calibri" w:hAnsi="Calibri" w:cs="Calibri"/>
        </w:rPr>
        <w:t xml:space="preserve">=0.0008) in the current study. </w:t>
      </w:r>
    </w:p>
    <w:p w14:paraId="382F5911" w14:textId="77777777" w:rsidR="00C51C2C" w:rsidRDefault="00C51C2C" w:rsidP="00C51C2C"/>
    <w:p w14:paraId="4B3A8ADF" w14:textId="77777777" w:rsidR="00C51C2C" w:rsidRDefault="00C51C2C" w:rsidP="00C51C2C"/>
    <w:p w14:paraId="193CDBBD" w14:textId="27026C4B" w:rsidR="00C51C2C" w:rsidRDefault="00C51C2C" w:rsidP="00C51C2C">
      <w:r>
        <w:t>CONCLUSION</w:t>
      </w:r>
    </w:p>
    <w:p w14:paraId="50103A99" w14:textId="77777777" w:rsidR="00C51C2C" w:rsidRDefault="00C51C2C" w:rsidP="00C51C2C">
      <w:pPr>
        <w:pStyle w:val="NormalWeb"/>
      </w:pPr>
      <w:r>
        <w:rPr>
          <w:rFonts w:ascii="Calibri" w:hAnsi="Calibri" w:cs="Calibri"/>
        </w:rPr>
        <w:t xml:space="preserve">CP model is overly simplistic with regards to energy system </w:t>
      </w:r>
      <w:proofErr w:type="spellStart"/>
      <w:r>
        <w:rPr>
          <w:rFonts w:ascii="Calibri" w:hAnsi="Calibri" w:cs="Calibri"/>
        </w:rPr>
        <w:t>utilisation</w:t>
      </w:r>
      <w:proofErr w:type="spellEnd"/>
      <w:r>
        <w:rPr>
          <w:rFonts w:ascii="Calibri" w:hAnsi="Calibri" w:cs="Calibri"/>
        </w:rPr>
        <w:t xml:space="preserve"> and should be used as a tool to monitor power performance capability, but not as a method of estimating physiological performance </w:t>
      </w:r>
      <w:proofErr w:type="gramStart"/>
      <w:r>
        <w:rPr>
          <w:rFonts w:ascii="Calibri" w:hAnsi="Calibri" w:cs="Calibri"/>
        </w:rPr>
        <w:t>measures</w:t>
      </w:r>
      <w:proofErr w:type="gramEnd"/>
      <w:r>
        <w:rPr>
          <w:rFonts w:ascii="Calibri" w:hAnsi="Calibri" w:cs="Calibri"/>
        </w:rPr>
        <w:t xml:space="preserve"> </w:t>
      </w:r>
    </w:p>
    <w:p w14:paraId="02032584" w14:textId="77777777" w:rsidR="00C51C2C" w:rsidRDefault="00C51C2C" w:rsidP="00C51C2C"/>
    <w:p w14:paraId="664C7DD9" w14:textId="77777777" w:rsidR="00C51C2C" w:rsidRDefault="00C51C2C" w:rsidP="00C51C2C"/>
    <w:p w14:paraId="49B8206C" w14:textId="42D13C73" w:rsidR="00C51C2C" w:rsidRDefault="00C51C2C" w:rsidP="00C51C2C">
      <w:proofErr w:type="spellStart"/>
      <w:r>
        <w:t>Wbal</w:t>
      </w:r>
      <w:proofErr w:type="spellEnd"/>
      <w:r>
        <w:t xml:space="preserve"> – Part</w:t>
      </w:r>
    </w:p>
    <w:p w14:paraId="57B8BE11" w14:textId="77777777" w:rsidR="00C51C2C" w:rsidRDefault="00C51C2C" w:rsidP="00C51C2C"/>
    <w:p w14:paraId="1D1DDA98" w14:textId="77777777" w:rsidR="00C51C2C" w:rsidRPr="00C51C2C" w:rsidRDefault="00C51C2C" w:rsidP="00C51C2C"/>
    <w:sectPr w:rsidR="00C51C2C" w:rsidRPr="00C5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Pxs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C"/>
    <w:rsid w:val="00C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2E52"/>
  <w15:chartTrackingRefBased/>
  <w15:docId w15:val="{F29D76C6-5924-9043-A973-EFF07A8C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C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Gautier</dc:creator>
  <cp:keywords/>
  <dc:description/>
  <cp:lastModifiedBy>Marin Gautier</cp:lastModifiedBy>
  <cp:revision>1</cp:revision>
  <dcterms:created xsi:type="dcterms:W3CDTF">2024-01-14T16:19:00Z</dcterms:created>
  <dcterms:modified xsi:type="dcterms:W3CDTF">2024-01-15T02:44:00Z</dcterms:modified>
</cp:coreProperties>
</file>