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5DF2" w14:textId="77777777" w:rsidR="00A37E32" w:rsidRDefault="00EA1F64">
      <w:pPr>
        <w:spacing w:after="80"/>
        <w:jc w:val="center"/>
      </w:pPr>
      <w:r>
        <w:rPr>
          <w:b/>
          <w:bCs/>
          <w:color w:val="1A1A2E"/>
          <w:sz w:val="36"/>
          <w:szCs w:val="36"/>
        </w:rPr>
        <w:t>Code Documentation</w:t>
      </w:r>
    </w:p>
    <w:p w14:paraId="59F8D8F7" w14:textId="77777777" w:rsidR="00A37E32" w:rsidRDefault="00EA1F64">
      <w:pPr>
        <w:pStyle w:val="Heading1"/>
      </w:pPr>
      <w:r>
        <w:t>1. Overview</w:t>
      </w:r>
    </w:p>
    <w:p w14:paraId="3AA86395" w14:textId="77777777" w:rsidR="00A37E32" w:rsidRDefault="00EA1F64">
      <w:pPr>
        <w:spacing w:after="120"/>
      </w:pPr>
      <w:r>
        <w:t>The analysis is performed entirely in Python using pandas for extraction and cleaning and matplotlib for visualization. No Excel formulas are used. The output is a single PNG figure with two side-by-side 100% stacked horizontal bar charts showing technology mix before and after the AI boom.</w:t>
      </w:r>
    </w:p>
    <w:p w14:paraId="69011B86" w14:textId="77777777" w:rsidR="00A37E32" w:rsidRDefault="00A37E32">
      <w:pPr>
        <w:spacing w:after="80"/>
      </w:pPr>
    </w:p>
    <w:p w14:paraId="6A89E00F" w14:textId="77777777" w:rsidR="00A37E32" w:rsidRDefault="00EA1F64">
      <w:pPr>
        <w:spacing w:after="120"/>
      </w:pPr>
      <w:r>
        <w:rPr>
          <w:b/>
          <w:bCs/>
        </w:rPr>
        <w:t xml:space="preserve">Libraries used: </w:t>
      </w:r>
      <w:r>
        <w:t>pandas, matplotlib, re (regex), openpyxl via pandas Excel engine</w:t>
      </w:r>
    </w:p>
    <w:p w14:paraId="46658D5E" w14:textId="77777777" w:rsidR="00A37E32" w:rsidRDefault="00A37E32">
      <w:pPr>
        <w:spacing w:after="80"/>
      </w:pPr>
    </w:p>
    <w:p w14:paraId="40ED3AE5" w14:textId="77777777" w:rsidR="00A37E32" w:rsidRDefault="00EA1F64">
      <w:pPr>
        <w:pStyle w:val="Heading1"/>
      </w:pPr>
      <w:r>
        <w:t>2. Data Source</w:t>
      </w:r>
    </w:p>
    <w:p w14:paraId="67F944AC" w14:textId="77777777" w:rsidR="00A37E32" w:rsidRDefault="00EA1F64">
      <w:pPr>
        <w:spacing w:after="120"/>
      </w:pPr>
      <w:r>
        <w:t>The script reads one workbook only: dataset digiecos.xlsx. It uses the four sheets Amazon, Google, Meta, and Microsoft. Older workbook files in the folder are not used by charts.py.</w:t>
      </w:r>
    </w:p>
    <w:p w14:paraId="60CC6063" w14:textId="77777777" w:rsidR="00A37E32" w:rsidRDefault="00EA1F64">
      <w:pPr>
        <w:spacing w:after="120"/>
      </w:pPr>
      <w:r>
        <w:t xml:space="preserve">Fields used by sheet: </w:t>
      </w:r>
    </w:p>
    <w:p w14:paraId="1B9A9101" w14:textId="77777777" w:rsidR="00A37E32" w:rsidRDefault="00EA1F64">
      <w:pPr>
        <w:spacing w:after="120"/>
      </w:pPr>
      <w:r>
        <w:t>Amazon</w:t>
      </w:r>
      <w:r>
        <w:rPr>
          <w:lang w:val="ru-RU"/>
        </w:rPr>
        <w:t>:</w:t>
      </w:r>
      <w:r>
        <w:t xml:space="preserve"> Site Name, Project Type, Operational Date, System Size (MW); </w:t>
      </w:r>
    </w:p>
    <w:p w14:paraId="13B9A171" w14:textId="77777777" w:rsidR="00A37E32" w:rsidRDefault="00EA1F64">
      <w:pPr>
        <w:spacing w:after="120"/>
      </w:pPr>
      <w:r>
        <w:t xml:space="preserve">Google: Report Year, Project / Deal Name (as named in report), Financial instrument, Technology Type, Capacity (MW Google), Report; </w:t>
      </w:r>
    </w:p>
    <w:p w14:paraId="537329DE" w14:textId="77777777" w:rsidR="00A37E32" w:rsidRDefault="00EA1F64">
      <w:pPr>
        <w:spacing w:after="120"/>
      </w:pPr>
      <w:r>
        <w:t>Meta and Microsoft: Project, Technology, Capacity, Year (Operational/Announced).</w:t>
      </w:r>
    </w:p>
    <w:p w14:paraId="0419FDDF" w14:textId="77777777" w:rsidR="00A37E32" w:rsidRDefault="00EA1F64">
      <w:pPr>
        <w:pStyle w:val="Heading1"/>
      </w:pPr>
      <w:r>
        <w:t>3. Period Definitions</w:t>
      </w:r>
    </w:p>
    <w:p w14:paraId="742D0DC7" w14:textId="77777777" w:rsidR="00A37E32" w:rsidRDefault="00EA1F64">
      <w:pPr>
        <w:spacing w:after="120"/>
      </w:pPr>
      <w:r>
        <w:t>Each record is assigned to one of two analysis periods using the extracted event year.</w:t>
      </w:r>
    </w:p>
    <w:p w14:paraId="7F768D37" w14:textId="77777777" w:rsidR="00A37E32" w:rsidRDefault="00EA1F64">
      <w:pPr>
        <w:spacing w:after="120"/>
      </w:pPr>
      <w:r>
        <w:t>Pre-AI Boom: 2020–2021</w:t>
      </w:r>
    </w:p>
    <w:p w14:paraId="021475D7" w14:textId="77777777" w:rsidR="00A37E32" w:rsidRDefault="00EA1F64">
      <w:pPr>
        <w:spacing w:after="120"/>
      </w:pPr>
      <w:r>
        <w:t>Post-AI Boom: 2024–2026</w:t>
      </w:r>
    </w:p>
    <w:p w14:paraId="65F95A26" w14:textId="77777777" w:rsidR="00A37E32" w:rsidRDefault="00EA1F64">
      <w:pPr>
        <w:spacing w:after="120"/>
      </w:pPr>
      <w:r>
        <w:t>Records from 2022 and 2023 are excluded by design. Records before 2020 and after 2026 are also excluded.</w:t>
      </w:r>
    </w:p>
    <w:p w14:paraId="2A04419E" w14:textId="77777777" w:rsidR="00A37E32" w:rsidRDefault="00EA1F64">
      <w:pPr>
        <w:pStyle w:val="Heading1"/>
      </w:pPr>
      <w:r>
        <w:t>4. Technology Normalization</w:t>
      </w:r>
    </w:p>
    <w:p w14:paraId="005624C4" w14:textId="77777777" w:rsidR="00A37E32" w:rsidRDefault="00EA1F64">
      <w:pPr>
        <w:spacing w:after="120"/>
      </w:pPr>
      <w:r>
        <w:t>Raw technology labels vary by company, so charts.py first normalizes them into internal project types such as Solar, Wind, Offshore Wind, Solar + Storage, Wind + Solar, Storage, Nuclear, Geothermal, Hydro, and Biomass.</w:t>
      </w:r>
    </w:p>
    <w:p w14:paraId="03CD28EE" w14:textId="77777777" w:rsidR="00A37E32" w:rsidRDefault="00EA1F64">
      <w:pPr>
        <w:spacing w:after="120"/>
      </w:pPr>
      <w:r>
        <w:t>Rows that cannot be mapped cleanly are assigned Other and are excluded from the chart. Amazon also receives name-based cleanup, for example using project names to correct mislabeled Solar Farm and Wind Farm entries.</w:t>
      </w:r>
    </w:p>
    <w:p w14:paraId="70A7EF00" w14:textId="77777777" w:rsidR="00A37E32" w:rsidRDefault="00EA1F64">
      <w:pPr>
        <w:pStyle w:val="Heading1"/>
      </w:pPr>
      <w:r>
        <w:t>5. Company-Specific Extraction Rules</w:t>
      </w:r>
    </w:p>
    <w:p w14:paraId="7588D895" w14:textId="77777777" w:rsidR="00A37E32" w:rsidRDefault="00EA1F64">
      <w:pPr>
        <w:spacing w:after="120"/>
      </w:pPr>
      <w:r>
        <w:t>Amazon: event year comes from Operational Date and capacity comes from System Size (MW). The code also applies Amazon-specific type corrections and removes the duplicate Amazon Wind Farm Portugal - Tamega row when the Tamega Hydroelectric Complex row is present.</w:t>
      </w:r>
    </w:p>
    <w:p w14:paraId="1DE9B04F" w14:textId="77777777" w:rsidR="00A37E32" w:rsidRDefault="00EA1F64">
      <w:pPr>
        <w:spacing w:after="120"/>
      </w:pPr>
      <w:r>
        <w:t>Google: only rows with a Financial instrument are considered, and rows labeled Aggregated Stat are excluded. Event year is inferred from report text and report year, then repeated deals are deduplicated using canonicalized project names.</w:t>
      </w:r>
    </w:p>
    <w:p w14:paraId="291D9AFF" w14:textId="77777777" w:rsidR="00A37E32" w:rsidRDefault="00EA1F64">
      <w:pPr>
        <w:spacing w:after="120"/>
      </w:pPr>
      <w:r>
        <w:lastRenderedPageBreak/>
        <w:t>Meta and Microsoft: event year comes from Year (Operational/Announced), not from the Reports column. Aggregate, portfolio, cumulative, pipeline, target, study, and supply-chain rows are filtered out to keep the method project-level rather than portfolio-level.</w:t>
      </w:r>
    </w:p>
    <w:p w14:paraId="6FCFE95F" w14:textId="77777777" w:rsidR="00A37E32" w:rsidRDefault="00EA1F64">
      <w:pPr>
        <w:pStyle w:val="Heading1"/>
      </w:pPr>
      <w:r>
        <w:t>6. Capacity Parsing</w:t>
      </w:r>
    </w:p>
    <w:p w14:paraId="1638DF52" w14:textId="77777777" w:rsidR="00A37E32" w:rsidRDefault="00EA1F64">
      <w:pPr>
        <w:spacing w:after="120"/>
      </w:pPr>
      <w:r>
        <w:t>Amazon and Google capacities are read from MW-like source columns and parsed as numeric values. Meta and Microsoft capacities are free text, so charts.py parses them with regular expressions and converts GW to MW when needed.</w:t>
      </w:r>
    </w:p>
    <w:p w14:paraId="1EDBFF5E" w14:textId="77777777" w:rsidR="00A37E32" w:rsidRDefault="00EA1F64">
      <w:pPr>
        <w:spacing w:after="120"/>
      </w:pPr>
      <w:r>
        <w:t>Examples: ~6 GW becomes 6000 MW; 250 MW stays 250 MW; 50 MW battery storage + 240 MW solar becomes 290 MW.</w:t>
      </w:r>
    </w:p>
    <w:p w14:paraId="78E083EC" w14:textId="77777777" w:rsidR="00A37E32" w:rsidRDefault="00EA1F64">
      <w:pPr>
        <w:spacing w:after="120"/>
      </w:pPr>
      <w:r>
        <w:t>Rows without a usable capacity are excluded. They do not contribute 0 MW to the denominator.</w:t>
      </w:r>
    </w:p>
    <w:p w14:paraId="5831FF93" w14:textId="77777777" w:rsidR="00A37E32" w:rsidRDefault="00EA1F64">
      <w:pPr>
        <w:pStyle w:val="Heading1"/>
      </w:pPr>
      <w:r>
        <w:t>7. Google Year Inference and Deduplication</w:t>
      </w:r>
    </w:p>
    <w:p w14:paraId="11269A93" w14:textId="77777777" w:rsidR="00A37E32" w:rsidRDefault="00EA1F64">
      <w:pPr>
        <w:spacing w:after="120"/>
      </w:pPr>
      <w:r>
        <w:t>Google is the most complex sheet because the same deal can appear in multiple annual reports. charts.py searches report text for operational, signed, announced, and report-year clues, then prioritizes them in this order: operational, signed/announced, report-year, legacy-repeat, unknown.</w:t>
      </w:r>
    </w:p>
    <w:p w14:paraId="1104A9A9" w14:textId="77777777" w:rsidR="00A37E32" w:rsidRDefault="00EA1F64">
      <w:pPr>
        <w:spacing w:after="120"/>
      </w:pPr>
      <w:r>
        <w:t>After year extraction, Google rows are filtered to those with both usable MW and usable year, then deduplicated by canonical project name. This prevents later descriptive rows with missing capacity from knocking out earlier valid project rows.</w:t>
      </w:r>
    </w:p>
    <w:p w14:paraId="7AED6AF8" w14:textId="77777777" w:rsidR="00A37E32" w:rsidRDefault="00EA1F64">
      <w:pPr>
        <w:pStyle w:val="Heading1"/>
      </w:pPr>
      <w:r>
        <w:t>8. Broad-Bucket Conversion</w:t>
      </w:r>
    </w:p>
    <w:p w14:paraId="012D9D3D" w14:textId="77777777" w:rsidR="00A37E32" w:rsidRDefault="00EA1F64">
      <w:pPr>
        <w:spacing w:after="120"/>
      </w:pPr>
      <w:r>
        <w:t>The final chart uses five buckets only: Solar, Wind, Storage, Nuclear, and Geothermal.</w:t>
      </w:r>
    </w:p>
    <w:p w14:paraId="4DF5EB46" w14:textId="77777777" w:rsidR="00A37E32" w:rsidRDefault="00EA1F64">
      <w:pPr>
        <w:spacing w:after="120"/>
      </w:pPr>
      <w:r>
        <w:t>Internal project types are converted as follows: On-site Solar -&gt; Solar; Offshore Wind and Hydro -&gt; Wind; Biomass -&gt; Geothermal; Solar + Storage -&gt; 50% Solar and 50% Storage; Wind + Solar -&gt; 50% Wind and 50% Solar.</w:t>
      </w:r>
    </w:p>
    <w:p w14:paraId="6E4FCC85" w14:textId="77777777" w:rsidR="00A37E32" w:rsidRDefault="00EA1F64">
      <w:pPr>
        <w:pStyle w:val="Heading1"/>
      </w:pPr>
      <w:r>
        <w:t>9. Percentage Calculation — Base Variable</w:t>
      </w:r>
    </w:p>
    <w:p w14:paraId="06660BCC" w14:textId="77777777" w:rsidR="00A37E32" w:rsidRDefault="00EA1F64">
      <w:pPr>
        <w:spacing w:after="120"/>
      </w:pPr>
      <w:r>
        <w:t>The base variable for each company is the total included MW attributed to that company in that period after cleanup and broad-bucket conversion.</w:t>
      </w:r>
    </w:p>
    <w:p w14:paraId="13DF3FCB" w14:textId="77777777" w:rsidR="00A37E32" w:rsidRDefault="00EA1F64">
      <w:pPr>
        <w:spacing w:after="120"/>
      </w:pPr>
      <w:r>
        <w:t>Formula per company per period:</w:t>
      </w:r>
    </w:p>
    <w:p w14:paraId="769F0870" w14:textId="77777777" w:rsidR="00A37E32" w:rsidRDefault="00EA1F64">
      <w:pPr>
        <w:spacing w:after="120"/>
      </w:pPr>
      <w:r>
        <w:t>tech_share (%) = tech_MW / sum_of_all_MW_for_that_company_in_that_period * 100</w:t>
      </w:r>
    </w:p>
    <w:p w14:paraId="4E13ABA5" w14:textId="77777777" w:rsidR="00A37E32" w:rsidRDefault="00EA1F64">
      <w:pPr>
        <w:spacing w:after="120"/>
      </w:pPr>
      <w:r>
        <w:t>This means the chart represents disclosed project-level technology mix, not total corporate renewable portfolio mix.</w:t>
      </w:r>
    </w:p>
    <w:p w14:paraId="63ACB5A0" w14:textId="77777777" w:rsidR="00A37E32" w:rsidRDefault="00EA1F64">
      <w:pPr>
        <w:pStyle w:val="Heading1"/>
      </w:pPr>
      <w:r>
        <w:t>10. Aggregation Pipeline</w:t>
      </w:r>
    </w:p>
    <w:p w14:paraId="73C0AF69" w14:textId="77777777" w:rsidR="00A37E32" w:rsidRDefault="00EA1F64">
      <w:pPr>
        <w:spacing w:after="120"/>
      </w:pPr>
      <w:r>
        <w:t>The full data flow from raw workbook to chart is:</w:t>
      </w:r>
    </w:p>
    <w:p w14:paraId="42164BC0" w14:textId="77777777" w:rsidR="00A37E32" w:rsidRDefault="00EA1F64">
      <w:pPr>
        <w:spacing w:after="120"/>
      </w:pPr>
      <w:r>
        <w:t>Read the four sheets from dataset digiecos.xlsx into pandas DataFrames.</w:t>
      </w:r>
    </w:p>
    <w:p w14:paraId="6C64E149" w14:textId="77777777" w:rsidR="00A37E32" w:rsidRDefault="00EA1F64">
      <w:pPr>
        <w:spacing w:after="120"/>
      </w:pPr>
      <w:r>
        <w:t>Apply company-specific extraction logic to build cleaned records with company, project_type, event_year, and size_mw.</w:t>
      </w:r>
    </w:p>
    <w:p w14:paraId="752393DE" w14:textId="77777777" w:rsidR="00A37E32" w:rsidRDefault="00EA1F64">
      <w:pPr>
        <w:spacing w:after="120"/>
      </w:pPr>
      <w:r>
        <w:t>Filter to usable MW and year, remove 2022 and 2023, remove Other, and assign each row to the pre or post period.</w:t>
      </w:r>
    </w:p>
    <w:p w14:paraId="70ECB07E" w14:textId="77777777" w:rsidR="00A37E32" w:rsidRDefault="00EA1F64">
      <w:pPr>
        <w:spacing w:after="120"/>
      </w:pPr>
      <w:r>
        <w:t>Convert cleaned project types into the five broad chart buckets, splitting mixed rows 50/50 where needed.</w:t>
      </w:r>
    </w:p>
    <w:p w14:paraId="433BD3ED" w14:textId="77777777" w:rsidR="00A37E32" w:rsidRDefault="00EA1F64">
      <w:pPr>
        <w:spacing w:after="120"/>
      </w:pPr>
      <w:r>
        <w:lastRenderedPageBreak/>
        <w:t>Group by company, era, and bucket; sum MW; then divide each row by its company-period total to obtain percentage shares.</w:t>
      </w:r>
    </w:p>
    <w:p w14:paraId="693DF234" w14:textId="77777777" w:rsidR="00A37E32" w:rsidRDefault="00EA1F64">
      <w:pPr>
        <w:spacing w:after="120"/>
      </w:pPr>
      <w:r>
        <w:t>Plot the result as two 100% stacked horizontal bar charts in one combined figure.</w:t>
      </w:r>
    </w:p>
    <w:p w14:paraId="08819D32" w14:textId="77777777" w:rsidR="00A37E32" w:rsidRDefault="00EA1F64">
      <w:pPr>
        <w:pStyle w:val="Heading1"/>
      </w:pPr>
      <w:r>
        <w:t>11. Chart Design Choices</w:t>
      </w:r>
    </w:p>
    <w:p w14:paraId="6F7834A5" w14:textId="77777777" w:rsidR="00A37E32" w:rsidRDefault="00EA1F64">
      <w:pPr>
        <w:spacing w:after="120"/>
      </w:pPr>
      <w:r>
        <w:t>Chart type: 100% stacked horizontal bars, because the question is about technology mix rather than absolute scale.</w:t>
      </w:r>
    </w:p>
    <w:p w14:paraId="71888198" w14:textId="77777777" w:rsidR="00A37E32" w:rsidRDefault="00EA1F64">
      <w:pPr>
        <w:spacing w:after="120"/>
      </w:pPr>
      <w:r>
        <w:t>Companies are shown in the order Microsoft, Meta, Google, Amazon to match the visual reference used for the figure design.</w:t>
      </w:r>
    </w:p>
    <w:p w14:paraId="1CE09464" w14:textId="77777777" w:rsidR="00A37E32" w:rsidRDefault="00EA1F64">
      <w:pPr>
        <w:spacing w:after="120"/>
      </w:pPr>
      <w:r>
        <w:t>Segment labels are shown only when the share is at least 8% to avoid clutter on narrow segments.</w:t>
      </w:r>
    </w:p>
    <w:p w14:paraId="6EA970A8" w14:textId="77777777" w:rsidR="00A37E32" w:rsidRDefault="00EA1F64">
      <w:pPr>
        <w:spacing w:after="120"/>
      </w:pPr>
      <w:r>
        <w:t>Output file: investment_distribution_by_company_combined.png</w:t>
      </w:r>
    </w:p>
    <w:p w14:paraId="7553BCF0" w14:textId="77777777" w:rsidR="00A37E32" w:rsidRDefault="00EA1F64">
      <w:pPr>
        <w:spacing w:after="120"/>
      </w:pPr>
      <w:r>
        <w:t>Resolution: 220 DPI PNG, suitable for insertion into Word, PowerPoint, or a manuscript draft.</w:t>
      </w:r>
    </w:p>
    <w:p w14:paraId="28843036" w14:textId="77777777" w:rsidR="00A37E32" w:rsidRDefault="00EA1F64">
      <w:pPr>
        <w:pStyle w:val="Heading1"/>
      </w:pPr>
      <w:r>
        <w:t>12. Known Limitations</w:t>
      </w:r>
    </w:p>
    <w:p w14:paraId="723A462E" w14:textId="77777777" w:rsidR="00A37E32" w:rsidRDefault="00EA1F64">
      <w:pPr>
        <w:spacing w:after="120"/>
      </w:pPr>
      <w:r>
        <w:t>Google year assignment still depends partly on report wording, so some rows require judgment rather than a fully explicit operational date.</w:t>
      </w:r>
    </w:p>
    <w:p w14:paraId="40A34640" w14:textId="77777777" w:rsidR="00A37E32" w:rsidRDefault="00EA1F64">
      <w:pPr>
        <w:spacing w:after="120"/>
      </w:pPr>
      <w:r>
        <w:t>Hydro is grouped under Wind and Biomass under Geothermal for comparability within the five-bucket chart design.</w:t>
      </w:r>
    </w:p>
    <w:p w14:paraId="52CAE289" w14:textId="77777777" w:rsidR="00A37E32" w:rsidRDefault="00EA1F64">
      <w:pPr>
        <w:spacing w:after="120"/>
      </w:pPr>
      <w:r>
        <w:t>Mixed rows use a 50/50 split assumption because the underlying sources do not disclose an internal capacity split by technology.</w:t>
      </w:r>
    </w:p>
    <w:p w14:paraId="4C618114" w14:textId="77777777" w:rsidR="00A37E32" w:rsidRDefault="00EA1F64">
      <w:pPr>
        <w:spacing w:after="120"/>
      </w:pPr>
      <w:r>
        <w:t>Meta and Microsoft exclude many large aggregate portfolio rows by design. This makes the chart methodologically stricter, but it also means the chart is not a full cumulative corporate clean-energy inventory.</w:t>
      </w:r>
    </w:p>
    <w:p w14:paraId="53A1B7E7" w14:textId="77777777" w:rsidR="00A37E32" w:rsidRDefault="00EA1F64">
      <w:pPr>
        <w:spacing w:after="120"/>
      </w:pPr>
      <w:r>
        <w:t>Because 2022 and 2023 are omitted, the figure emphasizes contrast between the two windows rather than a continuous year-by-year evolution.</w:t>
      </w:r>
    </w:p>
    <w:sectPr w:rsidR="00A37E32">
      <w:pgSz w:w="12240" w:h="15840"/>
      <w:pgMar w:top="1440" w:right="1440" w:bottom="1440" w:left="144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E32"/>
    <w:rsid w:val="00377A8E"/>
    <w:rsid w:val="00A37E32"/>
    <w:rsid w:val="00A42726"/>
    <w:rsid w:val="00EA1F6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F95E877"/>
  <w15:docId w15:val="{36B49E66-E2B5-E347-9E91-B2555A635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20" w:after="160"/>
      <w:outlineLvl w:val="0"/>
    </w:pPr>
    <w:rPr>
      <w:rFonts w:ascii="Arial" w:eastAsia="Arial" w:hAnsi="Arial" w:cs="Arial"/>
      <w:b/>
      <w:bCs/>
      <w:color w:val="1A1A2E"/>
    </w:rPr>
  </w:style>
  <w:style w:type="paragraph" w:styleId="Heading2">
    <w:name w:val="heading 2"/>
    <w:basedOn w:val="Heading"/>
    <w:uiPriority w:val="9"/>
    <w:semiHidden/>
    <w:unhideWhenUsed/>
    <w:qFormat/>
    <w:pPr>
      <w:outlineLvl w:val="1"/>
    </w:pPr>
    <w:rPr>
      <w:rFonts w:ascii="Arial" w:eastAsia="Arial" w:hAnsi="Arial" w:cs="Arial"/>
      <w:b/>
      <w:bCs/>
      <w:color w:val="2E4C8A"/>
      <w:sz w:val="24"/>
      <w:szCs w:val="24"/>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Kenzhebayeva, Dilyara</cp:lastModifiedBy>
  <cp:revision>2</cp:revision>
  <dcterms:created xsi:type="dcterms:W3CDTF">2026-04-16T14:21:00Z</dcterms:created>
  <dcterms:modified xsi:type="dcterms:W3CDTF">2026-04-16T14:21:00Z</dcterms:modified>
  <dc:language>en-US</dc:language>
</cp:coreProperties>
</file>