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5DF2" w14:textId="1653B18D" w:rsidR="00A37E32" w:rsidRDefault="00EA1F64">
      <w:pPr>
        <w:spacing w:after="80"/>
        <w:jc w:val="center"/>
      </w:pPr>
      <w:r>
        <w:rPr>
          <w:b/>
          <w:bCs/>
          <w:color w:val="1A1A2E"/>
          <w:sz w:val="36"/>
          <w:szCs w:val="36"/>
        </w:rPr>
        <w:t>Code Documentation</w:t>
      </w:r>
      <w:r w:rsidR="00D26B22">
        <w:rPr>
          <w:b/>
          <w:bCs/>
          <w:color w:val="1A1A2E"/>
          <w:sz w:val="36"/>
          <w:szCs w:val="36"/>
        </w:rPr>
        <w:t xml:space="preserve"> – Financial Instruments</w:t>
      </w:r>
    </w:p>
    <w:p w14:paraId="59F8D8F7" w14:textId="77777777" w:rsidR="00A37E32" w:rsidRDefault="00EA1F64">
      <w:pPr>
        <w:pStyle w:val="berschrift1"/>
      </w:pPr>
      <w:r>
        <w:t>1. Overview</w:t>
      </w:r>
    </w:p>
    <w:p w14:paraId="69011B86" w14:textId="6A5D9406" w:rsidR="00A37E32" w:rsidRDefault="00D26B22">
      <w:pPr>
        <w:spacing w:after="80"/>
      </w:pPr>
      <w:r w:rsidRPr="00D26B22">
        <w:t>The analysis is performed entirely in Python using pandas for data extraction and cleaning and matplotlib for visualization. No Excel formulas are used. The output is a single PNG figure showing a 100% stacked horizontal bar chart of technology deployment by financial instrument.</w:t>
      </w:r>
    </w:p>
    <w:p w14:paraId="03A7B32F" w14:textId="77777777" w:rsidR="00D26B22" w:rsidRDefault="00D26B22">
      <w:pPr>
        <w:spacing w:after="80"/>
      </w:pPr>
    </w:p>
    <w:p w14:paraId="6A89E00F" w14:textId="77777777" w:rsidR="00A37E32" w:rsidRDefault="00EA1F64">
      <w:pPr>
        <w:spacing w:after="120"/>
      </w:pPr>
      <w:r>
        <w:rPr>
          <w:b/>
          <w:bCs/>
        </w:rPr>
        <w:t xml:space="preserve">Libraries used: </w:t>
      </w:r>
      <w:r>
        <w:t xml:space="preserve">pandas, matplotlib, re (regex), </w:t>
      </w:r>
      <w:proofErr w:type="spellStart"/>
      <w:r>
        <w:t>openpyxl</w:t>
      </w:r>
      <w:proofErr w:type="spellEnd"/>
      <w:r>
        <w:t xml:space="preserve"> via pandas Excel engine</w:t>
      </w:r>
    </w:p>
    <w:p w14:paraId="46658D5E" w14:textId="77777777" w:rsidR="00A37E32" w:rsidRDefault="00A37E32">
      <w:pPr>
        <w:spacing w:after="80"/>
      </w:pPr>
    </w:p>
    <w:p w14:paraId="40ED3AE5" w14:textId="77777777" w:rsidR="00A37E32" w:rsidRDefault="00EA1F64">
      <w:pPr>
        <w:pStyle w:val="berschrift1"/>
      </w:pPr>
      <w:r>
        <w:t>2. Data Source</w:t>
      </w:r>
    </w:p>
    <w:p w14:paraId="58179851" w14:textId="44C8F55E" w:rsidR="00D26B22" w:rsidRPr="00D26B22" w:rsidRDefault="00D26B22" w:rsidP="00D26B22">
      <w:pPr>
        <w:spacing w:after="120"/>
      </w:pPr>
      <w:r w:rsidRPr="00D26B22">
        <w:t>The script reads one workbook only: dataset digiecos.xlsx. It uses the four sheets Amazon, Google, Meta, and Microsoft.</w:t>
      </w:r>
    </w:p>
    <w:p w14:paraId="27F8720C" w14:textId="4308D465" w:rsidR="00D26B22" w:rsidRPr="00D26B22" w:rsidRDefault="00D26B22" w:rsidP="00D26B22">
      <w:pPr>
        <w:spacing w:after="120"/>
      </w:pPr>
      <w:r w:rsidRPr="00D26B22">
        <w:t>Fields used by sheet:</w:t>
      </w:r>
    </w:p>
    <w:p w14:paraId="013C009E" w14:textId="77777777" w:rsidR="00D26B22" w:rsidRPr="00D26B22" w:rsidRDefault="00D26B22" w:rsidP="00D26B22">
      <w:pPr>
        <w:spacing w:after="120"/>
      </w:pPr>
      <w:r w:rsidRPr="00D26B22">
        <w:t>Amazon: Site Name, Project Type, Financial Instrument, Operational Date</w:t>
      </w:r>
    </w:p>
    <w:p w14:paraId="75F06119" w14:textId="77777777" w:rsidR="00D26B22" w:rsidRPr="00D26B22" w:rsidRDefault="00D26B22" w:rsidP="00D26B22">
      <w:pPr>
        <w:spacing w:after="120"/>
      </w:pPr>
      <w:r w:rsidRPr="00D26B22">
        <w:t>Google: Project / Deal Name (as named in report), Technology Type, Financial instrument, Report Year</w:t>
      </w:r>
    </w:p>
    <w:p w14:paraId="59094609" w14:textId="056555A1" w:rsidR="00D26B22" w:rsidRPr="00D26B22" w:rsidRDefault="00D26B22" w:rsidP="00D26B22">
      <w:pPr>
        <w:spacing w:after="120"/>
      </w:pPr>
      <w:r w:rsidRPr="00D26B22">
        <w:t>Meta and Microsoft: Project, Technology, Financial Instrument / Partner, Year (Operational/Announced)</w:t>
      </w:r>
    </w:p>
    <w:p w14:paraId="4A536FDE" w14:textId="77777777" w:rsidR="00D26B22" w:rsidRPr="00D26B22" w:rsidRDefault="00D26B22" w:rsidP="00D26B22">
      <w:pPr>
        <w:spacing w:after="120"/>
      </w:pPr>
      <w:r w:rsidRPr="00D26B22">
        <w:t>Older workbook files in the folder are not used.</w:t>
      </w:r>
    </w:p>
    <w:p w14:paraId="0419FDDF" w14:textId="0F7EB006" w:rsidR="00A37E32" w:rsidRDefault="00EA1F64" w:rsidP="00D26B22">
      <w:pPr>
        <w:pStyle w:val="berschrift1"/>
      </w:pPr>
      <w:r>
        <w:t xml:space="preserve">3. </w:t>
      </w:r>
      <w:r w:rsidR="00D26B22">
        <w:t>Data Scope</w:t>
      </w:r>
    </w:p>
    <w:p w14:paraId="3CB31DFE" w14:textId="16752E2D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The analysis includes all project-level entries with</w:t>
      </w:r>
      <w:r>
        <w:rPr>
          <w:lang w:val="en-GB"/>
        </w:rPr>
        <w:t xml:space="preserve"> </w:t>
      </w:r>
      <w:r w:rsidRPr="00D26B22">
        <w:rPr>
          <w:lang w:val="en-GB"/>
        </w:rPr>
        <w:t>a valid financial instrument classification</w:t>
      </w:r>
      <w:r>
        <w:rPr>
          <w:lang w:val="en-GB"/>
        </w:rPr>
        <w:t xml:space="preserve"> as well as </w:t>
      </w:r>
      <w:r w:rsidRPr="00D26B22">
        <w:rPr>
          <w:lang w:val="en-GB"/>
        </w:rPr>
        <w:t>a valid technology classification</w:t>
      </w:r>
      <w:r>
        <w:rPr>
          <w:lang w:val="en-GB"/>
        </w:rPr>
        <w:t>.</w:t>
      </w:r>
    </w:p>
    <w:p w14:paraId="61BF8934" w14:textId="3E92718A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Rows representing aggregated statistics, portfolio summaries, or entries without sufficient information are excluded to ensure consistency at the project level.</w:t>
      </w:r>
    </w:p>
    <w:p w14:paraId="2A04419E" w14:textId="77777777" w:rsidR="00A37E32" w:rsidRDefault="00EA1F64">
      <w:pPr>
        <w:pStyle w:val="berschrift1"/>
      </w:pPr>
      <w:r>
        <w:t>4. Technology Normalization</w:t>
      </w:r>
    </w:p>
    <w:p w14:paraId="5C679F31" w14:textId="48F9F3C0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Raw technology labels differ across companies and sheets, so they are standardized into five broad categories</w:t>
      </w:r>
      <w:r>
        <w:rPr>
          <w:lang w:val="en-GB"/>
        </w:rPr>
        <w:t xml:space="preserve"> which are S</w:t>
      </w:r>
      <w:r w:rsidRPr="00D26B22">
        <w:rPr>
          <w:lang w:val="en-GB"/>
        </w:rPr>
        <w:t>ola</w:t>
      </w:r>
      <w:r>
        <w:rPr>
          <w:lang w:val="en-GB"/>
        </w:rPr>
        <w:t xml:space="preserve">r, </w:t>
      </w:r>
      <w:r w:rsidRPr="00D26B22">
        <w:rPr>
          <w:lang w:val="en-GB"/>
        </w:rPr>
        <w:t>Wind</w:t>
      </w:r>
      <w:r>
        <w:rPr>
          <w:lang w:val="en-GB"/>
        </w:rPr>
        <w:t xml:space="preserve">, </w:t>
      </w:r>
      <w:r w:rsidRPr="00D26B22">
        <w:rPr>
          <w:lang w:val="en-GB"/>
        </w:rPr>
        <w:t>Storage</w:t>
      </w:r>
      <w:r>
        <w:rPr>
          <w:lang w:val="en-GB"/>
        </w:rPr>
        <w:t xml:space="preserve">, </w:t>
      </w:r>
      <w:r w:rsidRPr="00D26B22">
        <w:rPr>
          <w:lang w:val="en-GB"/>
        </w:rPr>
        <w:t>Nuclear</w:t>
      </w:r>
      <w:r>
        <w:rPr>
          <w:lang w:val="en-GB"/>
        </w:rPr>
        <w:t xml:space="preserve">, </w:t>
      </w:r>
      <w:r w:rsidRPr="00D26B22">
        <w:rPr>
          <w:lang w:val="en-GB"/>
        </w:rPr>
        <w:t>Geothermal</w:t>
      </w:r>
    </w:p>
    <w:p w14:paraId="23D59755" w14:textId="346CB21E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Examples of mapping:</w:t>
      </w:r>
    </w:p>
    <w:p w14:paraId="541B5F6F" w14:textId="77777777" w:rsidR="00D26B22" w:rsidRPr="00D26B22" w:rsidRDefault="00D26B22" w:rsidP="00D26B22">
      <w:pPr>
        <w:pStyle w:val="Listenabsatz"/>
        <w:numPr>
          <w:ilvl w:val="0"/>
          <w:numId w:val="2"/>
        </w:numPr>
        <w:spacing w:after="120"/>
        <w:rPr>
          <w:lang w:val="en-GB"/>
        </w:rPr>
      </w:pPr>
      <w:r w:rsidRPr="00D26B22">
        <w:rPr>
          <w:lang w:val="en-GB"/>
        </w:rPr>
        <w:t>Offshore Wind → Wind</w:t>
      </w:r>
    </w:p>
    <w:p w14:paraId="39291112" w14:textId="77777777" w:rsidR="00D26B22" w:rsidRPr="00D26B22" w:rsidRDefault="00D26B22" w:rsidP="00D26B22">
      <w:pPr>
        <w:pStyle w:val="Listenabsatz"/>
        <w:numPr>
          <w:ilvl w:val="0"/>
          <w:numId w:val="2"/>
        </w:numPr>
        <w:spacing w:after="120"/>
        <w:rPr>
          <w:lang w:val="en-GB"/>
        </w:rPr>
      </w:pPr>
      <w:r w:rsidRPr="00D26B22">
        <w:rPr>
          <w:lang w:val="en-GB"/>
        </w:rPr>
        <w:t>Battery / Storage → Storage</w:t>
      </w:r>
    </w:p>
    <w:p w14:paraId="2179C2B9" w14:textId="092330FC" w:rsidR="00D26B22" w:rsidRPr="00D26B22" w:rsidRDefault="00D26B22" w:rsidP="00D26B22">
      <w:pPr>
        <w:pStyle w:val="Listenabsatz"/>
        <w:numPr>
          <w:ilvl w:val="0"/>
          <w:numId w:val="2"/>
        </w:numPr>
        <w:spacing w:after="120"/>
        <w:rPr>
          <w:lang w:val="en-GB"/>
        </w:rPr>
      </w:pPr>
      <w:r w:rsidRPr="00D26B22">
        <w:rPr>
          <w:lang w:val="en-GB"/>
        </w:rPr>
        <w:t>SMR / Fusion → Nuclear</w:t>
      </w:r>
    </w:p>
    <w:p w14:paraId="470A69EF" w14:textId="572FE7E1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Rows that cannot be mapped consistently are excluded from the analysis.</w:t>
      </w:r>
    </w:p>
    <w:p w14:paraId="70A7EF00" w14:textId="362D394A" w:rsidR="00A37E32" w:rsidRDefault="00EA1F64">
      <w:pPr>
        <w:pStyle w:val="berschrift1"/>
      </w:pPr>
      <w:r>
        <w:t xml:space="preserve">5. </w:t>
      </w:r>
      <w:r w:rsidR="00D26B22">
        <w:t>Financial Instrument Normalization</w:t>
      </w:r>
    </w:p>
    <w:p w14:paraId="3ADA9F37" w14:textId="4105C954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Financial instrument labels are not standardized across the dataset and are therefore mapped into three categories:</w:t>
      </w:r>
    </w:p>
    <w:p w14:paraId="7830FC25" w14:textId="29237460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PPA: includes labels such as “PPA,” “agreement,” “contract,” and “green tariff”</w:t>
      </w:r>
      <w:r w:rsidR="008A03B5">
        <w:rPr>
          <w:lang w:val="en-GB"/>
        </w:rPr>
        <w:t>, “aggregated stat”</w:t>
      </w:r>
    </w:p>
    <w:p w14:paraId="1F54E355" w14:textId="77777777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Equity: includes “equity investment,” “direct investment,” “lease,” and ownership-based structures</w:t>
      </w:r>
    </w:p>
    <w:p w14:paraId="77822632" w14:textId="6987FC72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lastRenderedPageBreak/>
        <w:t>Development partnership: includes partnership-based arrangements, framework agreements, and joint development structures</w:t>
      </w:r>
    </w:p>
    <w:p w14:paraId="27453C9C" w14:textId="57004938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Mixed or ambiguous labels are assigned to the closest dominant category based on their description.</w:t>
      </w:r>
    </w:p>
    <w:p w14:paraId="6FCFE95F" w14:textId="5445B275" w:rsidR="00A37E32" w:rsidRDefault="00EA1F64">
      <w:pPr>
        <w:pStyle w:val="berschrift1"/>
      </w:pPr>
      <w:r>
        <w:t xml:space="preserve">6. </w:t>
      </w:r>
      <w:r w:rsidR="00D26B22">
        <w:t>Company-Specific Extraction Rules</w:t>
      </w:r>
    </w:p>
    <w:p w14:paraId="1D6D9804" w14:textId="77777777" w:rsid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The four sheets use different naming conventions and therefore require individual extraction logic</w:t>
      </w:r>
      <w:r>
        <w:rPr>
          <w:lang w:val="en-GB"/>
        </w:rPr>
        <w:t>.</w:t>
      </w:r>
    </w:p>
    <w:p w14:paraId="3D478341" w14:textId="5A7A35C4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Amazon: technology is derived from Project Type, and financial instrument from Financial Instrument</w:t>
      </w:r>
    </w:p>
    <w:p w14:paraId="7B8338A4" w14:textId="503448A9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 xml:space="preserve">Google: technology is derived from Technology Type, and financial instrument from </w:t>
      </w:r>
      <w:proofErr w:type="gramStart"/>
      <w:r w:rsidRPr="00D26B22">
        <w:rPr>
          <w:lang w:val="en-GB"/>
        </w:rPr>
        <w:t>Financial</w:t>
      </w:r>
      <w:proofErr w:type="gramEnd"/>
      <w:r w:rsidRPr="00D26B22">
        <w:rPr>
          <w:lang w:val="en-GB"/>
        </w:rPr>
        <w:t xml:space="preserve"> instrument. </w:t>
      </w:r>
    </w:p>
    <w:p w14:paraId="2B13EB3C" w14:textId="106D95F1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Meta and Microsoft: technology is derived from Technology, and financial instrument from Financial Instrument / Partner</w:t>
      </w:r>
    </w:p>
    <w:p w14:paraId="66BB07A7" w14:textId="36341F42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After extraction, all company-level datasets are combined into a single project-level dataset.</w:t>
      </w:r>
    </w:p>
    <w:p w14:paraId="5831FF93" w14:textId="3139A985" w:rsidR="00A37E32" w:rsidRDefault="00EA1F64">
      <w:pPr>
        <w:pStyle w:val="berschrift1"/>
      </w:pPr>
      <w:r>
        <w:t xml:space="preserve">7. </w:t>
      </w:r>
      <w:r w:rsidR="00D26B22">
        <w:t>Base Variable</w:t>
      </w:r>
    </w:p>
    <w:p w14:paraId="34161BA8" w14:textId="71858A97" w:rsidR="00D26B22" w:rsidRPr="00D26B22" w:rsidRDefault="00D26B22" w:rsidP="00D26B22">
      <w:pPr>
        <w:spacing w:after="120"/>
        <w:rPr>
          <w:lang w:val="en-GB"/>
        </w:rPr>
      </w:pPr>
      <w:r>
        <w:rPr>
          <w:lang w:val="en-GB"/>
        </w:rPr>
        <w:t>T</w:t>
      </w:r>
      <w:r w:rsidRPr="00D26B22">
        <w:rPr>
          <w:lang w:val="en-GB"/>
        </w:rPr>
        <w:t>he base variable for this analysis is the number of recorded projects (deal count).</w:t>
      </w:r>
    </w:p>
    <w:p w14:paraId="1F1B72B8" w14:textId="4F2FBCC5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Unlike the main technology mix analysis, no capacity (MW) data is used. Each project contributes equally to the calculation regardless of size.</w:t>
      </w:r>
    </w:p>
    <w:p w14:paraId="7AED6AF8" w14:textId="56C42696" w:rsidR="00A37E32" w:rsidRDefault="00EA1F64">
      <w:pPr>
        <w:pStyle w:val="berschrift1"/>
      </w:pPr>
      <w:r>
        <w:t xml:space="preserve">8. </w:t>
      </w:r>
      <w:r w:rsidR="00D26B22">
        <w:t>Aggregation Method</w:t>
      </w:r>
    </w:p>
    <w:p w14:paraId="2A823FA2" w14:textId="08BFF89E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The aggregation is performed as follows:</w:t>
      </w:r>
    </w:p>
    <w:p w14:paraId="356DCFE9" w14:textId="77777777" w:rsidR="00D26B22" w:rsidRDefault="00D26B22" w:rsidP="00D26B22">
      <w:pPr>
        <w:pStyle w:val="Listenabsatz"/>
        <w:numPr>
          <w:ilvl w:val="0"/>
          <w:numId w:val="4"/>
        </w:numPr>
        <w:spacing w:after="120"/>
        <w:rPr>
          <w:lang w:val="en-GB"/>
        </w:rPr>
      </w:pPr>
      <w:r w:rsidRPr="00D26B22">
        <w:rPr>
          <w:lang w:val="en-GB"/>
        </w:rPr>
        <w:t>Group projects by technology and financial instrument</w:t>
      </w:r>
    </w:p>
    <w:p w14:paraId="189B75BB" w14:textId="77777777" w:rsidR="00D26B22" w:rsidRDefault="00D26B22" w:rsidP="00D26B22">
      <w:pPr>
        <w:pStyle w:val="Listenabsatz"/>
        <w:numPr>
          <w:ilvl w:val="0"/>
          <w:numId w:val="4"/>
        </w:numPr>
        <w:spacing w:after="120"/>
        <w:rPr>
          <w:lang w:val="en-GB"/>
        </w:rPr>
      </w:pPr>
      <w:r w:rsidRPr="00D26B22">
        <w:rPr>
          <w:lang w:val="en-GB"/>
        </w:rPr>
        <w:t>Count the number of projects in each combination</w:t>
      </w:r>
    </w:p>
    <w:p w14:paraId="21A716DB" w14:textId="013582F5" w:rsidR="00D26B22" w:rsidRPr="00D26B22" w:rsidRDefault="00D26B22" w:rsidP="00D26B22">
      <w:pPr>
        <w:pStyle w:val="Listenabsatz"/>
        <w:numPr>
          <w:ilvl w:val="0"/>
          <w:numId w:val="4"/>
        </w:numPr>
        <w:spacing w:after="120"/>
        <w:rPr>
          <w:lang w:val="en-GB"/>
        </w:rPr>
      </w:pPr>
      <w:r w:rsidRPr="00D26B22">
        <w:rPr>
          <w:lang w:val="en-GB"/>
        </w:rPr>
        <w:t>Calculate the share of each financial instrument within each technology</w:t>
      </w:r>
    </w:p>
    <w:p w14:paraId="6274E561" w14:textId="1D822A4B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Formula per technology:</w:t>
      </w:r>
      <w:r>
        <w:rPr>
          <w:lang w:val="en-GB"/>
        </w:rPr>
        <w:t xml:space="preserve"> </w:t>
      </w:r>
      <w:proofErr w:type="spellStart"/>
      <w:r w:rsidRPr="00D26B22">
        <w:rPr>
          <w:lang w:val="en-GB"/>
        </w:rPr>
        <w:t>instrument_share</w:t>
      </w:r>
      <w:proofErr w:type="spellEnd"/>
      <w:r w:rsidRPr="00D26B22">
        <w:rPr>
          <w:lang w:val="en-GB"/>
        </w:rPr>
        <w:t xml:space="preserve"> (%) = </w:t>
      </w:r>
      <w:proofErr w:type="spellStart"/>
      <w:r w:rsidRPr="00D26B22">
        <w:rPr>
          <w:lang w:val="en-GB"/>
        </w:rPr>
        <w:t>instrument_project_count</w:t>
      </w:r>
      <w:proofErr w:type="spellEnd"/>
      <w:r w:rsidRPr="00D26B22">
        <w:rPr>
          <w:lang w:val="en-GB"/>
        </w:rPr>
        <w:t xml:space="preserve"> / </w:t>
      </w:r>
      <w:proofErr w:type="spellStart"/>
      <w:r w:rsidRPr="00D26B22">
        <w:rPr>
          <w:lang w:val="en-GB"/>
        </w:rPr>
        <w:t>total_project_count_for_that_technology</w:t>
      </w:r>
      <w:proofErr w:type="spellEnd"/>
      <w:r w:rsidRPr="00D26B22">
        <w:rPr>
          <w:lang w:val="en-GB"/>
        </w:rPr>
        <w:t xml:space="preserve"> × 100</w:t>
      </w:r>
    </w:p>
    <w:p w14:paraId="02486818" w14:textId="7C31420D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This produces a 100% distribution of financial instruments for each technology category.</w:t>
      </w:r>
    </w:p>
    <w:p w14:paraId="6E4FCC85" w14:textId="178FAF3C" w:rsidR="00A37E32" w:rsidRDefault="00EA1F64">
      <w:pPr>
        <w:pStyle w:val="berschrift1"/>
      </w:pPr>
      <w:r>
        <w:t xml:space="preserve">9. </w:t>
      </w:r>
      <w:r w:rsidR="00D26B22">
        <w:t>Aggregation Pipeline</w:t>
      </w:r>
    </w:p>
    <w:p w14:paraId="73C03E71" w14:textId="2BB9F243" w:rsidR="00D26B22" w:rsidRPr="00D26B22" w:rsidRDefault="00D26B22" w:rsidP="00D26B22">
      <w:pPr>
        <w:spacing w:after="120"/>
        <w:rPr>
          <w:lang w:val="en-GB"/>
        </w:rPr>
      </w:pPr>
      <w:r>
        <w:rPr>
          <w:lang w:val="en-GB"/>
        </w:rPr>
        <w:t>The full data flow is:</w:t>
      </w:r>
    </w:p>
    <w:p w14:paraId="5F6A46C4" w14:textId="2B0ED9A4" w:rsid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Read the four sheets from dataset digiecos.xlsx</w:t>
      </w:r>
    </w:p>
    <w:p w14:paraId="675FF661" w14:textId="77777777" w:rsid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Standardize column names across sheets</w:t>
      </w:r>
    </w:p>
    <w:p w14:paraId="4C473E5E" w14:textId="77777777" w:rsid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Extract project name, technology, and financial instrument</w:t>
      </w:r>
    </w:p>
    <w:p w14:paraId="3C9DF121" w14:textId="77777777" w:rsid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Normalize technology into five broad categories</w:t>
      </w:r>
    </w:p>
    <w:p w14:paraId="44C2CBA5" w14:textId="77777777" w:rsid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Normalize financial instruments into three categories</w:t>
      </w:r>
    </w:p>
    <w:p w14:paraId="61BB3D99" w14:textId="77777777" w:rsid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Remove invalid or incomplete rows</w:t>
      </w:r>
    </w:p>
    <w:p w14:paraId="40D5BBCA" w14:textId="77777777" w:rsid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Group by technology and instrument and count projects</w:t>
      </w:r>
    </w:p>
    <w:p w14:paraId="576DF1C5" w14:textId="77777777" w:rsid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Convert counts into percentage shares</w:t>
      </w:r>
    </w:p>
    <w:p w14:paraId="6BEFDB14" w14:textId="4C1A612D" w:rsidR="00D26B22" w:rsidRPr="00D26B22" w:rsidRDefault="00D26B22" w:rsidP="00D26B22">
      <w:pPr>
        <w:pStyle w:val="Listenabsatz"/>
        <w:numPr>
          <w:ilvl w:val="0"/>
          <w:numId w:val="5"/>
        </w:numPr>
        <w:spacing w:after="120"/>
        <w:rPr>
          <w:lang w:val="en-GB"/>
        </w:rPr>
      </w:pPr>
      <w:r w:rsidRPr="00D26B22">
        <w:rPr>
          <w:lang w:val="en-GB"/>
        </w:rPr>
        <w:t>Plot the results as a 100% stacked horizontal bar chart</w:t>
      </w:r>
    </w:p>
    <w:p w14:paraId="08819D32" w14:textId="6B603A47" w:rsidR="00A37E32" w:rsidRDefault="00EA1F64">
      <w:pPr>
        <w:pStyle w:val="berschrift1"/>
      </w:pPr>
      <w:r>
        <w:lastRenderedPageBreak/>
        <w:t>1</w:t>
      </w:r>
      <w:r w:rsidR="00D26B22">
        <w:t>0</w:t>
      </w:r>
      <w:r>
        <w:t>. Chart Design Choices</w:t>
      </w:r>
    </w:p>
    <w:p w14:paraId="2F950D32" w14:textId="77777777" w:rsid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Chart type: 100% stacked horizontal bar chart</w:t>
      </w:r>
      <w:r>
        <w:rPr>
          <w:lang w:val="en-GB"/>
        </w:rPr>
        <w:t>, e</w:t>
      </w:r>
      <w:r w:rsidRPr="00D26B22">
        <w:rPr>
          <w:lang w:val="en-GB"/>
        </w:rPr>
        <w:t>ach bar represents a technology category</w:t>
      </w:r>
      <w:r>
        <w:rPr>
          <w:lang w:val="en-GB"/>
        </w:rPr>
        <w:t>, while e</w:t>
      </w:r>
      <w:r w:rsidRPr="00D26B22">
        <w:rPr>
          <w:lang w:val="en-GB"/>
        </w:rPr>
        <w:t>ach segment represents a financial instrument share</w:t>
      </w:r>
      <w:r>
        <w:rPr>
          <w:lang w:val="en-GB"/>
        </w:rPr>
        <w:t xml:space="preserve">. </w:t>
      </w:r>
      <w:r w:rsidRPr="00D26B22">
        <w:rPr>
          <w:lang w:val="en-GB"/>
        </w:rPr>
        <w:t>The x-axis shows percentage shares (0–100%)</w:t>
      </w:r>
      <w:r>
        <w:rPr>
          <w:lang w:val="en-GB"/>
        </w:rPr>
        <w:t xml:space="preserve">. </w:t>
      </w:r>
      <w:r w:rsidRPr="00D26B22">
        <w:rPr>
          <w:lang w:val="en-GB"/>
        </w:rPr>
        <w:t>The y-axis shows technology categories</w:t>
      </w:r>
      <w:r>
        <w:rPr>
          <w:lang w:val="en-GB"/>
        </w:rPr>
        <w:t xml:space="preserve">. </w:t>
      </w:r>
    </w:p>
    <w:p w14:paraId="08C9C89A" w14:textId="0B96B471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Segment labels are shown only when the share is at least 8% to avoid clutter.</w:t>
      </w:r>
    </w:p>
    <w:p w14:paraId="0E380E49" w14:textId="7C545266" w:rsidR="00D26B22" w:rsidRPr="00D26B22" w:rsidRDefault="00D26B22" w:rsidP="00D26B22">
      <w:pPr>
        <w:spacing w:after="120"/>
        <w:rPr>
          <w:lang w:val="en-GB"/>
        </w:rPr>
      </w:pPr>
      <w:proofErr w:type="spellStart"/>
      <w:r w:rsidRPr="00D26B22">
        <w:rPr>
          <w:lang w:val="en-GB"/>
        </w:rPr>
        <w:t>Color</w:t>
      </w:r>
      <w:proofErr w:type="spellEnd"/>
      <w:r w:rsidRPr="00D26B22">
        <w:rPr>
          <w:lang w:val="en-GB"/>
        </w:rPr>
        <w:t xml:space="preserve"> coding:</w:t>
      </w:r>
      <w:r>
        <w:rPr>
          <w:lang w:val="en-GB"/>
        </w:rPr>
        <w:t xml:space="preserve"> </w:t>
      </w:r>
      <w:r w:rsidRPr="00D26B22">
        <w:rPr>
          <w:lang w:val="en-GB"/>
        </w:rPr>
        <w:t>PPA</w:t>
      </w:r>
      <w:r>
        <w:rPr>
          <w:lang w:val="en-GB"/>
        </w:rPr>
        <w:t xml:space="preserve"> = </w:t>
      </w:r>
      <w:r w:rsidRPr="00D26B22">
        <w:rPr>
          <w:lang w:val="en-GB"/>
        </w:rPr>
        <w:t>orange</w:t>
      </w:r>
      <w:r>
        <w:rPr>
          <w:lang w:val="en-GB"/>
        </w:rPr>
        <w:t xml:space="preserve">, </w:t>
      </w:r>
      <w:r w:rsidRPr="00D26B22">
        <w:rPr>
          <w:lang w:val="en-GB"/>
        </w:rPr>
        <w:t>Equity</w:t>
      </w:r>
      <w:r>
        <w:rPr>
          <w:lang w:val="en-GB"/>
        </w:rPr>
        <w:t xml:space="preserve"> = </w:t>
      </w:r>
      <w:r w:rsidRPr="00D26B22">
        <w:rPr>
          <w:lang w:val="en-GB"/>
        </w:rPr>
        <w:t xml:space="preserve"> blu</w:t>
      </w:r>
      <w:r>
        <w:rPr>
          <w:lang w:val="en-GB"/>
        </w:rPr>
        <w:t xml:space="preserve">e, </w:t>
      </w:r>
      <w:r w:rsidRPr="00D26B22">
        <w:rPr>
          <w:lang w:val="en-GB"/>
        </w:rPr>
        <w:t>Development partnership</w:t>
      </w:r>
      <w:r>
        <w:rPr>
          <w:lang w:val="en-GB"/>
        </w:rPr>
        <w:t xml:space="preserve"> =</w:t>
      </w:r>
      <w:r w:rsidRPr="00D26B22">
        <w:rPr>
          <w:lang w:val="en-GB"/>
        </w:rPr>
        <w:t xml:space="preserve"> purple</w:t>
      </w:r>
    </w:p>
    <w:p w14:paraId="1788CDA1" w14:textId="77777777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Output file: technology_deployment_by_instrument.png</w:t>
      </w:r>
    </w:p>
    <w:p w14:paraId="5A1757BB" w14:textId="49EA17FA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Resolution: 300 DPI PNG</w:t>
      </w:r>
    </w:p>
    <w:p w14:paraId="28843036" w14:textId="3DEEF5F4" w:rsidR="00A37E32" w:rsidRDefault="00EA1F64">
      <w:pPr>
        <w:pStyle w:val="berschrift1"/>
      </w:pPr>
      <w:r>
        <w:t>1</w:t>
      </w:r>
      <w:r w:rsidR="00D26B22">
        <w:t>1</w:t>
      </w:r>
      <w:r>
        <w:t xml:space="preserve">. </w:t>
      </w:r>
      <w:r w:rsidR="00D26B22">
        <w:t>Interpretation Scope</w:t>
      </w:r>
    </w:p>
    <w:p w14:paraId="28C72E5F" w14:textId="66CFECD9" w:rsidR="00D26B22" w:rsidRDefault="00D26B22" w:rsidP="00D26B22">
      <w:pPr>
        <w:spacing w:after="120"/>
      </w:pPr>
      <w:r>
        <w:t>This chart complements the main capacity-based analysis by focusing on how investments are structured rather than how much capacity is deployed.</w:t>
      </w:r>
    </w:p>
    <w:p w14:paraId="53A1B7E7" w14:textId="7C7F36AC" w:rsidR="00A37E32" w:rsidRDefault="00D26B22" w:rsidP="00D26B22">
      <w:pPr>
        <w:spacing w:after="120"/>
      </w:pPr>
      <w:r>
        <w:t>It enables comparison of</w:t>
      </w:r>
      <w:r>
        <w:t xml:space="preserve"> </w:t>
      </w:r>
      <w:r>
        <w:t>the dominance of PPAs in mature technologies such as wind</w:t>
      </w:r>
      <w:r>
        <w:t xml:space="preserve">, </w:t>
      </w:r>
      <w:r>
        <w:t>the increasing role of equity investments, particularly in solar</w:t>
      </w:r>
      <w:r>
        <w:t xml:space="preserve"> and </w:t>
      </w:r>
      <w:r>
        <w:t>the concentration of partnerships in firm technologies such as nuclear and geothermal</w:t>
      </w:r>
      <w:r w:rsidR="00EA1F64">
        <w:t>.</w:t>
      </w:r>
    </w:p>
    <w:p w14:paraId="6D9A4DC8" w14:textId="25BDEEC7" w:rsidR="00D26B22" w:rsidRDefault="00D26B22" w:rsidP="00D26B22">
      <w:pPr>
        <w:pStyle w:val="berschrift1"/>
      </w:pPr>
      <w:r>
        <w:t>12. Known Limitations</w:t>
      </w:r>
    </w:p>
    <w:p w14:paraId="29A00988" w14:textId="2CD6971D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The analysis is based on project counts rather than MW capacity or financial value, meaning all projects are weighted equally regardless of scale.</w:t>
      </w:r>
    </w:p>
    <w:p w14:paraId="6F7EF658" w14:textId="03A4783B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Financial instrument classification requires interpretation of heterogeneous labels across companies, which may introduce minor classification uncertainty.</w:t>
      </w:r>
    </w:p>
    <w:p w14:paraId="23B6E5C1" w14:textId="57A534D1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Technology categories are simplified into broad buckets, which may obscure hybrid or emerging configurations.</w:t>
      </w:r>
    </w:p>
    <w:p w14:paraId="3686C25C" w14:textId="3A98ED83" w:rsidR="00D26B22" w:rsidRPr="00D26B22" w:rsidRDefault="00D26B22" w:rsidP="00D26B22">
      <w:pPr>
        <w:spacing w:after="120"/>
        <w:rPr>
          <w:lang w:val="en-GB"/>
        </w:rPr>
      </w:pPr>
      <w:r w:rsidRPr="00D26B22">
        <w:rPr>
          <w:lang w:val="en-GB"/>
        </w:rPr>
        <w:t>Mixed financial structures are reduced to a single dominant category, limiting granularity.</w:t>
      </w:r>
    </w:p>
    <w:sectPr w:rsidR="00D26B22" w:rsidRPr="00D26B22">
      <w:pgSz w:w="12240" w:h="15840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D25"/>
    <w:multiLevelType w:val="multilevel"/>
    <w:tmpl w:val="B1E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33B35"/>
    <w:multiLevelType w:val="hybridMultilevel"/>
    <w:tmpl w:val="4AAC1EB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44E71"/>
    <w:multiLevelType w:val="hybridMultilevel"/>
    <w:tmpl w:val="F91427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9A7DF5"/>
    <w:multiLevelType w:val="hybridMultilevel"/>
    <w:tmpl w:val="0CC8991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994D91"/>
    <w:multiLevelType w:val="hybridMultilevel"/>
    <w:tmpl w:val="1492ABD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36231">
    <w:abstractNumId w:val="0"/>
  </w:num>
  <w:num w:numId="2" w16cid:durableId="526060546">
    <w:abstractNumId w:val="2"/>
  </w:num>
  <w:num w:numId="3" w16cid:durableId="347832187">
    <w:abstractNumId w:val="3"/>
  </w:num>
  <w:num w:numId="4" w16cid:durableId="1933122136">
    <w:abstractNumId w:val="1"/>
  </w:num>
  <w:num w:numId="5" w16cid:durableId="2139519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32"/>
    <w:rsid w:val="00112E1E"/>
    <w:rsid w:val="00377A8E"/>
    <w:rsid w:val="007A2D3D"/>
    <w:rsid w:val="008A03B5"/>
    <w:rsid w:val="00A37E32"/>
    <w:rsid w:val="00A42726"/>
    <w:rsid w:val="00AA623A"/>
    <w:rsid w:val="00D26B22"/>
    <w:rsid w:val="00EA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5E877"/>
  <w15:docId w15:val="{36B49E66-E2B5-E347-9E91-B2555A63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Heading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1A1A2E"/>
    </w:rPr>
  </w:style>
  <w:style w:type="paragraph" w:styleId="berschrift2">
    <w:name w:val="heading 2"/>
    <w:basedOn w:val="Heading"/>
    <w:uiPriority w:val="9"/>
    <w:semiHidden/>
    <w:unhideWhenUsed/>
    <w:qFormat/>
    <w:pPr>
      <w:outlineLvl w:val="1"/>
    </w:pPr>
    <w:rPr>
      <w:rFonts w:ascii="Arial" w:eastAsia="Arial" w:hAnsi="Arial" w:cs="Arial"/>
      <w:b/>
      <w:bCs/>
      <w:color w:val="2E4C8A"/>
      <w:sz w:val="24"/>
      <w:szCs w:val="24"/>
    </w:rPr>
  </w:style>
  <w:style w:type="paragraph" w:styleId="berschrift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unotenzeichen">
    <w:name w:val="footnote reference"/>
    <w:rPr>
      <w:vertAlign w:val="superscript"/>
    </w:rPr>
  </w:style>
  <w:style w:type="character" w:customStyle="1" w:styleId="FunotentextZchn">
    <w:name w:val="Fußnotentext Zchn"/>
    <w:link w:val="Funoten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EndnotentextZchn">
    <w:name w:val="Endnotentext Zchn"/>
    <w:link w:val="Endnoten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ucida Sans"/>
    </w:rPr>
  </w:style>
  <w:style w:type="paragraph" w:styleId="Titel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enabsatz">
    <w:name w:val="List Paragraph"/>
    <w:qFormat/>
  </w:style>
  <w:style w:type="paragraph" w:styleId="Funotentext">
    <w:name w:val="footnote text"/>
    <w:basedOn w:val="Standard"/>
    <w:link w:val="FunotentextZchn"/>
    <w:uiPriority w:val="99"/>
    <w:semiHidden/>
    <w:unhideWhenUsed/>
  </w:style>
  <w:style w:type="paragraph" w:styleId="Endnotentext">
    <w:name w:val="endnote text"/>
    <w:basedOn w:val="Standard"/>
    <w:link w:val="EndnotentextZchn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Wustinger, Marina</cp:lastModifiedBy>
  <cp:revision>3</cp:revision>
  <dcterms:created xsi:type="dcterms:W3CDTF">2026-04-17T11:40:00Z</dcterms:created>
  <dcterms:modified xsi:type="dcterms:W3CDTF">2026-04-17T12:03:00Z</dcterms:modified>
  <dc:language>en-US</dc:language>
</cp:coreProperties>
</file>