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Техническое задание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«Создание сервиса «Маршрутизация судов в условиях СМП»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Росатомфлот</w:t>
      </w:r>
      <w:r>
        <w:rPr>
          <w:rFonts w:ascii="Times New Roman" w:hAnsi="Times New Roman" w:eastAsia="Times New Roman" w:cs="Times New Roman"/>
        </w:rPr>
        <w:t xml:space="preserve"> создает единую платформу цифровых сервисов Севморпути. Безопасность и удобство – вот основные критерии, которыми грузоп</w:t>
      </w:r>
      <w:r>
        <w:rPr>
          <w:rFonts w:ascii="Times New Roman" w:hAnsi="Times New Roman" w:eastAsia="Times New Roman" w:cs="Times New Roman"/>
        </w:rPr>
        <w:t xml:space="preserve">еревозчики руководствуются при выборе транспортных магистралей. Чтобы они сделали выбор в пользу Севморпути – создается Единая платформа цифровых сервисов Северного морского пути, аналогов которой в мире нет. С ее созданием пользователи получат «ледовый на</w:t>
      </w:r>
      <w:r>
        <w:rPr>
          <w:rFonts w:ascii="Times New Roman" w:hAnsi="Times New Roman" w:eastAsia="Times New Roman" w:cs="Times New Roman"/>
        </w:rPr>
        <w:t xml:space="preserve">вигатор», позволяющий просчитать время в пути из точки А в точку Б с точностью до нескольких часов. С помощью уникального ИТ-продукта плавание по арктической магистрали станет таким же надежным и комфортным, как по другим популярным транспортным маршрутам.</w:t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Основные задачи, которые решает предлагаемый к разработке силами конкурсантов сервис: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1"/>
          <w:numId w:val="1"/>
        </w:numPr>
        <w:spacing w:after="0" w:line="24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Обеспечение роста п</w:t>
      </w:r>
      <w:r>
        <w:rPr>
          <w:rFonts w:ascii="Times New Roman" w:hAnsi="Times New Roman" w:eastAsia="Times New Roman" w:cs="Times New Roman"/>
          <w:color w:val="000000"/>
        </w:rPr>
        <w:t xml:space="preserve">роизводительности СМП за счет сокращения времени на ледовую проводку транспортных кораблей (за счет оптимизации караванов и снижения времени нахождения грузовых кораблей в условиях СМП) и более ритмичной работы караванов/грузовых судов + атомных ледоколов;</w:t>
      </w:r>
      <w:r>
        <w:rPr>
          <w:color w:val="000000"/>
        </w:rPr>
      </w:r>
    </w:p>
    <w:p>
      <w:pPr>
        <w:numPr>
          <w:ilvl w:val="1"/>
          <w:numId w:val="1"/>
        </w:numPr>
        <w:spacing w:after="0" w:line="24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Определение оптимальной точки формирования караванов и автоматической адаптивной маршрутизацией между точками А и Б</w:t>
      </w:r>
      <w:r>
        <w:rPr>
          <w:color w:val="000000"/>
        </w:rPr>
      </w:r>
    </w:p>
    <w:p>
      <w:pPr>
        <w:numPr>
          <w:ilvl w:val="0"/>
          <w:numId w:val="1"/>
        </w:numPr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Предусмотреть вычисление: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1"/>
          <w:numId w:val="1"/>
        </w:numPr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оптимальных маршрутов транспортных судов и караванов с учетом представленной в условиях задачи изменяющейся ледовой обстановки;</w:t>
      </w:r>
      <w:r/>
    </w:p>
    <w:p>
      <w:pPr>
        <w:numPr>
          <w:ilvl w:val="1"/>
          <w:numId w:val="1"/>
        </w:num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конфигураций распределения транспортных судов по караванам для их последующей проводки атомными ледоколами по СМП.</w:t>
      </w:r>
      <w:r/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Краткое описание задачи:</w:t>
      </w:r>
      <w:r>
        <w:rPr>
          <w:rFonts w:ascii="Times New Roman" w:hAnsi="Times New Roman" w:eastAsia="Times New Roman" w:cs="Times New Roman"/>
        </w:rPr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 основе динамич</w:t>
      </w:r>
      <w:r>
        <w:rPr>
          <w:rFonts w:ascii="Times New Roman" w:hAnsi="Times New Roman" w:eastAsia="Times New Roman" w:cs="Times New Roman"/>
        </w:rPr>
        <w:t xml:space="preserve">еских данных о ледовой обстановке на СМП и фиксированного графа переходов судов (типовых маршрутов судов) по СМП предлагается решить задачу оптимального движения транспортных судов по СМП с учетом потребностей в ледовом сопровождении (атомными ледоколами).</w:t>
      </w:r>
      <w:r>
        <w:rPr>
          <w:rFonts w:ascii="Times New Roman" w:hAnsi="Times New Roman" w:eastAsia="Times New Roman" w:cs="Times New Roman"/>
        </w:rPr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 постановке задачи используются: </w:t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2"/>
        </w:numPr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Динамические данные о ледовой обстановке за заданный временной интервал, представлены файлом IntegrVelocity.xlsx: два первых листа – координаты, на последующих данны</w:t>
      </w:r>
      <w:r>
        <w:rPr>
          <w:rFonts w:ascii="Times New Roman" w:hAnsi="Times New Roman" w:eastAsia="Times New Roman" w:cs="Times New Roman"/>
        </w:rPr>
        <w:t xml:space="preserve">х</w:t>
      </w:r>
      <w:r>
        <w:rPr>
          <w:rFonts w:ascii="Times New Roman" w:hAnsi="Times New Roman" w:eastAsia="Times New Roman" w:cs="Times New Roman"/>
          <w:color w:val="000000"/>
        </w:rPr>
        <w:t xml:space="preserve"> по «интегральному льду с интервалом в неделю). Таблицы, представляющие собой пространственную сетку, содержат описание </w:t>
      </w:r>
      <w:r>
        <w:rPr>
          <w:rFonts w:ascii="Times New Roman" w:hAnsi="Times New Roman" w:eastAsia="Times New Roman" w:cs="Times New Roman"/>
          <w:color w:val="000000"/>
        </w:rPr>
        <w:t xml:space="preserve">равнодлинной</w:t>
      </w:r>
      <w:r>
        <w:rPr>
          <w:rFonts w:ascii="Times New Roman" w:hAnsi="Times New Roman" w:eastAsia="Times New Roman" w:cs="Times New Roman"/>
          <w:color w:val="000000"/>
        </w:rPr>
        <w:t xml:space="preserve"> сетки в полярной стереографической проекции. В ней перечислены все её ячейки по рядам и столбцам, для каждой указаны координаты левого верхнего угла, размерность сетки 25x25 километров. Временные и</w:t>
      </w:r>
      <w:r>
        <w:rPr>
          <w:rFonts w:ascii="Times New Roman" w:hAnsi="Times New Roman" w:eastAsia="Times New Roman" w:cs="Times New Roman"/>
          <w:color w:val="000000"/>
        </w:rPr>
        <w:t xml:space="preserve">зменения состояния льда представлены с интервалом в неделю. Значения, указанные в ячейках, получены путем обработки всех характеристик слоев льда и нормированы к виду «интегральной тяжести» льда в терминах достижимой скорости ледокола ЛК-60 в каждой ячейке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(при ра</w:t>
      </w:r>
      <w:r>
        <w:rPr>
          <w:rFonts w:ascii="Times New Roman" w:hAnsi="Times New Roman" w:eastAsia="Times New Roman" w:cs="Times New Roman"/>
          <w:color w:val="000000"/>
        </w:rPr>
        <w:t xml:space="preserve">счете «интегральной тяжести льда» учитывались такие параметры льда как сплочённость, толщина, категория льда, форма, торосы, сжатия (сила и направление) и т.д.). Нулевые и отрицательные значения в ячейках обозначают: непроходимый для судов лед, либо землю.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2"/>
        </w:numPr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В задаче используется граф переходов, представленный в файле ГрафДанные.xlsx. Граф переходов (фиксированный граф типовых транспортных маршрутов) представляет собой статистически наиболее вероятные маршруты движен</w:t>
      </w:r>
      <w:r>
        <w:rPr>
          <w:rFonts w:ascii="Times New Roman" w:hAnsi="Times New Roman" w:eastAsia="Times New Roman" w:cs="Times New Roman"/>
          <w:color w:val="000000"/>
        </w:rPr>
        <w:t xml:space="preserve">ия судов, полученные из истории судоходства. Участники должны использовать переходы по ребрам этого графа. Вес ребра рассчитывается самостоятельно на основе «интегральной тяжести» льда (файл: IntegrVelocity.xlsx) с соответствующей временной дискретизацией.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2"/>
        </w:numPr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Вспомогательные данные, представленные для удобства визуализации (</w:t>
      </w:r>
      <w:r>
        <w:rPr>
          <w:rFonts w:ascii="Times New Roman" w:hAnsi="Times New Roman" w:eastAsia="Times New Roman" w:cs="Times New Roman"/>
          <w:color w:val="000000"/>
        </w:rPr>
        <w:t xml:space="preserve">шейп</w:t>
      </w:r>
      <w:r>
        <w:rPr>
          <w:rFonts w:ascii="Times New Roman" w:hAnsi="Times New Roman" w:eastAsia="Times New Roman" w:cs="Times New Roman"/>
          <w:color w:val="000000"/>
        </w:rPr>
        <w:t xml:space="preserve"> береговой линии СМП) - находятся в GOaS_v1_20211214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2"/>
        </w:numPr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График заявок, содержа</w:t>
      </w:r>
      <w:r>
        <w:rPr>
          <w:rFonts w:ascii="Times New Roman" w:hAnsi="Times New Roman" w:eastAsia="Times New Roman" w:cs="Times New Roman"/>
        </w:rPr>
        <w:t xml:space="preserve">щ</w:t>
      </w:r>
      <w:r>
        <w:rPr>
          <w:rFonts w:ascii="Times New Roman" w:hAnsi="Times New Roman" w:eastAsia="Times New Roman" w:cs="Times New Roman"/>
          <w:color w:val="000000"/>
        </w:rPr>
        <w:t xml:space="preserve">ий перечень и (расписание) движения транспортных судов, скорости движения транспортных судов и ледоколов по открытой воде, ледовый класс судна, представлены в файле: Расписание движения судов.xlsx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2"/>
        </w:numPr>
        <w:jc w:val="both"/>
        <w:spacing w:before="24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</w:rPr>
        <w:t xml:space="preserve">Ограничения на движение судов. В зависимости от ледового класса судна и </w:t>
      </w:r>
      <w:r>
        <w:rPr>
          <w:rFonts w:ascii="Times New Roman" w:hAnsi="Times New Roman" w:eastAsia="Times New Roman" w:cs="Times New Roman"/>
          <w:color w:val="000000"/>
        </w:rPr>
        <w:t xml:space="preserve">«интегральной тяжести» льда (файл: IntegrVelocity.xlsx) </w:t>
      </w:r>
      <w:r>
        <w:rPr>
          <w:rFonts w:ascii="Cambria" w:hAnsi="Cambria" w:eastAsia="Cambria" w:cs="Cambria"/>
          <w:color w:val="000000"/>
        </w:rPr>
        <w:t xml:space="preserve">судно может двигаться на отрезке маршрута </w:t>
      </w:r>
      <w:r>
        <w:rPr>
          <w:rFonts w:ascii="Cambria" w:hAnsi="Cambria" w:eastAsia="Cambria" w:cs="Cambria"/>
          <w:b/>
          <w:color w:val="000000"/>
        </w:rPr>
        <w:t xml:space="preserve">самостоятельно</w:t>
      </w:r>
      <w:r>
        <w:rPr>
          <w:rFonts w:ascii="Cambria" w:hAnsi="Cambria" w:eastAsia="Cambria" w:cs="Cambria"/>
          <w:color w:val="000000"/>
        </w:rPr>
        <w:t xml:space="preserve"> или </w:t>
      </w:r>
      <w:r>
        <w:rPr>
          <w:rFonts w:ascii="Cambria" w:hAnsi="Cambria" w:eastAsia="Cambria" w:cs="Cambria"/>
          <w:b/>
          <w:color w:val="000000"/>
        </w:rPr>
        <w:t xml:space="preserve">под проводкой ледокола </w:t>
      </w:r>
      <w:r>
        <w:rPr>
          <w:rFonts w:ascii="Cambria" w:hAnsi="Cambria" w:eastAsia="Cambria" w:cs="Cambria"/>
          <w:color w:val="000000"/>
        </w:rPr>
        <w:t xml:space="preserve">или </w:t>
      </w:r>
      <w:r>
        <w:rPr>
          <w:rFonts w:ascii="Cambria" w:hAnsi="Cambria" w:eastAsia="Cambria" w:cs="Cambria"/>
          <w:b/>
          <w:color w:val="000000"/>
        </w:rPr>
        <w:t xml:space="preserve">движение судна запрещено</w:t>
      </w:r>
      <w:r>
        <w:rPr>
          <w:rFonts w:ascii="Cambria" w:hAnsi="Cambria" w:eastAsia="Cambria" w:cs="Cambria"/>
          <w:color w:val="000000"/>
        </w:rPr>
        <w:t xml:space="preserve">.</w:t>
      </w:r>
      <w:r/>
    </w:p>
    <w:p>
      <w:pPr>
        <w:ind w:left="714"/>
        <w:jc w:val="both"/>
        <w:spacing w:after="120"/>
        <w:rPr>
          <w:rFonts w:ascii="Cambria" w:hAnsi="Cambria" w:eastAsia="Cambria" w:cs="Cambria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</w:rPr>
        <w:t xml:space="preserve">Если судно может двигаться самостоятельно, то допускается его включение в караван (не более 3-х судов без учета самого ледокола) под проводку ледоколом для обеспечения максимальной скорости прохождения.</w:t>
      </w:r>
      <w:r>
        <w:rPr>
          <w:rFonts w:ascii="Cambria" w:hAnsi="Cambria" w:eastAsia="Cambria" w:cs="Cambria"/>
          <w:color w:val="000000"/>
        </w:rPr>
      </w:r>
    </w:p>
    <w:p>
      <w:pPr>
        <w:numPr>
          <w:ilvl w:val="0"/>
          <w:numId w:val="2"/>
        </w:numPr>
        <w:ind w:left="714"/>
        <w:jc w:val="both"/>
        <w:spacing w:before="24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</w:rPr>
        <w:t xml:space="preserve">Ледовые условия (указаны в </w:t>
      </w:r>
      <w:r>
        <w:rPr>
          <w:rFonts w:ascii="Times New Roman" w:hAnsi="Times New Roman" w:eastAsia="Times New Roman" w:cs="Times New Roman"/>
          <w:color w:val="000000"/>
        </w:rPr>
        <w:t xml:space="preserve">«интегральная тяжесть» льда</w:t>
      </w:r>
      <w:r>
        <w:rPr>
          <w:rFonts w:ascii="Cambria" w:hAnsi="Cambria" w:eastAsia="Cambria" w:cs="Cambria"/>
          <w:color w:val="000000"/>
        </w:rPr>
        <w:t xml:space="preserve">) замедляют скорость движения судна, относительно скорости движения судна чистой воде.</w:t>
      </w:r>
      <w:r/>
    </w:p>
    <w:p>
      <w:pPr>
        <w:ind w:left="714"/>
        <w:jc w:val="both"/>
        <w:spacing w:before="240" w:after="120"/>
        <w:rPr>
          <w:rFonts w:ascii="Cambria" w:hAnsi="Cambria" w:eastAsia="Cambria" w:cs="Cambria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</w:rPr>
        <w:t xml:space="preserve">Таблица 1. Зависимость скорости судов от ледового класса и ледовых условий.</w:t>
      </w:r>
      <w:r>
        <w:rPr>
          <w:rFonts w:ascii="Cambria" w:hAnsi="Cambria" w:eastAsia="Cambria" w:cs="Cambria"/>
          <w:color w:val="000000"/>
        </w:rPr>
      </w:r>
    </w:p>
    <w:tbl>
      <w:tblPr>
        <w:tblStyle w:val="661"/>
        <w:tblW w:w="768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1965"/>
        <w:gridCol w:w="1965"/>
        <w:gridCol w:w="1965"/>
      </w:tblGrid>
      <w:tr>
        <w:tblPrEx/>
        <w:trPr>
          <w:cantSplit/>
          <w:jc w:val="center"/>
          <w:tblHeader/>
        </w:trPr>
        <w:tc>
          <w:tcPr>
            <w:tcW w:w="1790" w:type="dxa"/>
            <w:vMerge w:val="restart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Ледовый класс</w:t>
            </w:r>
            <w:r>
              <w:rPr>
                <w:b/>
                <w:color w:val="000000"/>
              </w:rPr>
            </w:r>
          </w:p>
        </w:tc>
        <w:tc>
          <w:tcPr>
            <w:gridSpan w:val="3"/>
            <w:tcW w:w="5895" w:type="dxa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Интегральная тяжесть льда (ЛК-60)</w:t>
            </w:r>
            <w:r>
              <w:rPr>
                <w:b/>
                <w:color w:val="000000"/>
              </w:rPr>
            </w:r>
          </w:p>
        </w:tc>
      </w:tr>
      <w:tr>
        <w:tblPrEx/>
        <w:trPr>
          <w:cantSplit/>
          <w:jc w:val="center"/>
          <w:tblHeader/>
        </w:trPr>
        <w:tc>
          <w:tcPr>
            <w:tcW w:w="1790" w:type="dxa"/>
            <w:vMerge w:val="continue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</w:r>
            <w:r>
              <w:rPr>
                <w:b/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21-20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19-15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jc w:val="center"/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14-10</w:t>
            </w:r>
            <w:r>
              <w:rPr>
                <w:color w:val="000000"/>
              </w:rPr>
            </w:r>
          </w:p>
        </w:tc>
      </w:tr>
      <w:tr>
        <w:tblPrEx/>
        <w:trPr>
          <w:cantSplit/>
          <w:jc w:val="center"/>
        </w:trPr>
        <w:tc>
          <w:tcPr>
            <w:tcW w:w="1790" w:type="dxa"/>
            <w:textDirection w:val="lrTb"/>
            <w:noWrap w:val="false"/>
          </w:tcPr>
          <w:p>
            <w:pPr>
              <w:jc w:val="both"/>
              <w:spacing w:after="160" w:line="259" w:lineRule="auto"/>
              <w:rPr>
                <w:color w:val="000000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lang w:val="en-US"/>
              </w:rPr>
              <w:t xml:space="preserve">No ice class, Ice1-Ice3</w:t>
            </w:r>
            <w:r>
              <w:rPr>
                <w:color w:val="000000"/>
                <w:lang w:val="en-US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</w:t>
            </w:r>
            <w:r>
              <w:rPr>
                <w:color w:val="000000"/>
              </w:rPr>
            </w:r>
          </w:p>
          <w:p>
            <w:r>
              <w:t xml:space="preserve">Максимальная скорость указана в таблице (Скорость, узлы</w:t>
            </w:r>
            <w:r/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(по чистой воде))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Движение под проводкой*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Движение запрещено*</w:t>
            </w:r>
            <w:r>
              <w:rPr>
                <w:color w:val="000000"/>
              </w:rPr>
            </w:r>
          </w:p>
        </w:tc>
      </w:tr>
      <w:tr>
        <w:tblPrEx/>
        <w:trPr>
          <w:cantSplit/>
          <w:jc w:val="center"/>
        </w:trPr>
        <w:tc>
          <w:tcPr>
            <w:tcW w:w="1790" w:type="dxa"/>
            <w:textDirection w:val="lrTb"/>
            <w:noWrap w:val="false"/>
          </w:tcPr>
          <w:p>
            <w:pPr>
              <w:jc w:val="both"/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Arc4-Arc6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</w:t>
            </w:r>
            <w:r>
              <w:rPr>
                <w:color w:val="000000"/>
              </w:rPr>
            </w:r>
          </w:p>
          <w:p>
            <w:r>
              <w:t xml:space="preserve">Максимальная скорость указана в таблице (Скорость, узлы</w:t>
            </w:r>
            <w:r/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(по чистой воде))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Движение под проводкой.</w:t>
            </w:r>
            <w:r>
              <w:rPr>
                <w:color w:val="000000"/>
              </w:rPr>
            </w:r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Скорость под проводкой: Замедление относительно собственной максимальной скорости – 20%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Движение под проводкой.</w:t>
            </w:r>
            <w:r>
              <w:rPr>
                <w:color w:val="000000"/>
              </w:rPr>
            </w:r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Скорость под проводкой: Замедление относительно собственной максимальной скорости – 30%</w:t>
            </w:r>
            <w:r>
              <w:rPr>
                <w:color w:val="000000"/>
              </w:rPr>
            </w:r>
          </w:p>
        </w:tc>
      </w:tr>
      <w:tr>
        <w:tblPrEx/>
        <w:trPr>
          <w:cantSplit/>
          <w:jc w:val="center"/>
        </w:trPr>
        <w:tc>
          <w:tcPr>
            <w:tcW w:w="1790" w:type="dxa"/>
            <w:textDirection w:val="lrTb"/>
            <w:noWrap w:val="false"/>
          </w:tcPr>
          <w:p>
            <w:pPr>
              <w:jc w:val="both"/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Arc7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</w:t>
            </w:r>
            <w:r>
              <w:rPr>
                <w:color w:val="000000"/>
              </w:rPr>
            </w:r>
          </w:p>
          <w:p>
            <w:r>
              <w:t xml:space="preserve">Максимальная скорость указана в таблице (Скорость, узлы</w:t>
            </w:r>
            <w:r/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(по чистой воде))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</w:t>
            </w:r>
            <w:r>
              <w:rPr>
                <w:color w:val="000000"/>
              </w:rPr>
            </w:r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Скорость под проводкой: Замедление относительно собственной максимальной скорости – 40%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Движение под проводкой.</w:t>
            </w:r>
            <w:r>
              <w:rPr>
                <w:color w:val="000000"/>
              </w:rPr>
            </w:r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Скорость под проводкой: Замедление относительно собственной максимальной скорости – 20%</w:t>
            </w:r>
            <w:r>
              <w:rPr>
                <w:color w:val="000000"/>
              </w:rPr>
            </w:r>
          </w:p>
        </w:tc>
      </w:tr>
      <w:tr>
        <w:tblPrEx/>
        <w:trPr>
          <w:cantSplit/>
          <w:jc w:val="center"/>
        </w:trPr>
        <w:tc>
          <w:tcPr>
            <w:tcW w:w="1790" w:type="dxa"/>
            <w:textDirection w:val="lrTb"/>
            <w:noWrap w:val="false"/>
          </w:tcPr>
          <w:p>
            <w:pPr>
              <w:jc w:val="both"/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Arc9</w:t>
            </w:r>
            <w:r>
              <w:rPr>
                <w:color w:val="000000"/>
              </w:rPr>
            </w:r>
          </w:p>
          <w:p>
            <w:pPr>
              <w:jc w:val="both"/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50 лет Победы,</w:t>
            </w:r>
            <w:r>
              <w:rPr>
                <w:color w:val="000000"/>
              </w:rPr>
            </w:r>
          </w:p>
          <w:p>
            <w:pPr>
              <w:jc w:val="both"/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Ямал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</w:t>
            </w:r>
            <w:r>
              <w:rPr>
                <w:color w:val="000000"/>
              </w:rPr>
            </w:r>
          </w:p>
          <w:p>
            <w:r>
              <w:t xml:space="preserve">Максимальная скорость указана в таблице (Скорость, узлы</w:t>
            </w:r>
            <w:r/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(по чистой воде))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 Скорость: 19-15 узлов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 Скорость: 14-10 узлов</w:t>
            </w:r>
            <w:r>
              <w:rPr>
                <w:color w:val="000000"/>
              </w:rPr>
            </w:r>
          </w:p>
        </w:tc>
      </w:tr>
      <w:tr>
        <w:tblPrEx/>
        <w:trPr>
          <w:cantSplit/>
          <w:jc w:val="center"/>
        </w:trPr>
        <w:tc>
          <w:tcPr>
            <w:tcW w:w="1790" w:type="dxa"/>
            <w:textDirection w:val="lrTb"/>
            <w:noWrap w:val="false"/>
          </w:tcPr>
          <w:p>
            <w:pPr>
              <w:jc w:val="both"/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Arc9</w:t>
            </w:r>
            <w:r>
              <w:rPr>
                <w:color w:val="000000"/>
              </w:rPr>
            </w:r>
          </w:p>
          <w:p>
            <w:pPr>
              <w:jc w:val="both"/>
              <w:spacing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Вайгач,</w:t>
            </w:r>
            <w:r>
              <w:rPr>
                <w:color w:val="000000"/>
              </w:rPr>
            </w:r>
          </w:p>
          <w:p>
            <w:pPr>
              <w:jc w:val="both"/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Таймыр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</w:t>
            </w:r>
            <w:r>
              <w:rPr>
                <w:color w:val="000000"/>
              </w:rPr>
            </w:r>
          </w:p>
          <w:p>
            <w:r>
              <w:t xml:space="preserve">Максимальная скорость указана в таблице (Скорость, узлы</w:t>
            </w:r>
            <w:r/>
          </w:p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(по чистой воде))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 Скорость: Замедление относительно 19-15 узлов - 10%</w:t>
            </w:r>
            <w:r>
              <w:rPr>
                <w:color w:val="000000"/>
              </w:rPr>
            </w:r>
          </w:p>
        </w:tc>
        <w:tc>
          <w:tcPr>
            <w:tcW w:w="1965" w:type="dxa"/>
            <w:textDirection w:val="lrTb"/>
            <w:noWrap w:val="false"/>
          </w:tcPr>
          <w:p>
            <w:pPr>
              <w:spacing w:after="160" w:line="259" w:lineRule="auto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Самостоятельное движение. Скорость: Замедление относительно 14-10 узлов - 25%</w:t>
            </w:r>
            <w:r>
              <w:rPr>
                <w:color w:val="000000"/>
              </w:rPr>
            </w:r>
          </w:p>
        </w:tc>
      </w:tr>
    </w:tbl>
    <w:p>
      <w:pPr>
        <w:ind w:left="714"/>
        <w:jc w:val="both"/>
        <w:spacing w:after="120"/>
        <w:rPr>
          <w:rFonts w:ascii="Cambria" w:hAnsi="Cambria" w:eastAsia="Cambria" w:cs="Cambria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</w:rPr>
      </w:r>
      <w:r>
        <w:rPr>
          <w:rFonts w:ascii="Cambria" w:hAnsi="Cambria" w:eastAsia="Cambria" w:cs="Cambria"/>
          <w:color w:val="000000"/>
        </w:rPr>
      </w:r>
    </w:p>
    <w:p>
      <w:pPr>
        <w:jc w:val="both"/>
        <w:spacing w:after="120"/>
      </w:pPr>
      <w:r>
        <w:t xml:space="preserve">* - если судну задан режим движения под проводкой, то самостоятельное движение не допускается. Если движение судну запрещено, то не допускается ни самостоятельное движение, ни движение под проводкой ледокола.</w:t>
      </w:r>
      <w:r/>
    </w:p>
    <w:p>
      <w:pPr>
        <w:numPr>
          <w:ilvl w:val="0"/>
          <w:numId w:val="2"/>
        </w:numPr>
        <w:ind w:left="714"/>
        <w:jc w:val="both"/>
        <w:spacing w:before="24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</w:rPr>
        <w:t xml:space="preserve">Общая скорость движения каравана во льду рассчитывается исходя из технических возможностей наиболее слабого судна, учитывая его ледовый класс (см. таблицу «Расписание движения судов.xlsx») и указанное</w:t>
      </w:r>
      <w:r>
        <w:rPr>
          <w:rFonts w:ascii="Cambria" w:hAnsi="Cambria" w:eastAsia="Cambria" w:cs="Cambria"/>
        </w:rPr>
        <w:t xml:space="preserve"> </w:t>
      </w:r>
      <w:r>
        <w:rPr>
          <w:rFonts w:ascii="Cambria" w:hAnsi="Cambria" w:eastAsia="Cambria" w:cs="Cambria"/>
          <w:color w:val="000000"/>
        </w:rPr>
        <w:t xml:space="preserve">замедление (см. Таблица 1).</w:t>
      </w:r>
      <w:r>
        <w:rPr>
          <w:rFonts w:ascii="Cambria" w:hAnsi="Cambria" w:eastAsia="Cambria" w:cs="Cambria"/>
          <w:color w:val="000000"/>
        </w:rPr>
        <w:br/>
      </w:r>
      <w:r/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Информация о ледоколах (Таблица 2):</w:t>
      </w:r>
      <w:r>
        <w:rPr>
          <w:rFonts w:ascii="Times New Roman" w:hAnsi="Times New Roman" w:eastAsia="Times New Roman" w:cs="Times New Roman"/>
        </w:rPr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Таблица 2. Перечень ледоколов</w:t>
      </w:r>
      <w:r>
        <w:rPr>
          <w:rFonts w:ascii="Times New Roman" w:hAnsi="Times New Roman" w:eastAsia="Times New Roman" w:cs="Times New Roman"/>
        </w:rPr>
      </w:r>
    </w:p>
    <w:tbl>
      <w:tblPr>
        <w:tblStyle w:val="662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1803"/>
        <w:gridCol w:w="2268"/>
        <w:gridCol w:w="2835"/>
      </w:tblGrid>
      <w:tr>
        <w:tblPrEx/>
        <w:trPr>
          <w:trHeight w:val="12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4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Наименование</w:t>
            </w:r>
            <w:r>
              <w:rPr>
                <w:b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0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Скорость, узлы </w:t>
            </w:r>
            <w:r>
              <w:rPr>
                <w:b/>
                <w:color w:val="000000"/>
              </w:rPr>
              <w:br/>
              <w:t xml:space="preserve">(по чистой воде)</w:t>
            </w:r>
            <w:r>
              <w:rPr>
                <w:b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Ледовый класс</w:t>
            </w:r>
            <w:r>
              <w:rPr>
                <w:b/>
                <w:color w:val="000000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Начальное положение ледоколов на 27 февраля 2022</w:t>
            </w:r>
            <w:r>
              <w:rPr>
                <w:b/>
                <w:color w:val="000000"/>
              </w:rPr>
            </w:r>
          </w:p>
        </w:tc>
      </w:tr>
      <w:tr>
        <w:tblPrEx/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4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50 лет Победы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0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22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Arc</w:t>
            </w:r>
            <w:r>
              <w:rPr>
                <w:color w:val="000000"/>
              </w:rPr>
              <w:t xml:space="preserve"> 9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Пролив Лонга</w:t>
            </w:r>
            <w:r>
              <w:rPr>
                <w:color w:val="000000"/>
              </w:rPr>
            </w:r>
          </w:p>
        </w:tc>
      </w:tr>
      <w:tr>
        <w:tblPrEx/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4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Ямал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0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21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Arc</w:t>
            </w:r>
            <w:r>
              <w:rPr>
                <w:color w:val="000000"/>
              </w:rPr>
              <w:t xml:space="preserve"> 9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Рейд Мурманска</w:t>
            </w:r>
            <w:r>
              <w:rPr>
                <w:color w:val="000000"/>
              </w:rPr>
            </w:r>
          </w:p>
        </w:tc>
      </w:tr>
      <w:tr>
        <w:tblPrEx/>
        <w:trPr>
          <w:trHeight w:val="315"/>
        </w:trPr>
        <w:tc>
          <w:tcPr>
            <w:shd w:val="clear" w:color="auto" w:fill="auto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4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Таймыр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0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18,5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Arc</w:t>
            </w:r>
            <w:r>
              <w:rPr>
                <w:color w:val="000000"/>
              </w:rPr>
              <w:t xml:space="preserve"> 9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Мыс Желания</w:t>
            </w:r>
            <w:r>
              <w:rPr>
                <w:color w:val="000000"/>
              </w:rPr>
            </w:r>
          </w:p>
        </w:tc>
      </w:tr>
      <w:tr>
        <w:tblPrEx/>
        <w:trPr>
          <w:trHeight w:val="615"/>
        </w:trPr>
        <w:tc>
          <w:tcPr>
            <w:shd w:val="clear" w:color="auto" w:fill="auto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440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Вайгач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180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18,5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Arc</w:t>
            </w:r>
            <w:r>
              <w:rPr>
                <w:color w:val="000000"/>
              </w:rPr>
              <w:t xml:space="preserve"> 9</w:t>
            </w:r>
            <w:r>
              <w:rPr>
                <w:color w:val="000000"/>
              </w:rPr>
            </w:r>
          </w:p>
        </w:tc>
        <w:tc>
          <w:tcPr>
            <w:shd w:val="clear" w:color="auto" w:fill="ffffff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Победа месторождение</w:t>
            </w:r>
            <w:r>
              <w:rPr>
                <w:color w:val="000000"/>
              </w:rPr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Задача:</w:t>
      </w:r>
      <w:r>
        <w:rPr>
          <w:rFonts w:ascii="Times New Roman" w:hAnsi="Times New Roman" w:eastAsia="Times New Roman" w:cs="Times New Roman"/>
        </w:rPr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Участникам настоящего </w:t>
      </w:r>
      <w:r>
        <w:rPr>
          <w:rFonts w:ascii="Times New Roman" w:hAnsi="Times New Roman" w:eastAsia="Times New Roman" w:cs="Times New Roman"/>
        </w:rPr>
        <w:t xml:space="preserve">Хакатона</w:t>
      </w:r>
      <w:r>
        <w:rPr>
          <w:rFonts w:ascii="Times New Roman" w:hAnsi="Times New Roman" w:eastAsia="Times New Roman" w:cs="Times New Roman"/>
        </w:rPr>
        <w:t xml:space="preserve"> необходимо сформировать оптимальное расписание движения судов по СМП,</w:t>
      </w:r>
      <w:r>
        <w:rPr>
          <w:rFonts w:ascii="Times New Roman" w:hAnsi="Times New Roman" w:eastAsia="Times New Roman" w:cs="Times New Roman"/>
        </w:rPr>
        <w:t xml:space="preserve"> их ледокольного сопровождения, формирования караванов. Ограничением при решении задачи будет выступать количество ледоколов. Целевая функция: минимизировать время от подачи заявки до прибытия транспортного судна в конечный пункт назначения для всех судов.</w:t>
      </w:r>
      <w:r>
        <w:rPr>
          <w:rFonts w:ascii="Times New Roman" w:hAnsi="Times New Roman" w:eastAsia="Times New Roman" w:cs="Times New Roman"/>
        </w:rPr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Критерии оценки:</w:t>
      </w:r>
      <w:r>
        <w:rPr>
          <w:rFonts w:ascii="Times New Roman" w:hAnsi="Times New Roman" w:eastAsia="Times New Roman" w:cs="Times New Roman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Визуализация результатов</w:t>
      </w:r>
      <w:r>
        <w:rPr>
          <w:rFonts w:ascii="Times New Roman" w:hAnsi="Times New Roman" w:eastAsia="Times New Roman" w:cs="Times New Roman"/>
          <w:color w:val="000000"/>
        </w:rPr>
        <w:t xml:space="preserve">: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134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Приветствуется отображение компонентов задачи (объектов – вершины графа, ребра графа, картографическая подложка, начальные и конечные точки маршрута, анимация движения судов, динамическое отображение расписания движения судов </w:t>
      </w:r>
      <w:r>
        <w:rPr>
          <w:rFonts w:ascii="Times New Roman" w:hAnsi="Times New Roman" w:eastAsia="Times New Roman" w:cs="Times New Roman"/>
          <w:color w:val="000000"/>
        </w:rPr>
        <w:t xml:space="preserve">под индивидуальным ледокольным сопровождением и в караване </w:t>
      </w:r>
      <w:r>
        <w:rPr>
          <w:rFonts w:ascii="Times New Roman" w:hAnsi="Times New Roman" w:eastAsia="Times New Roman" w:cs="Times New Roman"/>
          <w:color w:val="000000"/>
        </w:rPr>
        <w:t xml:space="preserve">в виде диаграммы </w:t>
      </w:r>
      <w:r>
        <w:rPr>
          <w:rFonts w:ascii="Times New Roman" w:hAnsi="Times New Roman" w:eastAsia="Times New Roman" w:cs="Times New Roman"/>
          <w:color w:val="000000"/>
        </w:rPr>
        <w:t xml:space="preserve">Ганта</w:t>
      </w:r>
      <w:r>
        <w:rPr>
          <w:rFonts w:ascii="Times New Roman" w:hAnsi="Times New Roman" w:eastAsia="Times New Roman" w:cs="Times New Roman"/>
          <w:color w:val="000000"/>
        </w:rPr>
        <w:t xml:space="preserve">)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Достижение оптимальных целевых показателей</w:t>
      </w:r>
      <w:r>
        <w:rPr>
          <w:rFonts w:ascii="Times New Roman" w:hAnsi="Times New Roman" w:eastAsia="Times New Roman" w:cs="Times New Roman"/>
          <w:color w:val="000000"/>
        </w:rPr>
        <w:t xml:space="preserve">: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134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Минимизация времени нахождения транспортных судов в пути, минимизация простоев транспортных судов и </w:t>
      </w:r>
      <w:r>
        <w:rPr>
          <w:rFonts w:ascii="Times New Roman" w:hAnsi="Times New Roman" w:eastAsia="Times New Roman" w:cs="Times New Roman"/>
          <w:color w:val="000000"/>
        </w:rPr>
        <w:t xml:space="preserve">атомных </w:t>
      </w:r>
      <w:r>
        <w:rPr>
          <w:rFonts w:ascii="Times New Roman" w:hAnsi="Times New Roman" w:eastAsia="Times New Roman" w:cs="Times New Roman"/>
          <w:color w:val="000000"/>
        </w:rPr>
        <w:t xml:space="preserve">ледоколов</w:t>
      </w:r>
      <w:r>
        <w:rPr>
          <w:rFonts w:ascii="Times New Roman" w:hAnsi="Times New Roman" w:eastAsia="Times New Roman" w:cs="Times New Roman"/>
          <w:color w:val="000000"/>
        </w:rPr>
        <w:t xml:space="preserve">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Возможность управления входными параметрами, ограничениями, целевой функцией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Подход коллектива к решению задачи</w:t>
      </w:r>
      <w:r>
        <w:rPr>
          <w:rFonts w:ascii="Times New Roman" w:hAnsi="Times New Roman" w:eastAsia="Times New Roman" w:cs="Times New Roman"/>
          <w:color w:val="000000"/>
        </w:rPr>
        <w:t xml:space="preserve">: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134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Наличие ролевой модели и распределения задач в команде, правильный подбор и распределение компетенций.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Техническая проработка решения</w:t>
      </w:r>
      <w:r>
        <w:rPr>
          <w:rFonts w:ascii="Times New Roman" w:hAnsi="Times New Roman" w:eastAsia="Times New Roman" w:cs="Times New Roman"/>
          <w:color w:val="000000"/>
        </w:rPr>
        <w:t xml:space="preserve">: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134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Наличие </w:t>
      </w:r>
      <w:r>
        <w:rPr>
          <w:rFonts w:ascii="Times New Roman" w:hAnsi="Times New Roman" w:eastAsia="Times New Roman" w:cs="Times New Roman"/>
          <w:color w:val="000000"/>
        </w:rPr>
        <w:t xml:space="preserve">краткого обзора лучших практик для решения задачи оптимального </w:t>
      </w:r>
      <w:r>
        <w:rPr>
          <w:rFonts w:ascii="Times New Roman" w:hAnsi="Times New Roman" w:eastAsia="Times New Roman" w:cs="Times New Roman"/>
          <w:color w:val="000000"/>
        </w:rPr>
        <w:t xml:space="preserve">планирования, приветствуются</w:t>
      </w:r>
      <w:r>
        <w:rPr>
          <w:rFonts w:ascii="Times New Roman" w:hAnsi="Times New Roman" w:eastAsia="Times New Roman" w:cs="Times New Roman"/>
          <w:color w:val="000000"/>
        </w:rPr>
        <w:t xml:space="preserve"> обоснованные нестандартные подходы, </w:t>
      </w:r>
      <w:r>
        <w:rPr>
          <w:rFonts w:ascii="Times New Roman" w:hAnsi="Times New Roman" w:eastAsia="Times New Roman" w:cs="Times New Roman"/>
          <w:color w:val="000000"/>
        </w:rPr>
        <w:t xml:space="preserve">текстовое и графическое описание решения в виде блок-схем, аналитики по стеку технологий для решения подобных задач.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Соответствие решения поставленной задачи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Эффективность решения в рамках поставленной задачи</w:t>
      </w:r>
      <w:r>
        <w:rPr>
          <w:rFonts w:ascii="Times New Roman" w:hAnsi="Times New Roman" w:eastAsia="Times New Roman" w:cs="Times New Roman"/>
          <w:color w:val="000000"/>
        </w:rPr>
        <w:t xml:space="preserve">: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134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Оценивается скорость нахождения решения для поставленной задачи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2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Выступление коллектива на питч-сессии (только для финальной экспертизы)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1134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Слаженная, оперативная работа команды на защите, наличие презентационных материалов, качество ответов на вопросы.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jc w:val="both"/>
        <w:spacing w:before="1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Требования к сдаче решений на платформе: </w:t>
      </w:r>
      <w:r>
        <w:rPr>
          <w:rFonts w:ascii="Times New Roman" w:hAnsi="Times New Roman" w:eastAsia="Times New Roman" w:cs="Times New Roman"/>
        </w:rPr>
      </w:r>
    </w:p>
    <w:p>
      <w:pPr>
        <w:numPr>
          <w:ilvl w:val="3"/>
          <w:numId w:val="7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Ссылка на репозиторий с кодом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7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Ссылка на презентацию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7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Ссылка на прототип для проверки выполненной работы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7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Ссылка на сопроводительную документацию (.</w:t>
      </w:r>
      <w:r>
        <w:rPr>
          <w:rFonts w:ascii="Times New Roman" w:hAnsi="Times New Roman" w:eastAsia="Times New Roman" w:cs="Times New Roman"/>
          <w:color w:val="000000"/>
        </w:rPr>
        <w:t xml:space="preserve">doc</w:t>
      </w:r>
      <w:r>
        <w:rPr>
          <w:rFonts w:ascii="Times New Roman" w:hAnsi="Times New Roman" w:eastAsia="Times New Roman" w:cs="Times New Roman"/>
          <w:color w:val="000000"/>
        </w:rPr>
        <w:t xml:space="preserve">/.</w:t>
      </w:r>
      <w:r>
        <w:rPr>
          <w:rFonts w:ascii="Times New Roman" w:hAnsi="Times New Roman" w:eastAsia="Times New Roman" w:cs="Times New Roman"/>
          <w:color w:val="000000"/>
        </w:rPr>
        <w:t xml:space="preserve">pdf</w:t>
      </w:r>
      <w:r>
        <w:rPr>
          <w:rFonts w:ascii="Times New Roman" w:hAnsi="Times New Roman" w:eastAsia="Times New Roman" w:cs="Times New Roman"/>
          <w:color w:val="000000"/>
        </w:rPr>
        <w:t xml:space="preserve">)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jc w:val="both"/>
        <w:spacing w:before="1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Требования к презентации:</w:t>
      </w:r>
      <w:r>
        <w:rPr>
          <w:rFonts w:ascii="Times New Roman" w:hAnsi="Times New Roman" w:eastAsia="Times New Roman" w:cs="Times New Roman"/>
        </w:rPr>
      </w:r>
    </w:p>
    <w:p>
      <w:pPr>
        <w:numPr>
          <w:ilvl w:val="3"/>
          <w:numId w:val="8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Презентация представляется в формате </w:t>
      </w:r>
      <w:r>
        <w:rPr>
          <w:rFonts w:ascii="Times New Roman" w:hAnsi="Times New Roman" w:eastAsia="Times New Roman" w:cs="Times New Roman"/>
          <w:color w:val="000000"/>
        </w:rPr>
        <w:t xml:space="preserve">pptx</w:t>
      </w:r>
      <w:r>
        <w:rPr>
          <w:rFonts w:ascii="Times New Roman" w:hAnsi="Times New Roman" w:eastAsia="Times New Roman" w:cs="Times New Roman"/>
          <w:color w:val="000000"/>
        </w:rPr>
        <w:t xml:space="preserve"> или </w:t>
      </w:r>
      <w:r>
        <w:rPr>
          <w:rFonts w:ascii="Times New Roman" w:hAnsi="Times New Roman" w:eastAsia="Times New Roman" w:cs="Times New Roman"/>
          <w:color w:val="000000"/>
        </w:rPr>
        <w:t xml:space="preserve">pdf</w:t>
      </w:r>
      <w:r>
        <w:rPr>
          <w:rFonts w:ascii="Times New Roman" w:hAnsi="Times New Roman" w:eastAsia="Times New Roman" w:cs="Times New Roman"/>
          <w:color w:val="000000"/>
        </w:rPr>
        <w:t xml:space="preserve">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3"/>
          <w:numId w:val="8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Презентация должна быть хорошо читаемой и отображать ключевые момента решения задачи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jc w:val="both"/>
        <w:spacing w:before="1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Требования к сопроводительной документации:</w:t>
      </w:r>
      <w:r>
        <w:rPr>
          <w:rFonts w:ascii="Times New Roman" w:hAnsi="Times New Roman" w:eastAsia="Times New Roman" w:cs="Times New Roman"/>
        </w:rPr>
      </w:r>
    </w:p>
    <w:p>
      <w:pPr>
        <w:numPr>
          <w:ilvl w:val="3"/>
          <w:numId w:val="9"/>
        </w:numPr>
        <w:ind w:left="1134" w:hanging="283"/>
        <w:jc w:val="both"/>
        <w:spacing w:after="0"/>
        <w:rPr>
          <w:rFonts w:ascii="Times New Roman" w:hAnsi="Times New Roman" w:eastAsia="Times New Roman" w:cs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</w:rPr>
        <w:t xml:space="preserve">Документация представляется в формате </w:t>
      </w:r>
      <w:r>
        <w:rPr>
          <w:rFonts w:ascii="Times New Roman" w:hAnsi="Times New Roman" w:eastAsia="Times New Roman" w:cs="Times New Roman"/>
          <w:color w:val="000000"/>
        </w:rPr>
        <w:t xml:space="preserve">docx</w:t>
      </w:r>
      <w:r>
        <w:rPr>
          <w:rFonts w:ascii="Times New Roman" w:hAnsi="Times New Roman" w:eastAsia="Times New Roman" w:cs="Times New Roman"/>
          <w:color w:val="000000"/>
        </w:rPr>
        <w:t xml:space="preserve"> или </w:t>
      </w:r>
      <w:r>
        <w:rPr>
          <w:rFonts w:ascii="Times New Roman" w:hAnsi="Times New Roman" w:eastAsia="Times New Roman" w:cs="Times New Roman"/>
          <w:color w:val="000000"/>
        </w:rPr>
        <w:t xml:space="preserve">pdf</w:t>
      </w:r>
      <w:r>
        <w:rPr>
          <w:rFonts w:ascii="Times New Roman" w:hAnsi="Times New Roman" w:eastAsia="Times New Roman" w:cs="Times New Roman"/>
          <w:color w:val="000000"/>
        </w:rPr>
        <w:t xml:space="preserve">.</w:t>
      </w:r>
      <w:r>
        <w:rPr>
          <w:rFonts w:ascii="Times New Roman" w:hAnsi="Times New Roman" w:eastAsia="Times New Roman" w:cs="Times New Roman"/>
          <w:color w:val="00000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rFonts w:ascii="Times New Roman" w:hAnsi="Times New Roman" w:eastAsia="Times New Roman" w:cs="Times New Roman"/>
        <w:i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4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48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48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48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48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48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48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1"/>
    <w:next w:val="64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1"/>
    <w:next w:val="64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1"/>
    <w:next w:val="64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48"/>
    <w:link w:val="652"/>
    <w:uiPriority w:val="10"/>
    <w:rPr>
      <w:sz w:val="48"/>
      <w:szCs w:val="48"/>
    </w:rPr>
  </w:style>
  <w:style w:type="character" w:styleId="37">
    <w:name w:val="Subtitle Char"/>
    <w:basedOn w:val="648"/>
    <w:link w:val="654"/>
    <w:uiPriority w:val="11"/>
    <w:rPr>
      <w:sz w:val="24"/>
      <w:szCs w:val="24"/>
    </w:rPr>
  </w:style>
  <w:style w:type="paragraph" w:styleId="38">
    <w:name w:val="Quote"/>
    <w:basedOn w:val="641"/>
    <w:next w:val="64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1"/>
    <w:next w:val="64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8"/>
    <w:link w:val="42"/>
    <w:uiPriority w:val="99"/>
  </w:style>
  <w:style w:type="paragraph" w:styleId="44">
    <w:name w:val="Footer"/>
    <w:basedOn w:val="64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8"/>
    <w:link w:val="44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8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8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240" w:after="0"/>
      <w:outlineLvl w:val="0"/>
    </w:pPr>
    <w:rPr>
      <w:color w:val="2f5496"/>
      <w:sz w:val="32"/>
      <w:szCs w:val="32"/>
    </w:rPr>
  </w:style>
  <w:style w:type="paragraph" w:styleId="643">
    <w:name w:val="Heading 2"/>
    <w:basedOn w:val="641"/>
    <w:next w:val="641"/>
    <w:uiPriority w:val="9"/>
    <w:semiHidden/>
    <w:unhideWhenUsed/>
    <w:qFormat/>
    <w:pPr>
      <w:keepLines/>
      <w:keepNext/>
      <w:spacing w:before="40" w:after="0"/>
      <w:outlineLvl w:val="1"/>
    </w:pPr>
    <w:rPr>
      <w:color w:val="2f5496"/>
      <w:sz w:val="28"/>
      <w:szCs w:val="28"/>
    </w:rPr>
  </w:style>
  <w:style w:type="paragraph" w:styleId="644">
    <w:name w:val="Heading 3"/>
    <w:basedOn w:val="641"/>
    <w:next w:val="641"/>
    <w:uiPriority w:val="9"/>
    <w:semiHidden/>
    <w:unhideWhenUsed/>
    <w:qFormat/>
    <w:pPr>
      <w:keepLines/>
      <w:keepNext/>
      <w:spacing w:before="40" w:after="0"/>
      <w:outlineLvl w:val="2"/>
    </w:pPr>
    <w:rPr>
      <w:color w:val="1f3864"/>
      <w:sz w:val="24"/>
      <w:szCs w:val="24"/>
    </w:rPr>
  </w:style>
  <w:style w:type="paragraph" w:styleId="645">
    <w:name w:val="Heading 4"/>
    <w:basedOn w:val="641"/>
    <w:next w:val="641"/>
    <w:uiPriority w:val="9"/>
    <w:semiHidden/>
    <w:unhideWhenUsed/>
    <w:qFormat/>
    <w:pPr>
      <w:keepLines/>
      <w:keepNext/>
      <w:spacing w:before="40" w:after="0"/>
      <w:outlineLvl w:val="3"/>
    </w:pPr>
    <w:rPr>
      <w:i/>
      <w:color w:val="2f5496"/>
    </w:rPr>
  </w:style>
  <w:style w:type="paragraph" w:styleId="646">
    <w:name w:val="Heading 5"/>
    <w:basedOn w:val="641"/>
    <w:next w:val="641"/>
    <w:uiPriority w:val="9"/>
    <w:semiHidden/>
    <w:unhideWhenUsed/>
    <w:qFormat/>
    <w:pPr>
      <w:keepLines/>
      <w:keepNext/>
      <w:spacing w:before="40" w:after="0"/>
      <w:outlineLvl w:val="4"/>
    </w:pPr>
    <w:rPr>
      <w:color w:val="2f5496"/>
    </w:rPr>
  </w:style>
  <w:style w:type="paragraph" w:styleId="647">
    <w:name w:val="Heading 6"/>
    <w:basedOn w:val="641"/>
    <w:next w:val="641"/>
    <w:uiPriority w:val="9"/>
    <w:semiHidden/>
    <w:unhideWhenUsed/>
    <w:qFormat/>
    <w:pPr>
      <w:keepLines/>
      <w:keepNext/>
      <w:spacing w:before="40" w:after="0"/>
      <w:outlineLvl w:val="5"/>
    </w:pPr>
    <w:rPr>
      <w:color w:val="1f3864"/>
    </w:r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table" w:styleId="65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52">
    <w:name w:val="Title"/>
    <w:basedOn w:val="641"/>
    <w:next w:val="641"/>
    <w:uiPriority w:val="10"/>
    <w:qFormat/>
    <w:pPr>
      <w:spacing w:after="0" w:line="240" w:lineRule="auto"/>
    </w:pPr>
    <w:rPr>
      <w:sz w:val="56"/>
      <w:szCs w:val="56"/>
    </w:rPr>
  </w:style>
  <w:style w:type="table" w:styleId="65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54">
    <w:name w:val="Subtitle"/>
    <w:basedOn w:val="641"/>
    <w:next w:val="641"/>
    <w:uiPriority w:val="11"/>
    <w:qFormat/>
    <w:rPr>
      <w:color w:val="5a5a5a"/>
    </w:rPr>
  </w:style>
  <w:style w:type="table" w:styleId="655" w:customStyle="1">
    <w:name w:val="StGen0"/>
    <w:basedOn w:val="653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paragraph" w:styleId="656">
    <w:name w:val="annotation text"/>
    <w:basedOn w:val="641"/>
    <w:link w:val="657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57" w:customStyle="1">
    <w:name w:val="Текст примечания Знак"/>
    <w:basedOn w:val="648"/>
    <w:link w:val="656"/>
    <w:uiPriority w:val="99"/>
    <w:semiHidden/>
    <w:rPr>
      <w:sz w:val="20"/>
      <w:szCs w:val="20"/>
    </w:rPr>
  </w:style>
  <w:style w:type="character" w:styleId="658">
    <w:name w:val="annotation reference"/>
    <w:basedOn w:val="648"/>
    <w:uiPriority w:val="99"/>
    <w:semiHidden/>
    <w:unhideWhenUsed/>
    <w:rPr>
      <w:sz w:val="16"/>
      <w:szCs w:val="16"/>
    </w:rPr>
  </w:style>
  <w:style w:type="paragraph" w:styleId="659">
    <w:name w:val="List Paragraph"/>
    <w:basedOn w:val="641"/>
    <w:uiPriority w:val="34"/>
    <w:qFormat/>
    <w:pPr>
      <w:contextualSpacing/>
      <w:ind w:left="720"/>
    </w:pPr>
    <w:rPr>
      <w:rFonts w:asciiTheme="minorHAnsi" w:hAnsiTheme="minorHAnsi" w:eastAsiaTheme="minorHAnsi" w:cstheme="minorBidi"/>
      <w:lang w:eastAsia="en-US"/>
    </w:rPr>
  </w:style>
  <w:style w:type="table" w:styleId="660">
    <w:name w:val="Table Grid"/>
    <w:basedOn w:val="649"/>
    <w:uiPriority w:val="39"/>
    <w:pPr>
      <w:spacing w:after="0"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61" w:customStyle="1">
    <w:name w:val="StGen1"/>
    <w:basedOn w:val="653"/>
    <w:pPr>
      <w:spacing w:after="0"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662" w:customStyle="1">
    <w:name w:val="StGen2"/>
    <w:basedOn w:val="653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2Ij8H68tQ4lsPx2+HmAm/aYMog==">CgMxLjA4AHIhMVdCMXdwYWcyY1otc2xJQm5UcVplMHpCOXUtZExYU01X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lysev</dc:creator>
  <cp:lastModifiedBy>Егор Lys</cp:lastModifiedBy>
  <cp:revision>3</cp:revision>
  <dcterms:created xsi:type="dcterms:W3CDTF">2024-05-30T12:55:00Z</dcterms:created>
  <dcterms:modified xsi:type="dcterms:W3CDTF">2024-06-04T11:18:48Z</dcterms:modified>
</cp:coreProperties>
</file>