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3329hbagrijf" w:id="0"/>
      <w:bookmarkEnd w:id="0"/>
      <w:r w:rsidDel="00000000" w:rsidR="00000000" w:rsidRPr="00000000">
        <w:rPr>
          <w:rtl w:val="0"/>
        </w:rPr>
        <w:t xml:space="preserve">Adoção dos Níveis do DDD no Projeto RecordStore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Durante o desenvolvimento do sistema da Locadora de Mídia Física de Música, adotamos os quatro níveis de abordagem do Domain-Driven Design (DDD) de forma estruturada e progressiva, garantindo que o modelo de domínio estivesse alinhado ao negócio em todas as etapas.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</w:t>
      </w: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 nível preliminar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buscamos compreender profundamente o domínio por meio da identificação de usuários (Administrador), levantamento de requisitos, definição de histórias de usuário e elaboração de protótipos de baixa fidelidade. Essa etapa foi fundamental para estabelecer uma linguagem ubíqua, alinhando os conceitos técnicos com os termos do negócio, como “mídia”, “exemplar”, “empréstimo”, “reserva” e “multa”. Também foram definidas as principais funcionalidades esperadas para cada tipo de usuário e as regras de negócio centrais que regem os processos de locação e devolução.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</w:t>
      </w: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nível estratégico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realizamos a modelagem dos subdomínios e bounded contexts, organizando o sistema em três áreas principais: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Gerenciamento de Catálogo (Subdomínio principal), responsável pelo controle das mídias e exemplares;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Controle de Empréstimos (Subdomínio de suporte), encarregado do ciclo de locação, devolução, reservas e multas;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Gestão de Usuários (Subdomínio genérico), responsável por cadastros e validação de clientes.</w:t>
        <w:br w:type="textWrapping"/>
        <w:t xml:space="preserve"> Para representar as interações entre esses contextos, elaboramos um Context Mapper completo, definindo claramente as dependências upstream/downstream e a forma como os eventos de domínio são propagados entre os módulos.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</w:t>
      </w: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nível tático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detalhamos a modelagem interna de cada contexto por meio da definição de entidades com comportamento, objetos de valor, serviços de domínio e repositórios, evitando um modelo de domínio anêmico. Essa modelagem foi sustentada pela descrição detalhada do domínio, pelo mapeamento de regras de negócio e pela formulação de cenários BDD, que descrevem de forma clara as condições e comportamentos esperados em cada caso de uso relevante (ex.: locação de mídias, devolução com atraso, atualização automática de status, validação de clientes). Com isso, foi possível estabelecer uma base sólida para a implementação das regras diretamente no modelo de domínio.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Por fim, no </w:t>
      </w: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nível operaciona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l, começamos a estruturar a aplicação com base nas funcionalidades levantadas, preparando os caminhos para a implementação das camadas de aplicação e infraestrutura. A definição clara dos bounded contexts, dos serviços e dos fluxos BDD fornece um guia para a integração futura com endpoints, persistência em banco de dados e publicação de eventos de domínio, garantindo que a transição para a etapa de codificação mantenha a coerência com os modelos tático e estratégico definidos.</w:t>
      </w:r>
    </w:p>
    <w:p w:rsidR="00000000" w:rsidDel="00000000" w:rsidP="00000000" w:rsidRDefault="00000000" w:rsidRPr="00000000" w14:paraId="0000000B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Portanto utilizamos os diferentes níveis de DDD em nossa implementação, conforme descrito abaixo: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Preliminar → Entendimento do domínio, histórias de usuário, protótipos, regras de negócio.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Estratégico → Subdomínios, bounded contexts e context map.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Tático → Entidades, objetos de valor, serviços, repositórios, regras BDD.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Operacional → Definição de funcionalidades e preparação para implementação.</w:t>
      </w:r>
    </w:p>
    <w:p w:rsidR="00000000" w:rsidDel="00000000" w:rsidP="00000000" w:rsidRDefault="00000000" w:rsidRPr="00000000" w14:paraId="00000010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