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7.png" ContentType="image/png"/>
  <Override PartName="/word/media/rId33.png" ContentType="image/png"/>
  <Override PartName="/word/media/rId27.png" ContentType="image/png"/>
  <Override PartName="/word/media/rId45.png" ContentType="image/png"/>
  <Override PartName="/word/media/rId49.png" ContentType="image/png"/>
  <Override PartName="/word/media/rId41.png" ContentType="image/png"/>
  <Override PartName="/word/media/rId57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Эффективность</w:t>
      </w:r>
      <w:r>
        <w:t xml:space="preserve"> </w:t>
      </w:r>
      <w:r>
        <w:t xml:space="preserve">рекламы</w:t>
      </w:r>
    </w:p>
    <w:p>
      <w:pPr>
        <w:pStyle w:val="Author"/>
      </w:pPr>
      <w:r>
        <w:t xml:space="preserve">Липатникова</w:t>
      </w:r>
      <w:r>
        <w:t xml:space="preserve"> </w:t>
      </w:r>
      <w:r>
        <w:t xml:space="preserve">М.С.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Постройте график распространения рекламы, математическая модель которой описывается следующим уравнением: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t>1</m:t>
              </m:r>
              <m:r>
                <m:rPr>
                  <m:sty m:val="p"/>
                </m:rPr>
                <m:t>+</m:t>
              </m:r>
              <m:r>
                <m:t>a</m:t>
              </m:r>
              <m:r>
                <m:t>2</m:t>
              </m:r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r>
            <m:rPr>
              <m:sty m:val="p"/>
            </m:rPr>
            <m:t>,</m:t>
          </m:r>
          <m:r>
            <m:t>a</m:t>
          </m:r>
          <m:r>
            <m:t>1</m:t>
          </m:r>
          <m:r>
            <m:rPr>
              <m:sty m:val="p"/>
            </m:rPr>
            <m:t>&gt;</m:t>
          </m:r>
          <m:r>
            <m:t>a</m:t>
          </m:r>
          <m:r>
            <m:t>2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t>1</m:t>
              </m:r>
              <m:r>
                <m:rPr>
                  <m:sty m:val="p"/>
                </m:rPr>
                <m:t>+</m:t>
              </m:r>
              <m:r>
                <m:t>a</m:t>
              </m:r>
              <m:r>
                <m:t>2</m:t>
              </m:r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r>
            <m:rPr>
              <m:sty m:val="p"/>
            </m:rPr>
            <m:t>,</m:t>
          </m:r>
          <m:r>
            <m:t>a</m:t>
          </m:r>
          <m:r>
            <m:t>2</m:t>
          </m:r>
          <m:r>
            <m:rPr>
              <m:sty m:val="p"/>
            </m:rPr>
            <m:t>&gt;</m:t>
          </m:r>
          <m:r>
            <m:t>a</m:t>
          </m:r>
          <m:r>
            <m:t>1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t>1</m:t>
              </m:r>
              <m:r>
                <m:rPr>
                  <m:sty m:val="p"/>
                </m:rPr>
                <m:t>*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a</m:t>
              </m:r>
              <m:r>
                <m:t>2</m:t>
              </m:r>
              <m:r>
                <m:rPr>
                  <m:sty m:val="p"/>
                </m:rPr>
                <m:t>*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bookmarkEnd w:id="20"/>
    <w:bookmarkStart w:id="22" w:name="задание-работы"/>
    <w:p>
      <w:pPr>
        <w:pStyle w:val="Heading1"/>
      </w:pPr>
      <w:r>
        <w:t xml:space="preserve">Задание работы</w:t>
      </w:r>
    </w:p>
    <w:bookmarkStart w:id="21" w:name="вариант-37"/>
    <w:p>
      <w:pPr>
        <w:pStyle w:val="Heading3"/>
      </w:pPr>
      <w:r>
        <w:t xml:space="preserve">Вариант 37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0.13</m:t>
              </m:r>
              <m:r>
                <m:rPr>
                  <m:sty m:val="p"/>
                </m:rPr>
                <m:t>+</m:t>
              </m:r>
              <m:r>
                <m:t>0.000013</m:t>
              </m:r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0.000031</m:t>
              </m:r>
              <m:r>
                <m:rPr>
                  <m:sty m:val="p"/>
                </m:rPr>
                <m:t>+</m:t>
              </m:r>
              <m:r>
                <m:t>0.31</m:t>
              </m:r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0.13</m:t>
              </m:r>
              <m:r>
                <m:rPr>
                  <m:sty m:val="p"/>
                </m:rPr>
                <m:t>*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0.31</m:t>
              </m:r>
              <m:r>
                <m:rPr>
                  <m:sty m:val="p"/>
                </m:rPr>
                <m:t>*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При этом объем аудитории N=1140, в начальный момент о товаре знает 10 человек. Для случая 2 определите в какой момент времени скорость распространения рекламы будет иметь максимальное значение.</w:t>
      </w:r>
    </w:p>
    <w:bookmarkEnd w:id="21"/>
    <w:bookmarkEnd w:id="22"/>
    <w:bookmarkStart w:id="32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31" w:name="постановка-задачи"/>
    <w:p>
      <w:pPr>
        <w:pStyle w:val="Heading2"/>
      </w:pPr>
      <w:r>
        <w:t xml:space="preserve">Постановка задачи</w:t>
      </w:r>
    </w:p>
    <w:p>
      <w:pPr>
        <w:pStyle w:val="FirstParagraph"/>
      </w:pPr>
      <w:r>
        <w:t xml:space="preserve">Организуется рекламная кампания нового товара или услуги. Необходимо, чтобы прибыль будущих продаж с избытком покрывала издержки на рекламу. Вначале расходы могут превышать прибыль, поскольку лишь малая часть потенциальных покупателей будет информирована о новинке. Затем, при увеличении числа продаж, возрастает и прибыль, и, наконец, наступит момент, когда рынок насытиться, и рекламировать товар станет бесполезным.</w:t>
      </w:r>
      <w:r>
        <w:t xml:space="preserve"> </w:t>
      </w:r>
      <w:r>
        <w:t xml:space="preserve">Предположим, что торговыми учреждениями реализуется некоторая продукция, о которой в момент времени t из числа потенциальных покупателей N знает лишь n покупателей. Для ускорения сбыта продукции запускается реклама по радио, телевидению и других средств массовой информации. После запуска рекламной кампании информация о продукции начнет распространяться среди потенциальных покупателей путем общения друг с другом. Таким образом, после запуска рекламных объявлений скорость изменения числа знающих о продукции людей пропорциональна как числу знающих о товаре покупателей, так и числу покупателей о нем не знающих.</w:t>
      </w:r>
    </w:p>
    <w:p>
      <w:pPr>
        <w:pStyle w:val="BodyText"/>
      </w:pPr>
      <w:r>
        <w:t xml:space="preserve">Модель рекламной кампании описывается следующими величинами. Считаем, что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- скорость изменения со временем числа потребителей, узнавших о товаре и готовых его купить, t - время, прошедшее с начала рекламной кампании, n(t) - число уже информированных клиентов. Эта величина пропорциональна числу покупателей, еще не знающих о нем, это описывается следующим образом: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(t)(N-n(t)), где N - общее число потенциальных платежеспособных покупателей,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(t)&gt;0 - характеризует интенсивность рекламной кампании (зависит от затрат на рекламу в данный момент времени). Помимо этого, узнавшие о товаре потребители также распространяют полученную информацию среди потенциальных покупателей, не знающих о нем (в этом случае работает т.н. сарафанное радио). Этот вклад в рекламу описывается величиной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(t)(N-n(t)), эта величина увеличивается с увеличением потребителей узнавших о товаре. Математическая модель распространения рекламы описывается уравнением: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При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(t)&gt;&gt;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(t) получается модель типа модели Мальтуса, решение которой имеет вид(fig. 1):</w:t>
      </w:r>
    </w:p>
    <w:p>
      <w:pPr>
        <w:pStyle w:val="CaptionedFigure"/>
      </w:pPr>
      <w:bookmarkStart w:id="26" w:name="fig:001"/>
      <w:r>
        <w:drawing>
          <wp:inline>
            <wp:extent cx="5334000" cy="4137399"/>
            <wp:effectExtent b="0" l="0" r="0" t="0"/>
            <wp:docPr descr="Figure 1: График решения уравнения модели Мальтуса" title="" id="24" name="Picture"/>
            <a:graphic>
              <a:graphicData uri="http://schemas.openxmlformats.org/drawingml/2006/picture">
                <pic:pic>
                  <pic:nvPicPr>
                    <pic:cNvPr descr="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График решения уравнения модели Мальтуса</w:t>
      </w:r>
    </w:p>
    <w:p>
      <w:pPr>
        <w:pStyle w:val="BodyText"/>
      </w:pPr>
      <w:r>
        <w:t xml:space="preserve">В обратном случае, при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(t)&lt;&lt;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(t) получаем уравнение логистической кривой(fig. 2):</w:t>
      </w:r>
    </w:p>
    <w:p>
      <w:pPr>
        <w:pStyle w:val="CaptionedFigure"/>
      </w:pPr>
      <w:bookmarkStart w:id="30" w:name="fig:002"/>
      <w:r>
        <w:drawing>
          <wp:inline>
            <wp:extent cx="5334000" cy="2296808"/>
            <wp:effectExtent b="0" l="0" r="0" t="0"/>
            <wp:docPr descr="Figure 2: График логистической кривой" title="" id="28" name="Picture"/>
            <a:graphic>
              <a:graphicData uri="http://schemas.openxmlformats.org/drawingml/2006/picture">
                <pic:pic>
                  <pic:nvPicPr>
                    <pic:cNvPr descr="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График логистической кривой</w:t>
      </w:r>
    </w:p>
    <w:bookmarkEnd w:id="31"/>
    <w:bookmarkEnd w:id="32"/>
    <w:bookmarkStart w:id="6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61" w:name="код-в-openmodelica"/>
    <w:p>
      <w:pPr>
        <w:pStyle w:val="Heading2"/>
      </w:pPr>
      <w:r>
        <w:t xml:space="preserve">Код в OpenModelica</w:t>
      </w:r>
    </w:p>
    <w:p>
      <w:pPr>
        <w:pStyle w:val="FirstParagraph"/>
      </w:pPr>
      <w:r>
        <w:t xml:space="preserve">Задаем параметры и прописываем функцию, записываем дифференциальные уравнения.(fig. 3) a_1&gt;a_2</w:t>
      </w:r>
    </w:p>
    <w:p>
      <w:pPr>
        <w:pStyle w:val="CaptionedFigure"/>
      </w:pPr>
      <w:bookmarkStart w:id="36" w:name="fig:003"/>
      <w:r>
        <w:drawing>
          <wp:inline>
            <wp:extent cx="5334000" cy="4042171"/>
            <wp:effectExtent b="0" l="0" r="0" t="0"/>
            <wp:docPr descr="Figure 3: Код программы для 1 случая" title="" id="34" name="Picture"/>
            <a:graphic>
              <a:graphicData uri="http://schemas.openxmlformats.org/drawingml/2006/picture">
                <pic:pic>
                  <pic:nvPicPr>
                    <pic:cNvPr descr="1k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3: Код программы для 1 случая</w:t>
      </w:r>
    </w:p>
    <w:p>
      <w:pPr>
        <w:pStyle w:val="BodyText"/>
      </w:pPr>
      <w:r>
        <w:t xml:space="preserve">Получаем график. (fig. 4)</w:t>
      </w:r>
    </w:p>
    <w:p>
      <w:pPr>
        <w:pStyle w:val="CaptionedFigure"/>
      </w:pPr>
      <w:bookmarkStart w:id="40" w:name="fig:004"/>
      <w:r>
        <w:drawing>
          <wp:inline>
            <wp:extent cx="5334000" cy="4079676"/>
            <wp:effectExtent b="0" l="0" r="0" t="0"/>
            <wp:docPr descr="Figure 4: График для 1 случая" title="" id="38" name="Picture"/>
            <a:graphic>
              <a:graphicData uri="http://schemas.openxmlformats.org/drawingml/2006/picture">
                <pic:pic>
                  <pic:nvPicPr>
                    <pic:cNvPr descr="1g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4: График для 1 случая</w:t>
      </w:r>
    </w:p>
    <w:p>
      <w:pPr>
        <w:pStyle w:val="BodyText"/>
      </w:pPr>
      <w:r>
        <w:t xml:space="preserve">Меняем параметры(fig. 5). a_2&gt;a_1</w:t>
      </w:r>
    </w:p>
    <w:p>
      <w:pPr>
        <w:pStyle w:val="CaptionedFigure"/>
      </w:pPr>
      <w:bookmarkStart w:id="44" w:name="fig:005"/>
      <w:r>
        <w:drawing>
          <wp:inline>
            <wp:extent cx="5334000" cy="2867025"/>
            <wp:effectExtent b="0" l="0" r="0" t="0"/>
            <wp:docPr descr="Figure 5: Код программы для 2 случая" title="" id="42" name="Picture"/>
            <a:graphic>
              <a:graphicData uri="http://schemas.openxmlformats.org/drawingml/2006/picture">
                <pic:pic>
                  <pic:nvPicPr>
                    <pic:cNvPr descr="2k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5: Код программы для 2 случая</w:t>
      </w:r>
    </w:p>
    <w:p>
      <w:pPr>
        <w:pStyle w:val="BodyText"/>
      </w:pPr>
      <w:r>
        <w:t xml:space="preserve">Получаем график. (fig. 6)</w:t>
      </w:r>
    </w:p>
    <w:p>
      <w:pPr>
        <w:pStyle w:val="CaptionedFigure"/>
      </w:pPr>
      <w:bookmarkStart w:id="48" w:name="fig:006"/>
      <w:r>
        <w:drawing>
          <wp:inline>
            <wp:extent cx="5334000" cy="4054673"/>
            <wp:effectExtent b="0" l="0" r="0" t="0"/>
            <wp:docPr descr="Figure 6: График для 2 случая" title="" id="46" name="Picture"/>
            <a:graphic>
              <a:graphicData uri="http://schemas.openxmlformats.org/drawingml/2006/picture">
                <pic:pic>
                  <pic:nvPicPr>
                    <pic:cNvPr descr="2g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6: График для 2 случая</w:t>
      </w:r>
    </w:p>
    <w:p>
      <w:pPr>
        <w:pStyle w:val="BodyText"/>
      </w:pPr>
      <w:r>
        <w:t xml:space="preserve">Видим, что сарафанное радио работает лучше, чем рекламная кампания(примерно 40 секунд против 0.05). Причем скорость распространения рекламы будет иметь максимальное значение на 0.013 (fig. 7).</w:t>
      </w:r>
    </w:p>
    <w:p>
      <w:pPr>
        <w:pStyle w:val="CaptionedFigure"/>
      </w:pPr>
      <w:bookmarkStart w:id="52" w:name="fig:007"/>
      <w:r>
        <w:drawing>
          <wp:inline>
            <wp:extent cx="5334000" cy="4038004"/>
            <wp:effectExtent b="0" l="0" r="0" t="0"/>
            <wp:docPr descr="Figure 7: График скорости распространения рекламы" title="" id="50" name="Picture"/>
            <a:graphic>
              <a:graphicData uri="http://schemas.openxmlformats.org/drawingml/2006/picture">
                <pic:pic>
                  <pic:nvPicPr>
                    <pic:cNvPr descr="2g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7: График скорости распространения рекламы</w:t>
      </w:r>
    </w:p>
    <w:p>
      <w:pPr>
        <w:pStyle w:val="BodyText"/>
      </w:pPr>
      <w:r>
        <w:t xml:space="preserve">Меняем параметры(fig. 8).</w:t>
      </w:r>
    </w:p>
    <w:p>
      <w:pPr>
        <w:pStyle w:val="CaptionedFigure"/>
      </w:pPr>
      <w:bookmarkStart w:id="56" w:name="fig:008"/>
      <w:r>
        <w:drawing>
          <wp:inline>
            <wp:extent cx="5334000" cy="4075509"/>
            <wp:effectExtent b="0" l="0" r="0" t="0"/>
            <wp:docPr descr="Figure 8: Код программы для 3 случая" title="" id="54" name="Picture"/>
            <a:graphic>
              <a:graphicData uri="http://schemas.openxmlformats.org/drawingml/2006/picture">
                <pic:pic>
                  <pic:nvPicPr>
                    <pic:cNvPr descr="3k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8: Код программы для 3 случая</w:t>
      </w:r>
    </w:p>
    <w:p>
      <w:pPr>
        <w:pStyle w:val="BodyText"/>
      </w:pPr>
      <w:r>
        <w:t xml:space="preserve">Получаем график. (fig. 9)</w:t>
      </w:r>
    </w:p>
    <w:p>
      <w:pPr>
        <w:pStyle w:val="CaptionedFigure"/>
      </w:pPr>
      <w:bookmarkStart w:id="60" w:name="fig:009"/>
      <w:r>
        <w:drawing>
          <wp:inline>
            <wp:extent cx="5334000" cy="4050506"/>
            <wp:effectExtent b="0" l="0" r="0" t="0"/>
            <wp:docPr descr="Figure 9: График для 3 случая" title="" id="58" name="Picture"/>
            <a:graphic>
              <a:graphicData uri="http://schemas.openxmlformats.org/drawingml/2006/picture">
                <pic:pic>
                  <pic:nvPicPr>
                    <pic:cNvPr descr="3g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9: График для 3 случая</w:t>
      </w:r>
    </w:p>
    <w:bookmarkEnd w:id="61"/>
    <w:bookmarkEnd w:id="62"/>
    <w:bookmarkStart w:id="6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Построили график распространения рекламы, математическая модель которой описывается следующим уравнением: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r>
            <m:rPr>
              <m:sty m:val="p"/>
            </m:rPr>
            <m:t>,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&gt;</m:t>
          </m:r>
          <m:sSub>
            <m:e>
              <m:r>
                <m:t>a</m:t>
              </m:r>
            </m:e>
            <m:sub>
              <m:r>
                <m:t>2</m:t>
              </m:r>
            </m:sub>
          </m:sSub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r>
            <m:rPr>
              <m:sty m:val="p"/>
            </m:rPr>
            <m:t>,</m:t>
          </m:r>
          <m:sSub>
            <m:e>
              <m:r>
                <m:t>a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&gt;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*</m:t>
              </m:r>
              <m:r>
                <m:t>t</m:t>
              </m:r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*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rPr>
                  <m:sty m:val="p"/>
                </m:rPr>
                <m:t>*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Для второго случая нашли момент, когда скорость распространения рекламы максимальна.</w:t>
      </w:r>
    </w:p>
    <w:bookmarkEnd w:id="63"/>
    <w:bookmarkStart w:id="6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Теоретические материалы курса.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57" Target="media/rId57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Липатникова М.С. группа НФИбд-02-19</dc:creator>
  <cp:keywords/>
  <dcterms:created xsi:type="dcterms:W3CDTF">2022-03-18T06:55:36Z</dcterms:created>
  <dcterms:modified xsi:type="dcterms:W3CDTF">2022-03-18T06:55:36Z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output">
    <vt:lpwstr/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Эффективность рекламы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