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0"/>
    <w:bookmarkStart w:id="22" w:name="задание-работы"/>
    <w:p>
      <w:pPr>
        <w:pStyle w:val="Heading1"/>
      </w:pPr>
      <w:r>
        <w:t xml:space="preserve">Задание работы</w:t>
      </w:r>
    </w:p>
    <w:bookmarkStart w:id="21" w:name="вариант-37"/>
    <w:p>
      <w:pPr>
        <w:pStyle w:val="Heading3"/>
      </w:pPr>
      <w:r>
        <w:t xml:space="preserve">Вариант 37</w:t>
      </w:r>
    </w:p>
    <w:p>
      <w:pPr>
        <w:pStyle w:val="FirstParagraph"/>
      </w:pPr>
      <w:r>
        <w:rPr>
          <w:iCs/>
          <w:i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iCs/>
          <w:i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0.00073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3.8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2.8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38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8.8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11.8</m:t>
        </m:r>
      </m:oMath>
    </w:p>
    <w:p>
      <w:pPr>
        <w:pStyle w:val="BodyText"/>
      </w:pPr>
      <w:r>
        <w:rPr>
          <w:bCs/>
          <w:b/>
        </w:rPr>
        <w:t xml:space="preserve">Замечание:</w:t>
      </w:r>
    </w:p>
    <w:p>
      <w:pPr>
        <w:pStyle w:val="BodyText"/>
      </w:pP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w:r>
        <w:t xml:space="preserve">p 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времени.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1"/>
    <w:bookmarkEnd w:id="22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w:r>
        <w:t xml:space="preserve">M 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w:r>
        <w:t xml:space="preserve">p 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w:r>
        <w:t xml:space="preserve">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  <w:r>
        <w:t xml:space="preserve"> </w:t>
      </w: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= Sq/k. Параметр k – мера эластичности функции спроса по цене. Таким образом, функция спроса в форме выше является пороговой (то есть, Q(S/p) = 0 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этого следует, что равновесное значение цены p равно: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приобретает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имеет два стационарных решения, соответствующих условию dM/dt = 0: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Cледует,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b &lt;&lt;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 b &lt;&lt; a стационарные значения M равны.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(dM/dt &lt; 0),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End w:id="24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код-в-openmodelica"/>
    <w:p>
      <w:pPr>
        <w:pStyle w:val="Heading2"/>
      </w:pPr>
      <w:r>
        <w:t xml:space="preserve">Код в OpenModelica</w:t>
      </w:r>
    </w:p>
    <w:p>
      <w:pPr>
        <w:pStyle w:val="FirstParagraph"/>
      </w:pPr>
      <w:r>
        <w:t xml:space="preserve">Задаем параметры и прописываем функцию, записываем дифференциальные уравнения.(fig. 1)</w:t>
      </w:r>
    </w:p>
    <w:p>
      <w:pPr>
        <w:pStyle w:val="CaptionedFigure"/>
      </w:pPr>
      <w:bookmarkStart w:id="28" w:name="fig:001"/>
      <w:r>
        <w:drawing>
          <wp:inline>
            <wp:extent cx="5334000" cy="2987873"/>
            <wp:effectExtent b="0" l="0" r="0" t="0"/>
            <wp:docPr descr="Figure 1: Код программы для 1 случая" title="" id="26" name="Picture"/>
            <a:graphic>
              <a:graphicData uri="http://schemas.openxmlformats.org/drawingml/2006/picture">
                <pic:pic>
                  <pic:nvPicPr>
                    <pic:cNvPr descr="1k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Код программы для 1 случая</w:t>
      </w:r>
    </w:p>
    <w:p>
      <w:pPr>
        <w:pStyle w:val="BodyText"/>
      </w:pPr>
      <w:r>
        <w:t xml:space="preserve">Получаем график. (fig. 2)</w:t>
      </w:r>
    </w:p>
    <w:p>
      <w:pPr>
        <w:pStyle w:val="CaptionedFigure"/>
      </w:pPr>
      <w:bookmarkStart w:id="32" w:name="fig:002"/>
      <w:r>
        <w:drawing>
          <wp:inline>
            <wp:extent cx="5334000" cy="4083843"/>
            <wp:effectExtent b="0" l="0" r="0" t="0"/>
            <wp:docPr descr="Figure 2: График для 1 случая" title="" id="30" name="Picture"/>
            <a:graphic>
              <a:graphicData uri="http://schemas.openxmlformats.org/drawingml/2006/picture">
                <pic:pic>
                  <pic:nvPicPr>
                    <pic:cNvPr descr="1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График для 1 случая</w:t>
      </w:r>
    </w:p>
    <w:p>
      <w:pPr>
        <w:pStyle w:val="BodyText"/>
      </w:pPr>
      <w:r>
        <w:t xml:space="preserve">Задаем параметры и прописываем функцию, записываем дифференциальные уравнения.(fig. 3).</w:t>
      </w:r>
    </w:p>
    <w:p>
      <w:pPr>
        <w:pStyle w:val="CaptionedFigure"/>
      </w:pPr>
      <w:bookmarkStart w:id="36" w:name="fig:003"/>
      <w:r>
        <w:drawing>
          <wp:inline>
            <wp:extent cx="5334000" cy="2333625"/>
            <wp:effectExtent b="0" l="0" r="0" t="0"/>
            <wp:docPr descr="Figure 3: Код программы для 2 случая" title="" id="34" name="Picture"/>
            <a:graphic>
              <a:graphicData uri="http://schemas.openxmlformats.org/drawingml/2006/picture">
                <pic:pic>
                  <pic:nvPicPr>
                    <pic:cNvPr descr="2k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Код программы для 2 случая</w:t>
      </w:r>
    </w:p>
    <w:p>
      <w:pPr>
        <w:pStyle w:val="BodyText"/>
      </w:pPr>
      <w:r>
        <w:t xml:space="preserve">Получаем график. (fig. 4)</w:t>
      </w:r>
    </w:p>
    <w:p>
      <w:pPr>
        <w:pStyle w:val="CaptionedFigure"/>
      </w:pPr>
      <w:bookmarkStart w:id="40" w:name="fig:004"/>
      <w:r>
        <w:drawing>
          <wp:inline>
            <wp:extent cx="5334000" cy="2612826"/>
            <wp:effectExtent b="0" l="0" r="0" t="0"/>
            <wp:docPr descr="Figure 4: График для 2 случая" title="" id="38" name="Picture"/>
            <a:graphic>
              <a:graphicData uri="http://schemas.openxmlformats.org/drawingml/2006/picture">
                <pic:pic>
                  <pic:nvPicPr>
                    <pic:cNvPr descr="2g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для 2 случая</w:t>
      </w:r>
    </w:p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Построили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3"/>
        </w:numPr>
        <w:pStyle w:val="Compact"/>
      </w:pPr>
      <w:r>
        <w:t xml:space="preserve">Построили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Теоретические материалы курса.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Липатникова М.С. группа НФИбд-02-19</dc:creator>
  <cp:keywords/>
  <dcterms:created xsi:type="dcterms:W3CDTF">2022-03-18T07:22:08Z</dcterms:created>
  <dcterms:modified xsi:type="dcterms:W3CDTF">2022-03-18T07:22:08Z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конкуренции двух фирм.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