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Титульный лист</w:t>
      </w:r>
    </w:p>
    <w:p>
      <w:pPr>
        <w:pStyle w:val="FirstParagraph"/>
      </w:pPr>
      <w:r>
        <w:rPr>
          <w:iCs/>
          <w:i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 4</w:t>
      </w:r>
    </w:p>
    <w:p>
      <w:pPr>
        <w:pStyle w:val="BodyText"/>
      </w:pPr>
      <w:r>
        <w:rPr>
          <w:iCs/>
          <w:i/>
        </w:rPr>
        <w:t xml:space="preserve">дисциплина: Архитектура компьютеров и операционных систем</w:t>
      </w:r>
    </w:p>
    <w:p>
      <w:pPr>
        <w:pStyle w:val="BodyText"/>
      </w:pPr>
      <w:r>
        <w:t xml:space="preserve">Студент: Прокопьева Марина</w:t>
      </w:r>
      <w:r>
        <w:t xml:space="preserve"> </w:t>
      </w:r>
      <w:r>
        <w:t xml:space="preserve">Студенческий билет: 1132237370</w:t>
      </w:r>
      <w:r>
        <w:t xml:space="preserve"> </w:t>
      </w:r>
      <w:r>
        <w:t xml:space="preserve">Группа: НБИбд-02-23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2023 г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1"/>
    <w:bookmarkStart w:id="22" w:name="теоретическ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часть:</w:t>
      </w:r>
    </w:p>
    <w:p>
      <w:pPr>
        <w:pStyle w:val="FirstParagraph"/>
      </w:pPr>
      <w:r>
        <w:t xml:space="preserve">Основные принципы работы компьютера</w:t>
      </w:r>
    </w:p>
    <w:p>
      <w:pPr>
        <w:pStyle w:val="BodyText"/>
      </w:pP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</w:p>
    <w:p>
      <w:pPr>
        <w:pStyle w:val="BodyText"/>
      </w:pP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p>
      <w:pPr>
        <w:pStyle w:val="BodyText"/>
      </w:pP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данных, хранящихся в регистрах процессора,</w:t>
      </w:r>
      <w:r>
        <w:t xml:space="preserve"> </w:t>
      </w:r>
      <w:r>
        <w:t xml:space="preserve">это, например пересылка данных между регистрами или между регистрами и памятью, преобразование (арифметические или логические операции) данных, хранящихся в регистрах.</w:t>
      </w:r>
    </w:p>
    <w:p>
      <w:pPr>
        <w:pStyle w:val="BodyText"/>
      </w:pP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</w:p>
    <w:p>
      <w:pPr>
        <w:pStyle w:val="BodyText"/>
      </w:pP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</w:p>
    <w:p>
      <w:pPr>
        <w:pStyle w:val="BodyText"/>
      </w:pPr>
      <w:r>
        <w:t xml:space="preserve">Таким образом можно отметить, что вы можете написать в своей программе, например,</w:t>
      </w:r>
      <w:r>
        <w:t xml:space="preserve"> </w:t>
      </w:r>
      <w:r>
        <w:t xml:space="preserve">такие команды (mov – команда пересылки данных на языке ассемблера):</w:t>
      </w:r>
    </w:p>
    <w:p>
      <w:pPr>
        <w:pStyle w:val="BodyText"/>
      </w:pPr>
      <w:r>
        <w:t xml:space="preserve">mov ax, 1</w:t>
      </w:r>
      <w:r>
        <w:t xml:space="preserve"> </w:t>
      </w:r>
      <w:r>
        <w:t xml:space="preserve">mov eax, 1</w:t>
      </w:r>
    </w:p>
    <w:p>
      <w:pPr>
        <w:pStyle w:val="BodyText"/>
      </w:pPr>
      <w:r>
        <w:t xml:space="preserve">Обе команды поместят в регистр AX число 1. Разница будет заключаться только в том, что</w:t>
      </w:r>
      <w:r>
        <w:t xml:space="preserve"> </w:t>
      </w: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t xml:space="preserve"> </w:t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  <w:r>
        <w:t xml:space="preserve"> </w:t>
      </w:r>
      <w:r>
        <w:t xml:space="preserve">Более подробно введение о теоретических основах архитектуры ЭВМ см. в [9; 11].</w:t>
      </w:r>
    </w:p>
    <w:p>
      <w:pPr>
        <w:pStyle w:val="BodyText"/>
      </w:pPr>
      <w:r>
        <w:t xml:space="preserve">Ассемблер и язык ассемблера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контроллеров x86, ARM, SPARC, PowerPC, 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t xml:space="preserve"> </w:t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  <w:r>
        <w:t xml:space="preserve"> </w:t>
      </w:r>
      <w:r>
        <w:t xml:space="preserve">Более подробно о языке ассемблера см., например, в [10].</w:t>
      </w:r>
      <w:r>
        <w:t xml:space="preserve"> </w:t>
      </w:r>
      <w:r>
        <w:t xml:space="preserve">В нашем курсе будет использоваться ассемблер NASM (Netwide Assembler) [7; 12; 14].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t xml:space="preserve">[метка:] мнемокод [операнд {, операнд}] [; комментарий]</w:t>
      </w:r>
      <w:r>
        <w:t xml:space="preserve"> </w:t>
      </w:r>
      <w:r>
        <w:t xml:space="preserve">Здесь мнемокод— непосредственно мнемоника инструкции процессору, которая является</w:t>
      </w:r>
      <w:r>
        <w:t xml:space="preserve"> </w:t>
      </w:r>
      <w:r>
        <w:t xml:space="preserve">обязательной частью команды. Операндами могут быть числа,данные,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  <w:r>
        <w:t xml:space="preserve"> </w:t>
      </w:r>
      <w:r>
        <w:t xml:space="preserve">Допустимыми символами в метках являются буквы, цифры, а также символы</w:t>
      </w:r>
      <w:r>
        <w:t xml:space="preserve"> </w:t>
      </w:r>
      <w:r>
        <w:t xml:space="preserve">Начинаться метка или идентификатор могут с буквы, ., _ и ?. Перед идентификаторами,</w:t>
      </w:r>
      <w:r>
        <w:t xml:space="preserve"> </w:t>
      </w:r>
      <w:r>
        <w:t xml:space="preserve">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4095</w:t>
      </w:r>
      <w:r>
        <w:t xml:space="preserve"> </w:t>
      </w:r>
      <w:r>
        <w:t xml:space="preserve">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</w:t>
      </w:r>
      <w:r>
        <w:t xml:space="preserve"> </w:t>
      </w:r>
      <w:r>
        <w:t xml:space="preserve">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</w:p>
    <w:p>
      <w:pPr>
        <w:pStyle w:val="BodyText"/>
      </w:pPr>
      <w:r>
        <w:t xml:space="preserve">Процесс создания и обработки программы на языке ассемблера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t xml:space="preserve"> </w:t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t xml:space="preserve"> </w:t>
      </w: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  <w:r>
        <w:t xml:space="preserve"> </w:t>
      </w:r>
      <w:r>
        <w:t xml:space="preserve">Из-за специфики программирования, а также по традиции для создания программ на языке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</w:p>
    <w:bookmarkEnd w:id="22"/>
    <w:bookmarkStart w:id="7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Программа Hello world!</w:t>
      </w:r>
    </w:p>
    <w:p>
      <w:pPr>
        <w:pStyle w:val="BodyText"/>
      </w:pPr>
      <w:r>
        <w:t xml:space="preserve">Создала каталог для работы с программами на языке ассемблера NASM и перешла в созданный каталог:</w:t>
      </w:r>
      <w:r>
        <w:t xml:space="preserve"> </w:t>
      </w:r>
      <w:r>
        <w:drawing>
          <wp:inline>
            <wp:extent cx="5334000" cy="781891"/>
            <wp:effectExtent b="0" l="0" r="0" t="0"/>
            <wp:docPr descr="рис 1.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Создала текстовый файл с именем hello.asm, открыла этот файл с помощью любого текстового редактора</w:t>
      </w:r>
      <w:r>
        <w:t xml:space="preserve"> </w:t>
      </w:r>
      <w:r>
        <w:drawing>
          <wp:inline>
            <wp:extent cx="5334000" cy="1885921"/>
            <wp:effectExtent b="0" l="0" r="0" t="0"/>
            <wp:docPr descr="рис 2.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Ввела в него следующий текст.</w:t>
      </w:r>
      <w:r>
        <w:br/>
      </w:r>
      <w:r>
        <w:drawing>
          <wp:inline>
            <wp:extent cx="5334000" cy="3085722"/>
            <wp:effectExtent b="0" l="0" r="0" t="0"/>
            <wp:docPr descr="рис 3." title="" id="30" name="Picture"/>
            <a:graphic>
              <a:graphicData uri="http://schemas.openxmlformats.org/drawingml/2006/picture">
                <pic:pic>
                  <pic:nvPicPr>
                    <pic:cNvPr descr="image/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Транслятор NASM</w:t>
      </w:r>
    </w:p>
    <w:p>
      <w:pPr>
        <w:pStyle w:val="BodyText"/>
      </w:pPr>
      <w:r>
        <w:t xml:space="preserve">Компилирую приведенный выше текст и проверяю его.</w:t>
      </w:r>
      <w:r>
        <w:t xml:space="preserve"> </w:t>
      </w:r>
      <w:r>
        <w:drawing>
          <wp:inline>
            <wp:extent cx="5334000" cy="811885"/>
            <wp:effectExtent b="0" l="0" r="0" t="0"/>
            <wp:docPr descr="рис 4." title="" id="33" name="Picture"/>
            <a:graphic>
              <a:graphicData uri="http://schemas.openxmlformats.org/drawingml/2006/picture">
                <pic:pic>
                  <pic:nvPicPr>
                    <pic:cNvPr descr="image/0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Расширенный синтаксис командной строки NASM</w:t>
      </w:r>
    </w:p>
    <w:p>
      <w:pPr>
        <w:pStyle w:val="BodyText"/>
      </w:pPr>
      <w:r>
        <w:t xml:space="preserve">Выполнила следующую команду:</w:t>
      </w:r>
    </w:p>
    <w:p>
      <w:pPr>
        <w:pStyle w:val="BodyText"/>
      </w:pPr>
      <w:r>
        <w:t xml:space="preserve">nasm -o obj.o -f elf -g -l list.lst hello.asm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</w:p>
    <w:p>
      <w:pPr>
        <w:pStyle w:val="BodyText"/>
      </w:pPr>
      <w:r>
        <w:t xml:space="preserve">С помощью команды ls проверила, что файлы были созданы.</w:t>
      </w:r>
    </w:p>
    <w:p>
      <w:pPr>
        <w:pStyle w:val="CaptionedFigure"/>
      </w:pPr>
      <w:r>
        <w:drawing>
          <wp:inline>
            <wp:extent cx="5334000" cy="625995"/>
            <wp:effectExtent b="0" l="0" r="0" t="0"/>
            <wp:docPr descr="рис 5." title="fig:" id="36" name="Picture"/>
            <a:graphic>
              <a:graphicData uri="http://schemas.openxmlformats.org/drawingml/2006/picture">
                <pic:pic>
                  <pic:nvPicPr>
                    <pic:cNvPr descr="image/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</w:t>
      </w:r>
    </w:p>
    <w:p>
      <w:pPr>
        <w:pStyle w:val="BodyText"/>
      </w:pPr>
      <w:r>
        <w:rPr>
          <w:bCs/>
          <w:b/>
        </w:rPr>
        <w:t xml:space="preserve">Компоновщик LD</w:t>
      </w:r>
    </w:p>
    <w:p>
      <w:pPr>
        <w:pStyle w:val="BodyText"/>
      </w:pPr>
      <w:r>
        <w:t xml:space="preserve">Выполните следующую команду:</w:t>
      </w:r>
      <w:r>
        <w:t xml:space="preserve"> </w:t>
      </w:r>
      <w:r>
        <w:t xml:space="preserve">ld -m elf_i386 hello.o -o hello</w:t>
      </w:r>
      <w:r>
        <w:t xml:space="preserve"> </w:t>
      </w:r>
      <w:r>
        <w:t xml:space="preserve">С помощью команды ls проверила что команда работает так как надо.</w:t>
      </w:r>
      <w:r>
        <w:t xml:space="preserve"> </w:t>
      </w:r>
      <w:r>
        <w:drawing>
          <wp:inline>
            <wp:extent cx="5334000" cy="680123"/>
            <wp:effectExtent b="0" l="0" r="0" t="0"/>
            <wp:docPr descr="рис 6." title="" id="39" name="Picture"/>
            <a:graphic>
              <a:graphicData uri="http://schemas.openxmlformats.org/drawingml/2006/picture">
                <pic:pic>
                  <pic:nvPicPr>
                    <pic:cNvPr descr="image/0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Выполнила следующую команду:</w:t>
      </w:r>
      <w:r>
        <w:t xml:space="preserve"> </w:t>
      </w:r>
      <w:r>
        <w:t xml:space="preserve">ld -m elf_i386 obj.o -o main</w:t>
      </w:r>
      <w:r>
        <w:t xml:space="preserve"> </w:t>
      </w:r>
      <w:r>
        <w:t xml:space="preserve">Формат командной строки LD можно увидеть, набрав ld –help</w:t>
      </w:r>
      <w:r>
        <w:t xml:space="preserve"> </w:t>
      </w:r>
      <w:r>
        <w:drawing>
          <wp:inline>
            <wp:extent cx="5334000" cy="1281174"/>
            <wp:effectExtent b="0" l="0" r="0" t="0"/>
            <wp:docPr descr="рис 7." title="" id="42" name="Picture"/>
            <a:graphic>
              <a:graphicData uri="http://schemas.openxmlformats.org/drawingml/2006/picture">
                <pic:pic>
                  <pic:nvPicPr>
                    <pic:cNvPr descr="image/0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Запуск исполняемого файла</w:t>
      </w:r>
    </w:p>
    <w:p>
      <w:pPr>
        <w:pStyle w:val="BodyText"/>
      </w:pPr>
      <w:r>
        <w:t xml:space="preserve">Запустила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</w:t>
      </w:r>
      <w:r>
        <w:t xml:space="preserve"> </w:t>
      </w:r>
      <w:r>
        <w:t xml:space="preserve">./hello</w:t>
      </w:r>
    </w:p>
    <w:p>
      <w:pPr>
        <w:pStyle w:val="CaptionedFigure"/>
      </w:pPr>
      <w:r>
        <w:drawing>
          <wp:inline>
            <wp:extent cx="5334000" cy="739048"/>
            <wp:effectExtent b="0" l="0" r="0" t="0"/>
            <wp:docPr descr="рис 8." title="fig:" id="45" name="Picture"/>
            <a:graphic>
              <a:graphicData uri="http://schemas.openxmlformats.org/drawingml/2006/picture">
                <pic:pic>
                  <pic:nvPicPr>
                    <pic:cNvPr descr="image/0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8.</w:t>
      </w:r>
    </w:p>
    <w:p>
      <w:pPr>
        <w:pStyle w:val="BodyText"/>
      </w:pPr>
      <w:r>
        <w:rPr>
          <w:bCs/>
          <w:b/>
        </w:rPr>
        <w:t xml:space="preserve">Самостоятельная работа</w:t>
      </w:r>
    </w:p>
    <w:p>
      <w:pPr>
        <w:pStyle w:val="BodyText"/>
      </w:pPr>
      <w:r>
        <w:rPr>
          <w:iCs/>
          <w:i/>
        </w:rPr>
        <w:t xml:space="preserve">1</w:t>
      </w:r>
      <w:r>
        <w:t xml:space="preserve"> </w:t>
      </w:r>
      <w:r>
        <w:t xml:space="preserve">В каталоге ~/work/arch-pc/lab04 с помощью команды cp создала копию файла</w:t>
      </w:r>
      <w:r>
        <w:t xml:space="preserve"> </w:t>
      </w:r>
      <w:r>
        <w:t xml:space="preserve">hello.asm с именем lab4.asm и проверила</w:t>
      </w:r>
    </w:p>
    <w:p>
      <w:pPr>
        <w:pStyle w:val="CaptionedFigure"/>
      </w:pPr>
      <w:r>
        <w:drawing>
          <wp:inline>
            <wp:extent cx="5334000" cy="758177"/>
            <wp:effectExtent b="0" l="0" r="0" t="0"/>
            <wp:docPr descr="рис 9." title="fig:" id="48" name="Picture"/>
            <a:graphic>
              <a:graphicData uri="http://schemas.openxmlformats.org/drawingml/2006/picture">
                <pic:pic>
                  <pic:nvPicPr>
                    <pic:cNvPr descr="image/0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9.</w:t>
      </w:r>
    </w:p>
    <w:p>
      <w:pPr>
        <w:pStyle w:val="BodyText"/>
      </w:pPr>
      <w:r>
        <w:rPr>
          <w:iCs/>
          <w:i/>
        </w:rPr>
        <w:t xml:space="preserve">2</w:t>
      </w:r>
      <w:r>
        <w:t xml:space="preserve"> </w:t>
      </w:r>
      <w:r>
        <w:t xml:space="preserve">С помощью любого текстового редактора внесла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моей</w:t>
      </w:r>
      <w:r>
        <w:t xml:space="preserve"> </w:t>
      </w:r>
      <w:r>
        <w:t xml:space="preserve">фамилией и именем.</w:t>
      </w:r>
    </w:p>
    <w:p>
      <w:pPr>
        <w:pStyle w:val="CaptionedFigure"/>
      </w:pPr>
      <w:r>
        <w:drawing>
          <wp:inline>
            <wp:extent cx="5334000" cy="2708455"/>
            <wp:effectExtent b="0" l="0" r="0" t="0"/>
            <wp:docPr descr="рис 10." title="fig:" id="51" name="Picture"/>
            <a:graphic>
              <a:graphicData uri="http://schemas.openxmlformats.org/drawingml/2006/picture">
                <pic:pic>
                  <pic:nvPicPr>
                    <pic:cNvPr descr="image/0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10.</w:t>
      </w:r>
    </w:p>
    <w:p>
      <w:pPr>
        <w:pStyle w:val="BodyText"/>
      </w:pPr>
      <w:r>
        <w:rPr>
          <w:iCs/>
          <w:i/>
        </w:rPr>
        <w:t xml:space="preserve">3</w:t>
      </w:r>
      <w:r>
        <w:t xml:space="preserve"> </w:t>
      </w:r>
      <w:r>
        <w:t xml:space="preserve">Оттранслировала полученный текст программы lab4.asm в объектный файл. Выполнила</w:t>
      </w:r>
      <w:r>
        <w:t xml:space="preserve"> </w:t>
      </w:r>
      <w:r>
        <w:t xml:space="preserve">компоновку объектного файла и запустила получившийся исполняемый файл.</w:t>
      </w:r>
    </w:p>
    <w:p>
      <w:pPr>
        <w:pStyle w:val="BodyText"/>
      </w:pPr>
      <w:r>
        <w:drawing>
          <wp:inline>
            <wp:extent cx="5334000" cy="847215"/>
            <wp:effectExtent b="0" l="0" r="0" t="0"/>
            <wp:docPr descr="рис 11." title="" id="54" name="Picture"/>
            <a:graphic>
              <a:graphicData uri="http://schemas.openxmlformats.org/drawingml/2006/picture">
                <pic:pic>
                  <pic:nvPicPr>
                    <pic:cNvPr descr="image/0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76719"/>
            <wp:effectExtent b="0" l="0" r="0" t="0"/>
            <wp:docPr descr="рис 12." title="" id="57" name="Picture"/>
            <a:graphic>
              <a:graphicData uri="http://schemas.openxmlformats.org/drawingml/2006/picture">
                <pic:pic>
                  <pic:nvPicPr>
                    <pic:cNvPr descr="image/0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917677"/>
            <wp:effectExtent b="0" l="0" r="0" t="0"/>
            <wp:docPr descr="рис 13." title="" id="60" name="Picture"/>
            <a:graphic>
              <a:graphicData uri="http://schemas.openxmlformats.org/drawingml/2006/picture">
                <pic:pic>
                  <pic:nvPicPr>
                    <pic:cNvPr descr="image/0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4</w:t>
      </w:r>
      <w:r>
        <w:t xml:space="preserve"> </w:t>
      </w:r>
      <w:r>
        <w:t xml:space="preserve">Скопировала файлы hello.asm и lab4.asm в Ваш локальный репозиторий в каталог</w:t>
      </w:r>
      <w:r>
        <w:t xml:space="preserve"> </w:t>
      </w:r>
      <w:r>
        <w:t xml:space="preserve">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Загрузила файлы на Github.</w:t>
      </w:r>
      <w:r>
        <w:t xml:space="preserve"> </w:t>
      </w:r>
      <w:r>
        <w:drawing>
          <wp:inline>
            <wp:extent cx="5334000" cy="575040"/>
            <wp:effectExtent b="0" l="0" r="0" t="0"/>
            <wp:docPr descr="рис 14." title="" id="63" name="Picture"/>
            <a:graphic>
              <a:graphicData uri="http://schemas.openxmlformats.org/drawingml/2006/picture">
                <pic:pic>
                  <pic:nvPicPr>
                    <pic:cNvPr descr="image/0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848338"/>
            <wp:effectExtent b="0" l="0" r="0" t="0"/>
            <wp:docPr descr="рис 15." title="" id="66" name="Picture"/>
            <a:graphic>
              <a:graphicData uri="http://schemas.openxmlformats.org/drawingml/2006/picture">
                <pic:pic>
                  <pic:nvPicPr>
                    <pic:cNvPr descr="image/0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26396"/>
            <wp:effectExtent b="0" l="0" r="0" t="0"/>
            <wp:docPr descr="рис 16." title="" id="69" name="Picture"/>
            <a:graphic>
              <a:graphicData uri="http://schemas.openxmlformats.org/drawingml/2006/picture">
                <pic:pic>
                  <pic:nvPicPr>
                    <pic:cNvPr descr="image/0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  <w:r>
        <w:t xml:space="preserve"> </w:t>
      </w:r>
      <w:r>
        <w:t xml:space="preserve">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2023-11-23T08:47:09Z</dcterms:created>
  <dcterms:modified xsi:type="dcterms:W3CDTF">2023-11-23T08:47:09Z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