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по Основам Иформационной Безопасности</w:t>
      </w:r>
    </w:p>
    <w:p>
      <w:pPr>
        <w:pStyle w:val="Subtitle"/>
      </w:pPr>
      <w:r>
        <w:t xml:space="preserve">Информационное право и информационная безопасность.</w:t>
      </w:r>
    </w:p>
    <w:p>
      <w:pPr>
        <w:pStyle w:val="Author"/>
      </w:pPr>
      <w:r>
        <w:t xml:space="preserve">Прокопьева Марина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Рассказать о теме</w:t>
      </w:r>
      <w:r>
        <w:t xml:space="preserve"> </w:t>
      </w:r>
      <w:r>
        <w:t xml:space="preserve">“Информационное право и информационная безопасность.”</w:t>
      </w:r>
    </w:p>
    <w:bookmarkEnd w:id="20"/>
    <w:bookmarkStart w:id="26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5" w:name="Xfee0745a26082ad5ecf8efd407b55c1b7bcc2f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Лицензионное соглашение, информационная безопасность, защита информации.</w:t>
      </w:r>
    </w:p>
    <w:bookmarkStart w:id="24" w:name="fig:001"/>
    <w:p>
      <w:pPr>
        <w:pStyle w:val="CaptionedFigure"/>
      </w:pPr>
      <w:r>
        <w:drawing>
          <wp:inline>
            <wp:extent cx="3733800" cy="2336542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4"/>
    <w:p>
      <w:pPr>
        <w:pStyle w:val="BodyText"/>
      </w:pPr>
      <w:r>
        <w:t xml:space="preserve">В современном обществе большинство людей занято деятельностью в информационной сфере, то есть сфере деятельности, связанной с созданием, преобразованием и потреблением информации. В основе производства, распространения, преобразования и потребления информации лежат информационные процессы сбора, создания, обработки, накопления, хранения, поиска информации в обществе, а также процессы создания и применения информационных систем и технологий.</w:t>
      </w:r>
    </w:p>
    <w:p>
      <w:pPr>
        <w:pStyle w:val="BodyText"/>
      </w:pPr>
      <w:r>
        <w:t xml:space="preserve">При выполнении рассмотренных информационных процессов возникают социальные (общественные) отношения, которые подлежат правовому регулированию. Соответственно объектом правовых взаимоотношений выступает информация.</w:t>
      </w:r>
    </w:p>
    <w:bookmarkEnd w:id="25"/>
    <w:bookmarkEnd w:id="26"/>
    <w:bookmarkStart w:id="47" w:name="законы-и-прав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Законы и права</w:t>
      </w:r>
    </w:p>
    <w:bookmarkStart w:id="30" w:name="fig:002"/>
    <w:p>
      <w:pPr>
        <w:pStyle w:val="CaptionedFigure"/>
      </w:pPr>
      <w:r>
        <w:drawing>
          <wp:inline>
            <wp:extent cx="3733800" cy="4141362"/>
            <wp:effectExtent b="0" l="0" r="0" t="0"/>
            <wp:docPr descr="Рис. 2: 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bookmarkEnd w:id="30"/>
    <w:bookmarkStart w:id="35" w:name="X8662f62c4f2bd4051c0a2ab57921bc6ce98a35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РОССИЙСКАЯ ФЕДЕРАЦИЯ ФЕДЕРАЛЬНЫЙ ЗАКОН ОБ ИНФОРМАЦИИ, ИНФОРМАЦИОННЫХ ТЕХНОЛОГИЯХ И О ЗАЩИТЕ ИНФОРМАЦИИ</w:t>
      </w:r>
    </w:p>
    <w:bookmarkStart w:id="34" w:name="fig:005"/>
    <w:p>
      <w:pPr>
        <w:pStyle w:val="CaptionedFigure"/>
      </w:pPr>
      <w:r>
        <w:drawing>
          <wp:inline>
            <wp:extent cx="3733800" cy="3294296"/>
            <wp:effectExtent b="0" l="0" r="0" t="0"/>
            <wp:docPr descr="Рис. 3: 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0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4"/>
    <w:p>
      <w:pPr>
        <w:pStyle w:val="BodyText"/>
      </w:pPr>
      <w:r>
        <w:t xml:space="preserve">Этот закон регулирует отношения, возникающие при: осуществлении права на поиск, получение, передачу и производство информации; применении информационных технологий; обеспечении защиты информации. В частности, в статье 8 «Право на доступ к информации» утверждается право гражданина на получение из официальных источников информации о деятельности государственных органов, об использовании бюджетных средств, о состоянии окружающей среды, и пр., а также любой информации, непосредственно затрагивающей его права и свободы. Ограничение доступа к информации устанавливается только федеральными законами, направленными на обеспечение государственной безопасности.</w:t>
      </w:r>
    </w:p>
    <w:p>
      <w:pPr>
        <w:pStyle w:val="BodyText"/>
      </w:pPr>
      <w:r>
        <w:t xml:space="preserve">В статье 12 «Государственное регулирование в сфере применения информационных технологий», в частности, отмечается, что обязанностью государства является создание условий для эффективного использования в Российский Федерации информационно-телекоммуникационных сетей, в том числе Интернета.</w:t>
      </w:r>
    </w:p>
    <w:p>
      <w:pPr>
        <w:pStyle w:val="BodyText"/>
      </w:pPr>
      <w:r>
        <w:t xml:space="preserve">Особое внимание обратим на статью 3, в которой среди принципов правового регулирования в информационной сфере провозглашается принцип неприкосновенности частной жизни, недопустимость сбора, хранения использования и распространения информации о частной жизни лица без его согласия.</w:t>
      </w:r>
    </w:p>
    <w:bookmarkEnd w:id="35"/>
    <w:bookmarkStart w:id="40" w:name="X719444b0b5dc1078664c269742f68f357ddd6e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Гражданский кодекс РФ Часть четвертая (ст. 1225 - 1551)</w:t>
      </w:r>
    </w:p>
    <w:bookmarkStart w:id="39" w:name="fig:006"/>
    <w:p>
      <w:pPr>
        <w:pStyle w:val="CaptionedFigure"/>
      </w:pPr>
      <w:r>
        <w:drawing>
          <wp:inline>
            <wp:extent cx="3733800" cy="2647835"/>
            <wp:effectExtent b="0" l="0" r="0" t="0"/>
            <wp:docPr descr="Рис. 4: 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9"/>
    <w:p>
      <w:pPr>
        <w:pStyle w:val="BodyText"/>
      </w:pPr>
      <w:r>
        <w:t xml:space="preserve">Дает юридически точное определение понятий, связанных с авторством и распространением компьютерных программ и баз данных. Он определяет, что авторское право распространяется на указанные объекты, являющиеся результатом творческой деятельности автора. Автор (или авторы) имеет исключительное право на выпуск в свет программ и баз данных, их распространение, модификацию и иное использование. Однако имущественные права на указанные объекты, созданные в порядке выполнения служебных обязанностей или по заданию работодателя, принадлежат работодателю. Имущественные права, в отличие от авторских, могут быть переданы иному физическому или юридическому лицу на договорной основе.</w:t>
      </w:r>
    </w:p>
    <w:bookmarkEnd w:id="40"/>
    <w:bookmarkStart w:id="41" w:name="закон-152-0фз-о-персональных-данны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закон №152-0ФЗ «О персональных данных»</w:t>
      </w:r>
    </w:p>
    <w:p>
      <w:pPr>
        <w:pStyle w:val="FirstParagraph"/>
      </w:pPr>
      <w:r>
        <w:t xml:space="preserve">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данными.</w:t>
      </w:r>
    </w:p>
    <w:p>
      <w:pPr>
        <w:pStyle w:val="BodyText"/>
      </w:pPr>
      <w:r>
        <w:t xml:space="preserve">Включая:</w:t>
      </w:r>
    </w:p>
    <w:p>
      <w:pPr>
        <w:pStyle w:val="Compact"/>
        <w:numPr>
          <w:ilvl w:val="0"/>
          <w:numId w:val="1001"/>
        </w:numPr>
      </w:pPr>
      <w:r>
        <w:t xml:space="preserve">Сбор</w:t>
      </w:r>
    </w:p>
    <w:p>
      <w:pPr>
        <w:pStyle w:val="Compact"/>
        <w:numPr>
          <w:ilvl w:val="0"/>
          <w:numId w:val="1001"/>
        </w:numPr>
      </w:pPr>
      <w:r>
        <w:t xml:space="preserve">Запись</w:t>
      </w:r>
    </w:p>
    <w:p>
      <w:pPr>
        <w:pStyle w:val="Compact"/>
        <w:numPr>
          <w:ilvl w:val="0"/>
          <w:numId w:val="1001"/>
        </w:numPr>
      </w:pPr>
      <w:r>
        <w:t xml:space="preserve">Систематизацию</w:t>
      </w:r>
    </w:p>
    <w:p>
      <w:pPr>
        <w:pStyle w:val="Compact"/>
        <w:numPr>
          <w:ilvl w:val="0"/>
          <w:numId w:val="1001"/>
        </w:numPr>
      </w:pPr>
      <w:r>
        <w:t xml:space="preserve">Накопление</w:t>
      </w:r>
    </w:p>
    <w:p>
      <w:pPr>
        <w:pStyle w:val="Compact"/>
        <w:numPr>
          <w:ilvl w:val="0"/>
          <w:numId w:val="1001"/>
        </w:numPr>
      </w:pPr>
      <w:r>
        <w:t xml:space="preserve">Хранение</w:t>
      </w:r>
    </w:p>
    <w:p>
      <w:pPr>
        <w:pStyle w:val="Compact"/>
        <w:numPr>
          <w:ilvl w:val="0"/>
          <w:numId w:val="1001"/>
        </w:numPr>
      </w:pPr>
      <w:r>
        <w:t xml:space="preserve">Уточнение (обновление, изменение)</w:t>
      </w:r>
    </w:p>
    <w:p>
      <w:pPr>
        <w:pStyle w:val="Compact"/>
        <w:numPr>
          <w:ilvl w:val="0"/>
          <w:numId w:val="1001"/>
        </w:numPr>
      </w:pPr>
      <w:r>
        <w:t xml:space="preserve">Извлечение</w:t>
      </w:r>
    </w:p>
    <w:p>
      <w:pPr>
        <w:pStyle w:val="Compact"/>
        <w:numPr>
          <w:ilvl w:val="0"/>
          <w:numId w:val="1001"/>
        </w:numPr>
      </w:pPr>
      <w:r>
        <w:t xml:space="preserve">Использование</w:t>
      </w:r>
    </w:p>
    <w:p>
      <w:pPr>
        <w:pStyle w:val="Compact"/>
        <w:numPr>
          <w:ilvl w:val="0"/>
          <w:numId w:val="1001"/>
        </w:numPr>
      </w:pPr>
      <w:r>
        <w:t xml:space="preserve">Передачу (распространение, предоставление, доступ)</w:t>
      </w:r>
    </w:p>
    <w:p>
      <w:pPr>
        <w:pStyle w:val="Compact"/>
        <w:numPr>
          <w:ilvl w:val="0"/>
          <w:numId w:val="1001"/>
        </w:numPr>
      </w:pPr>
      <w:r>
        <w:t xml:space="preserve">Обезличивание</w:t>
      </w:r>
    </w:p>
    <w:p>
      <w:pPr>
        <w:pStyle w:val="Compact"/>
        <w:numPr>
          <w:ilvl w:val="0"/>
          <w:numId w:val="1001"/>
        </w:numPr>
      </w:pPr>
      <w:r>
        <w:t xml:space="preserve">Блокирование</w:t>
      </w:r>
    </w:p>
    <w:p>
      <w:pPr>
        <w:pStyle w:val="Compact"/>
        <w:numPr>
          <w:ilvl w:val="0"/>
          <w:numId w:val="1001"/>
        </w:numPr>
      </w:pPr>
      <w:r>
        <w:t xml:space="preserve">Удаление</w:t>
      </w:r>
    </w:p>
    <w:p>
      <w:pPr>
        <w:pStyle w:val="Compact"/>
        <w:numPr>
          <w:ilvl w:val="0"/>
          <w:numId w:val="1001"/>
        </w:numPr>
      </w:pPr>
      <w:r>
        <w:t xml:space="preserve">Уничтожение персональных данных</w:t>
      </w:r>
    </w:p>
    <w:p>
      <w:pPr>
        <w:pStyle w:val="FirstParagraph"/>
      </w:pPr>
      <w:r>
        <w:t xml:space="preserve">Цель закона № 152-ФЗ заключается в регулировании отношений, связанных с обработкой персональных данных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</w:t>
      </w:r>
    </w:p>
    <w:bookmarkEnd w:id="41"/>
    <w:bookmarkStart w:id="46" w:name="Xa1acb243c2ba7190d3ba69498c4e83a062c88f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УК РФ Глава 28. ПРЕСТУПЛЕНИЯ В СФЕРЕ КОМПЬЮТЕРНОЙ ИНФОРМАЦИИ</w:t>
      </w:r>
    </w:p>
    <w:bookmarkStart w:id="45" w:name="fig:007"/>
    <w:p>
      <w:pPr>
        <w:pStyle w:val="CaptionedFigure"/>
      </w:pPr>
      <w:r>
        <w:drawing>
          <wp:inline>
            <wp:extent cx="3733800" cy="2278177"/>
            <wp:effectExtent b="0" l="0" r="0" t="0"/>
            <wp:docPr descr="Рис. 5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0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5"/>
    <w:p>
      <w:pPr>
        <w:pStyle w:val="BodyText"/>
      </w:pPr>
      <w:r>
        <w:t xml:space="preserve">Он определил меру наказания за некоторые виды преступлений:</w:t>
      </w:r>
    </w:p>
    <w:p>
      <w:pPr>
        <w:numPr>
          <w:ilvl w:val="0"/>
          <w:numId w:val="1002"/>
        </w:numPr>
      </w:pPr>
      <w:r>
        <w:t xml:space="preserve">неправомерный доступ к охраняемой законом компьютерной информации, если это повлекло уничтожение, блокирование, модификацию либо копирование компьютерной информации;</w:t>
      </w:r>
    </w:p>
    <w:p>
      <w:pPr>
        <w:numPr>
          <w:ilvl w:val="0"/>
          <w:numId w:val="1002"/>
        </w:numPr>
      </w:pPr>
      <w:r>
        <w:t xml:space="preserve">создание, распространение или использование вредоносных компьютерных программ;</w:t>
      </w:r>
    </w:p>
    <w:p>
      <w:pPr>
        <w:numPr>
          <w:ilvl w:val="0"/>
          <w:numId w:val="1002"/>
        </w:numPr>
      </w:pPr>
      <w:r>
        <w:t xml:space="preserve">нарушение правил эксплуатации средств хранения, обработки или передачи охраняемой компьютерной информации либо информационно- телекоммуникационных сетей и оборудования, а также правил доступа к информа-ционно-телекоммуникационным сетям, повлекшее уничтожение, блокирование, модификацию либо копирование информации.</w:t>
      </w:r>
    </w:p>
    <w:bookmarkEnd w:id="46"/>
    <w:bookmarkEnd w:id="47"/>
    <w:bookmarkStart w:id="50" w:name="Xcad39a8f577a92453ceabbb080c09242e7ec4e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Доктрина информационной безопасности Российской Федерации</w:t>
      </w:r>
    </w:p>
    <w:p>
      <w:pPr>
        <w:pStyle w:val="FirstParagraph"/>
      </w:pPr>
      <w:r>
        <w:t xml:space="preserve">Доктрина информационной безопасности Российской Федерации представляет собой совокупность официальных взглядов на цели, задачи, принципы и основные направления обеспечения информационной безопасности Российской Федерации</w:t>
      </w:r>
    </w:p>
    <w:p>
      <w:pPr>
        <w:pStyle w:val="BodyText"/>
      </w:pPr>
      <w:r>
        <w:t xml:space="preserve">В доктрине выделены четыре основные составляющие национальных интересов Российской Федерации в информационной сфере: соблюдение конституционных прав и свобод человека и гражданина в области получения информации и пользования ею; обеспечение духовного обновления России; сохранение и укрепление нравственных ценностей общества, традиций патриотизма и гуманизма, культурного и научного потенциала страны; информационное обеспечение государственной политики Российской Федерации, связанное с доведением до российской и международной общественности достоверной информации о государственной политике Российской Федерации</w:t>
      </w:r>
    </w:p>
    <w:bookmarkStart w:id="48" w:name="X5ea47ec8c949dc9f6e8407844235a7bc74ff000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Различают несанкционированное и непреднамеренное воздействие на информацию</w:t>
      </w:r>
    </w:p>
    <w:p>
      <w:pPr>
        <w:pStyle w:val="SourceCode"/>
      </w:pPr>
      <w:r>
        <w:rPr>
          <w:rStyle w:val="VerbatimChar"/>
        </w:rPr>
        <w:t xml:space="preserve">Несанкционированное воздействие — это действие, которое выполняется без разрешения владельца информации или системы. Это может включать в себя хакерские атаки, кражу данных, несанкционированный доступ к системам и т.д. Такие действия обычно имеют злонамеренный характер и могут привести к утечке конфиденциальной информации, повреждению данных или другим негативным последствиям.</w:t>
      </w:r>
      <w:r>
        <w:br/>
      </w:r>
      <w:r>
        <w:br/>
      </w:r>
      <w:r>
        <w:rPr>
          <w:rStyle w:val="VerbatimChar"/>
        </w:rPr>
        <w:t xml:space="preserve">Непреднамеренное воздействие — это действия, которые происходят без злого умысла и могут быть вызваны ошибками, недоразумениями или техническими сбоями. Например, это может быть случайное удаление файлов, неправильная настройка системы, которая приводит к утечке данных, или ошибки в программном обеспечении. Хотя такие действия не имеют злого умысла, они также могут нанести вред информации и системам.</w:t>
      </w:r>
    </w:p>
    <w:bookmarkEnd w:id="48"/>
    <w:bookmarkStart w:id="49" w:name="виды-антивирус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Виды антивирусов</w:t>
      </w:r>
    </w:p>
    <w:p>
      <w:pPr>
        <w:pStyle w:val="FirstParagraph"/>
      </w:pPr>
      <w:r>
        <w:t xml:space="preserve">Для борьбы с вирусами существуют программы, которые можно разбить на основные группы: мониторы, детекторы, доктора, ревизоры и вакцины.</w:t>
      </w:r>
      <w:r>
        <w:t xml:space="preserve"> </w:t>
      </w:r>
      <w:r>
        <w:t xml:space="preserve">- Программы мониторы (программы-фильтры) располагаются резидентно в оперативной памяти компьютера, перехватывают и сообщают пользователю об обращениях операционной системы, которые используются вирусами для размножения и нанесения ущерба.</w:t>
      </w:r>
      <w:r>
        <w:t xml:space="preserve"> </w:t>
      </w:r>
      <w:r>
        <w:t xml:space="preserve">- Программы-детекторы проверяют, имеется ли в файлах и на дисках специфическая для данного вируса комбинация байтов.</w:t>
      </w:r>
      <w:r>
        <w:t xml:space="preserve"> </w:t>
      </w:r>
      <w:r>
        <w:t xml:space="preserve">- Программы-доктора восстанавливают зараженные программы путем удаления из них тела вируса.</w:t>
      </w:r>
      <w:r>
        <w:t xml:space="preserve"> </w:t>
      </w:r>
      <w:r>
        <w:t xml:space="preserve">- Программы-ревизоры анализируют изменения состояния файлов и системных областей диска. Проверяют состояние загрузочного сектора и таблицы FAT; длину, атрибуты и время создания файлов; контрольную сумму кодов.</w:t>
      </w:r>
      <w:r>
        <w:t xml:space="preserve"> </w:t>
      </w:r>
      <w:r>
        <w:t xml:space="preserve">- Программы-вакцины модифицируют программы и риски так, что это не отражается на работе программ, но вирус, от которого производится вакцинация, считает программы или диски уже зараженными.</w:t>
      </w:r>
    </w:p>
    <w:bookmarkEnd w:id="49"/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заключение, информационное право и информационная безопасность представляют собой взаимосвязанные сферы, которые играют важную роль в современном цифровом мире. Информационное право регулирует отношения, связанные с созданием и использованием информации, обеспечивая защиту прав пользователей и интеллектуальной собственности. В то же время, информационная безопасность фокусируется на защите данных от несанкционированного доступа и утечек.</w:t>
      </w:r>
    </w:p>
    <w:bookmarkStart w:id="51" w:name="литератур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Литература</w:t>
      </w:r>
    </w:p>
    <w:p>
      <w:pPr>
        <w:pStyle w:val="FirstParagraph"/>
      </w:pPr>
      <w:r>
        <w:t xml:space="preserve">https://studfile.net/preview/5249598/page:4/</w:t>
      </w:r>
      <w:r>
        <w:t xml:space="preserve"> </w:t>
      </w:r>
      <w:r>
        <w:t xml:space="preserve">https://www.consultant.ru/document/cons_doc_LAW_208191/</w:t>
      </w:r>
      <w:r>
        <w:t xml:space="preserve"> </w:t>
      </w:r>
      <w:r>
        <w:t xml:space="preserve">https://www.consultant.ru/document/cons_doc_LAW_10699/4398865e2a04f4d3cd99e389c6c5d62e684676f1/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Основам Иформационной Безопасности</dc:title>
  <dc:creator>Прокопьева Марина Евгеньевна</dc:creator>
  <dc:language>ru-RU</dc:language>
  <cp:keywords/>
  <dcterms:created xsi:type="dcterms:W3CDTF">2025-03-24T10:09:37Z</dcterms:created>
  <dcterms:modified xsi:type="dcterms:W3CDTF">2025-03-24T10:09:37Z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Информационное право и информационная безопасность.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