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D1A7A"/>
          <w:sz w:val="44"/>
          <w:szCs w:val="44"/>
        </w:rPr>
        <w:t xml:space="preserve">UT1 · Sistemas de almacenamiento de la información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FF5A2E"/>
          <w:sz w:val="30"/>
          <w:szCs w:val="30"/>
        </w:rPr>
        <w:t xml:space="preserve">Actividades para Moodle</w:t>
      </w:r>
    </w:p>
    <w:p>
      <w:pPr>
        <w:spacing w:after="60"/>
      </w:pPr>
      <w:r>
        <w:rPr>
          <w:rFonts w:ascii="Calibri" w:cs="Calibri" w:eastAsia="Calibri" w:hAnsi="Calibri"/>
          <w:color w:val="4B4F58"/>
          <w:sz w:val="22"/>
          <w:szCs w:val="22"/>
        </w:rPr>
        <w:t xml:space="preserve">Base de datos — 1º DAM (bilingüe) — IES Albarregas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4B4F58"/>
          <w:sz w:val="22"/>
          <w:szCs w:val="22"/>
        </w:rPr>
        <w:t xml:space="preserve">Documento de apoyo del banco de preguntas UT1_banco_preguntas.txt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Este documento reúne, en un único paquete, las actividades de UT1 pensadas para llevarse directamente a Moodle: un banco de preguntas autocorregibles (formato GIFT), tareas de redacción evaluadas manualmente, un foro de debate, un glosario colaborativo y una actividad específica de inglés.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Las dos actividades que antes estaban en el resumen interactivo de la web (la ruleta de preguntas de repaso y la escucha "El problema de Ana") se han retirado de allí y se han convertido en actividades de Moodle: la ruleta pasa a formar parte del banco GIFT (categoría "Repaso general") y la escucha se desarrolla en la sección 5 de este documento.</w:t>
      </w:r>
    </w:p>
    <w:p>
      <w:pPr>
        <w:spacing w:after="200"/>
      </w:pPr>
    </w:p>
    <w:p>
      <w:pPr>
        <w:pStyle w:val="Heading1"/>
        <w:pBdr>
          <w:bottom w:val="single" w:color="E7E3D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0D1A7A"/>
          <w:sz w:val="32"/>
          <w:szCs w:val="32"/>
        </w:rPr>
        <w:t xml:space="preserve">1 · Importar el banco de preguntas (GIFT)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El fichero UT1_banco_preguntas.txt contiene 55 preguntas autocorregibles (opción múltiple, verdadero/falso y emparejar), organizadas en 10 categorías: una por cada uno de los 8 bloques de la unidad, más "Repaso general" y "Inglés · Vocabulario técnico".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Pasos para importarlo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Entra en el curso de Moodle y ve a Más &gt; Banco de preguntas.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Pulsa Importar.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En "Formato de fichero", elige GIFT format.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En "Categoría", puedes dejar la que venga por defecto: el propio fichero crea sus categorías (empiezan por $course$/UT1/...).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Arrastra o selecciona el fichero UT1_banco_preguntas.txt y pulsa Importar.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Moodle mostrará un resumen de las 55 preguntas importadas correctamente; pulsa Continuar.</w:t>
      </w:r>
    </w:p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Cómo aprovechar las categorías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Al quedar separadas por bloque, puedes montar cuestionarios distintos combinando preguntas aleatorias de cada categoría, por ejemplo: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Cuestionario "UT1 · Repaso por bloques": añade una pregunta aleatoria de cada una de las 8 categorías de bloque → cuestionario corto y variado en cada intento.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Cuestionario "UT1 · Repaso general": todas las preguntas de la categoría Repaso general (10 preguntas), pensado como autoevaluación final de la unidad.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Cuestionario "UT1 · Vocabulario en inglés": la pregunta de emparejar de la categoría Inglés, combinada con la actividad de la sección 5.</w:t>
      </w:r>
    </w:p>
    <w:p>
      <w:pPr>
        <w:spacing w:after="200"/>
      </w:pPr>
    </w:p>
    <w:p>
      <w:pPr>
        <w:pStyle w:val="Heading1"/>
        <w:pBdr>
          <w:bottom w:val="single" w:color="E7E3D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0D1A7A"/>
          <w:sz w:val="32"/>
          <w:szCs w:val="32"/>
        </w:rPr>
        <w:t xml:space="preserve">2 · Tareas de redacción y caso práctico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Estas cuatro tareas requieren respuesta abierta y corrección manual (GIFT no admite preguntas de desarrollo). Se pueden crear como actividad Tarea (entrega en línea o de fichero) o como pregunta tipo Ensayo dentro de un Cuestionario de Moodle, que también admite corrección manual.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Para cada una se incluye el enunciado, listo para copiar en Moodle, y una pauta de corrección para el profesorado (no debe mostrarse al alumnado antes de la entrega).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Tarea 1 · Redundancia entre RRHH y Contabilidad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Enunciado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Una empresa tiene un fichero empleados_rrhh.csv gestionado por Recursos Humanos y otro fichero trabajadores_nomina.csv gestionado por Contabilidad, ambos con el nombre y el DNI de cada trabajador.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¿Qué problema típico de los ficheros de texto está sufriendo esta empresa? ¿Y qué pasaría si un trabajador cambia de nombre legal y RRHH actualiza su fichero pero Contabilidad no?</w:t>
            </w:r>
          </w:p>
        </w:tc>
      </w:tr>
    </w:tbl>
    <w:p>
      <w:pPr>
        <w:spacing w:after="12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(solo para el profesorado):</w:t>
      </w:r>
    </w:p>
    <w:tbl>
      <w:tblPr>
        <w:tblW w:type="pct" w:w="100%"/>
        <w:tblBorders>
          <w:top w:val="single" w:color="3F9468" w:sz="4"/>
          <w:left w:val="single" w:color="3F9468" w:sz="4"/>
          <w:bottom w:val="single" w:color="3F9468" w:sz="4"/>
          <w:right w:val="single" w:color="3F946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4F0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Respuesta modelo: redundancia de datos (el mismo dato se guarda por duplicado, sin un formato común entre aplicaciones).</w:t>
            </w:r>
          </w:p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Si RRHH actualiza el nombre y Contabilidad no, aparece inconsistencia de información: la misma persona tendrá dos nombres distintos según el fichero consultado, lo que puede causar errores en nóminas o comunicaciones oficiales.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Es justo el problema que resuelven las bases de datos, con redundancia mínima.</w:t>
            </w:r>
          </w:p>
        </w:tc>
      </w:tr>
    </w:tbl>
    <w:p>
      <w:pPr>
        <w:spacing w:after="22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Tarea 2 · Diseño de tabla: biblioteca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Enunciado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Se quiere guardar información de los libros de una biblioteca: título, autor, ISBN, año de publicación y número de ejemplares.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Indica qué campo debería ser la clave primaria y por qué, y propón un tipo de dato para cada campo.</w:t>
            </w:r>
          </w:p>
        </w:tc>
      </w:tr>
    </w:tbl>
    <w:p>
      <w:pPr>
        <w:spacing w:after="12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(solo para el profesorado):</w:t>
      </w:r>
    </w:p>
    <w:tbl>
      <w:tblPr>
        <w:tblW w:type="pct" w:w="100%"/>
        <w:tblBorders>
          <w:top w:val="single" w:color="3F9468" w:sz="4"/>
          <w:left w:val="single" w:color="3F9468" w:sz="4"/>
          <w:bottom w:val="single" w:color="3F9468" w:sz="4"/>
          <w:right w:val="single" w:color="3F946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4F0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Respuesta modelo: el ISBN debe ser la clave primaria porque es único para cada edición de un libro (el título puede repetirse).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Tipos sugeridos: ISBN (texto corto, clave), Título (texto corto), Autor (texto corto), Año de publicación (numérico o fecha), Nº de ejemplares (numérico entero).</w:t>
            </w:r>
          </w:p>
        </w:tc>
      </w:tr>
    </w:tbl>
    <w:p>
      <w:pPr>
        <w:spacing w:after="22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Tarea 3 · Arquitectura centralizada vs. distribuida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Enunciado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Una startup empieza con 200 usuarios y una base de datos MySQL en un único servidor. Dos años después tiene 40 millones de usuarios repartidos por varios continentes.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¿Qué arquitectura tenía al principio? ¿Hacia qué tipo de arquitectura debería evolucionar, qué ventaja principal obtiene y a qué coste?</w:t>
            </w:r>
          </w:p>
        </w:tc>
      </w:tr>
    </w:tbl>
    <w:p>
      <w:pPr>
        <w:spacing w:after="12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(solo para el profesorado):</w:t>
      </w:r>
    </w:p>
    <w:tbl>
      <w:tblPr>
        <w:tblW w:type="pct" w:w="100%"/>
        <w:tblBorders>
          <w:top w:val="single" w:color="3F9468" w:sz="4"/>
          <w:left w:val="single" w:color="3F9468" w:sz="4"/>
          <w:bottom w:val="single" w:color="3F9468" w:sz="4"/>
          <w:right w:val="single" w:color="3F946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4F0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Respuesta modelo: al principio, arquitectura centralizada cliente-servidor.</w:t>
            </w:r>
          </w:p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Debería migrar a una arquitectura distribuida, particionando o replicando datos entre servidores cercanos a los usuarios.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Ventaja principal: robustez y rendimiento (menor latencia, tolerancia a fallos). Coste: mayor complejidad de sincronización y consistencia.</w:t>
            </w:r>
          </w:p>
        </w:tc>
      </w:tr>
    </w:tbl>
    <w:p>
      <w:pPr>
        <w:spacing w:after="22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Tarea 4 · ACID a fondo: el corte de luz en la transferencia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Enunciado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Un banco realiza una transferencia de 100 € entre dos cuentas. A mitad de la operación (ya se ha restado el dinero de la cuenta origen, pero aún no se ha sumado a la de destino), el servidor sufre un corte de luz.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Explica con tus propias palabras qué propiedad ACID debe garantizar que, al reiniciar el sistema, la operación se deshaga por completo y los 100 € vuelvan a la cuenta origen. ¿Qué ocurriría si el sistema no cumpliera esa propiedad?</w:t>
            </w:r>
          </w:p>
        </w:tc>
      </w:tr>
    </w:tbl>
    <w:p>
      <w:pPr>
        <w:spacing w:after="12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(solo para el profesorado):</w:t>
      </w:r>
    </w:p>
    <w:tbl>
      <w:tblPr>
        <w:tblW w:type="pct" w:w="100%"/>
        <w:tblBorders>
          <w:top w:val="single" w:color="3F9468" w:sz="4"/>
          <w:left w:val="single" w:color="3F9468" w:sz="4"/>
          <w:bottom w:val="single" w:color="3F9468" w:sz="4"/>
          <w:right w:val="single" w:color="3F946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4F0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Respuesta modelo: la propiedad es la atomicidad — la transacción se ejecuta entera o no se ejecuta ninguna parte de ella. Al reiniciar, el SGBD debe deshacer (rollback) la operación incompleta y devolver los 100 € a la cuenta origen.</w:t>
            </w:r>
          </w:p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Si no se cumpliera, el dinero desaparecería del sistema (restado en origen, nunca sumado en destino): una inconsistencia grave que rompería la confianza en el banco.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Se puede valorar también que el alumnado mencione el registro de transacciones (log) como mecanismo típico para poder deshacer la operación tras el corte de luz.</w:t>
            </w:r>
          </w:p>
        </w:tc>
      </w:tr>
    </w:tbl>
    <w:p>
      <w:pPr>
        <w:spacing w:after="220"/>
      </w:pP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FF5A2E"/>
          <w:sz w:val="25"/>
          <w:szCs w:val="25"/>
        </w:rPr>
        <w:t xml:space="preserve">Tareas complementarias · Protección de datos (RGPD / LOPDGDD)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15171C"/>
          <w:sz w:val="22"/>
          <w:szCs w:val="22"/>
        </w:rPr>
        <w:t xml:space="preserve">Estas dos tareas son un contenido transversal (no pertenecen a un bloque concreto de la unidad): conectan la base de datos con la protección de datos personales. Se proponen como actividades opcionales o de ampliación, o como base para el foro de debate de la sección 3.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Tarea 5 · Un dato sensible mal solicitado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Enunciado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Una app de citas médicas online pide al usuario, además de nombre y teléfono, que indique su religión "para adaptar el trato del personal", sin explicar más ni pedir un consentimiento distinto para ese dato.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¿Qué está haciendo mal esta aplicación según la LOPDGDD/RGPD? ¿Qué tipo de dato es la religión y qué debería haber hecho la empresa?</w:t>
            </w:r>
          </w:p>
        </w:tc>
      </w:tr>
    </w:tbl>
    <w:p>
      <w:pPr>
        <w:spacing w:after="12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(solo para el profesorado):</w:t>
      </w:r>
    </w:p>
    <w:tbl>
      <w:tblPr>
        <w:tblW w:type="pct" w:w="100%"/>
        <w:tblBorders>
          <w:top w:val="single" w:color="3F9468" w:sz="4"/>
          <w:left w:val="single" w:color="3F9468" w:sz="4"/>
          <w:bottom w:val="single" w:color="3F9468" w:sz="4"/>
          <w:right w:val="single" w:color="3F946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4F0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Respuesta modelo: la religión es un dato sensible (categoría especial de datos). Solo puede recogerse con consentimiento explícito y específico, distinto del general, y únicamente si es estrictamente necesario.</w:t>
            </w:r>
          </w:p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La empresa falla en: (1) pedir un dato sensible sin justificación real, (2) no informar con transparencia de la finalidad ni de que puede negarse, (3) no pedir un consentimiento explícito e independiente.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Debería no pedirlo o, en su defecto, explicar la finalidad, hacerlo opcional y solicitar un consentimiento explícito separado del resto.</w:t>
            </w:r>
          </w:p>
        </w:tc>
      </w:tr>
    </w:tbl>
    <w:p>
      <w:pPr>
        <w:spacing w:after="22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Tarea 6 · El plazo de notificación de una brecha de seguridad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Enunciado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Una empresa sufre una brecha de seguridad el lunes a las 10:00 y no se da cuenta hasta el jueves a las 9:00, cuando la detecta su equipo técnico.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¿A partir de qué momento empiezan a contar las 72 horas para notificar a la AEPD? ¿Qué debería hacer la empresa además de notificar a la Agencia?</w:t>
            </w:r>
          </w:p>
        </w:tc>
      </w:tr>
    </w:tbl>
    <w:p>
      <w:pPr>
        <w:spacing w:after="12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(solo para el profesorado):</w:t>
      </w:r>
    </w:p>
    <w:tbl>
      <w:tblPr>
        <w:tblW w:type="pct" w:w="100%"/>
        <w:tblBorders>
          <w:top w:val="single" w:color="3F9468" w:sz="4"/>
          <w:left w:val="single" w:color="3F9468" w:sz="4"/>
          <w:bottom w:val="single" w:color="3F9468" w:sz="4"/>
          <w:right w:val="single" w:color="3F946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4F0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Respuesta modelo: las 72 horas cuentan desde el jueves a las 9:00 (momento de la detección), no desde que ocurrió realmente (lunes).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171C"/>
                <w:sz w:val="22"/>
                <w:szCs w:val="22"/>
              </w:rPr>
              <w:t xml:space="preserve">Además de notificar a la AEPD, la empresa debe comunicar la brecha a las personas afectadas si supone un riesgo elevado para sus derechos y libertades.</w:t>
            </w:r>
          </w:p>
        </w:tc>
      </w:tr>
    </w:tbl>
    <w:p>
      <w:pPr>
        <w:spacing w:after="220"/>
      </w:pPr>
    </w:p>
    <w:p>
      <w:pPr>
        <w:pStyle w:val="Heading1"/>
        <w:pBdr>
          <w:bottom w:val="single" w:color="E7E3D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0D1A7A"/>
          <w:sz w:val="32"/>
          <w:szCs w:val="32"/>
        </w:rPr>
        <w:t xml:space="preserve">3 · Foro de debate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Crea una actividad Foro (tipo "Cada persona plantea un tema" para que cada propuesta abra su propio hilo, o un foro general con varios debates ya abiertos por el profesorado). Se sugiere pedir una intervención inicial mínima (por ejemplo 5-6 líneas) y una respuesta a un compañero o compañera.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Propuestas de debate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¿Es siempre mejor una base de datos que un simple Excel? Debate con ejemplos reales de cuándo bastaría una hoja de cálculo y cuándo hace falta una base de datos de verdad.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¿Qué SGBD elegirías para un proyecto personal pequeño y cuál para una empresa grande? Justifica tu elección (coste, facilidad de uso, escalabilidad...).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Big Data y las bases de datos NoSQL están creciendo mucho. ¿Crees que sustituirán a las bases de datos relacionales o que ambas convivirán? Argumenta tu opinión.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 partir de la Tarea 5 (dato sensible mal solicitado): ¿qué datos crees que nunca deberían guardarse en una base de datos sin un consentimiento explícito y separado? Pon un ejemplo real de una app o web que conozcas.</w:t>
      </w:r>
    </w:p>
    <w:p>
      <w:pPr>
        <w:spacing w:after="200"/>
      </w:pPr>
    </w:p>
    <w:p>
      <w:pPr>
        <w:pStyle w:val="Heading1"/>
        <w:pBdr>
          <w:bottom w:val="single" w:color="E7E3D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0D1A7A"/>
          <w:sz w:val="32"/>
          <w:szCs w:val="32"/>
        </w:rPr>
        <w:t xml:space="preserve">4 · Glosario colaborativo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Crea una actividad Glosario con "Entradas duplicadas" desactivado y aprobación de entradas activada (para revisar antes de publicar). Reparte entre el alumnado los términos de la lista siguiente —o dales libertad para elegir— y pide que cada uno redacte su propia definición (sin copiarla de la tabla) y, si puede, un ejemplo.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La tabla siguiente es solo el punto de partida para el profesorado: da la lista de términos que debe cubrir el glosario y una definición mínima de referencia para corregir.</w:t>
      </w:r>
    </w:p>
    <w:p>
      <w:pPr>
        <w:spacing w:after="100"/>
      </w:pPr>
    </w:p>
    <w:tbl>
      <w:tblPr>
        <w:tblW w:type="pct" w:w="100%"/>
        <w:tblBorders>
          <w:top w:val="single" w:color="E7E3DA" w:sz="4"/>
          <w:left w:val="single" w:color="E7E3DA" w:sz="4"/>
          <w:bottom w:val="single" w:color="E7E3DA" w:sz="4"/>
          <w:right w:val="single" w:color="E7E3DA" w:sz="4"/>
          <w:insideH w:val="single" w:color="E7E3DA" w:sz="4"/>
          <w:insideV w:val="single" w:color="E7E3DA" w:sz="4"/>
        </w:tblBorders>
      </w:tblPr>
      <w:tblGrid>
        <w:gridCol w:w="3000"/>
        <w:gridCol w:w="6500"/>
      </w:tblGrid>
      <w:tr>
        <w:trPr>
          <w:tblHeader/>
        </w:trPr>
        <w:tc>
          <w:tcPr>
            <w:tcW w:type="dxa" w:w="3000"/>
            <w:shd w:fill="E7EA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A7A"/>
                <w:sz w:val="20"/>
                <w:szCs w:val="20"/>
              </w:rPr>
              <w:t xml:space="preserve">Término</w:t>
            </w:r>
          </w:p>
        </w:tc>
        <w:tc>
          <w:tcPr>
            <w:tcW w:type="dxa" w:w="6500"/>
            <w:shd w:fill="E7EA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1A7A"/>
                <w:sz w:val="20"/>
                <w:szCs w:val="20"/>
              </w:rPr>
              <w:t xml:space="preserve">Definición breve (punto de partida)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Representación de un hecho aislado, sin interpretar ni poner en contexto.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Dato ya procesado y puesto en contexto, con significado para quien lo recibe.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Sistema de información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organizado de elementos, informatizados o no, para tratar datos y cubrir una necesidad concreta.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Fichero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datos almacenado como una unidad, de texto plano o binario.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Recopilación de todos los datos referidos a un mismo elemento.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Identificador de una familia de datos dentro de un registro, con un único tipo de dato.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Clave primaria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Campo (o combinación de campos) que identifica de forma única cada registro.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datos organizados e interrelacionados, accesibles por varios usuarios y aplicaciones, con redundancia mínima.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SGBD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que crea, manipula y administra bases de datos, actuando de interfaz entre el usuario y los datos.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Tabla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Estructura bidimensional (filas y columnas) típica del modelo relacional.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 (query)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Petición de información a la base de datos, normalmente escrita en SQL.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Índice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Estructura que ordena uno o varios campos clave para acelerar las búsquedas.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Vista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 virtual generada a partir de una consulta, sin ocupar espacio propio en disco.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Esquema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tablas, campos y relaciones que define la estructura de la base de datos.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 relacional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datos basado en tablas relacionadas mediante claves.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 NoSQL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Familia de modelos no relacionales (documental, clave-valor, en grafos...) pensados para grandes volúmenes de datos poco estructurados.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Atomicidad (ACID)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transacción se ejecuta completa o no se ejecuta ninguna de sus operaciones.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Consistencia (ACID)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base de datos pasa de un estado válido a otro estado válido.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Aislamiento (ACID)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transacción ve el resultado de otra que todavía no ha terminado.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Durabilidad (ACID)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vez confirmada una operación, sus efectos no se pierden.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DDL / DML / DCL / TCL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cuatro sublenguajes de SQL: definición, manipulación, control de acceso y control de transacciones.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Arquitectura ANSI/SPARC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en tres niveles (externo, conceptual e interno) para describir una base de datos.</w:t>
            </w:r>
          </w:p>
        </w:tc>
      </w:tr>
      <w:tr>
        <w:tc>
          <w:tcPr>
            <w:tcW w:type="dxa" w:w="30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DBA</w:t>
            </w:r>
          </w:p>
        </w:tc>
        <w:tc>
          <w:tcPr>
            <w:tcW w:type="dxa" w:w="6500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 de la base de datos: responsable de instalarla, mantenerla, asegurar copias de seguridad y gestionar permisos.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E7E3D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0D1A7A"/>
          <w:sz w:val="32"/>
          <w:szCs w:val="32"/>
        </w:rPr>
        <w:t xml:space="preserve">5 · Actividad de inglés: "Anna's problem"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Actividad específica de inglés con tres partes, pensada para una única actividad de Moodle (por ejemplo, un Cuestionario con preguntas de tipo Ensayo para las partes de comprensión y redacción, más el audio como recurso adjunto) o repartida en varias actividades pequeñas.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Parte 1 · Listening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Audio: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assets/audio/listening-anna.mp3 (el mismo fichero que ya existe en la carpeta del sitio web; puede subirse a Moodle como recurso de tipo Archivo o incrustarse en el enunciado de la actividad).</w:t>
      </w:r>
    </w:p>
    <w:p>
      <w:pPr>
        <w:spacing w:after="8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Transcripción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(para el profesorado, o para mostrar tras el intento):</w:t>
      </w:r>
    </w:p>
    <w:tbl>
      <w:tblPr>
        <w:tblW w:type="pct" w:w="100%"/>
        <w:tblBorders>
          <w:top w:val="single" w:color="FF5A2E" w:sz="4"/>
          <w:left w:val="single" w:color="FF5A2E" w:sz="4"/>
          <w:bottom w:val="single" w:color="FF5A2E" w:sz="4"/>
          <w:right w:val="single" w:color="FF5A2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E5DE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5171C"/>
                <w:sz w:val="22"/>
                <w:szCs w:val="22"/>
              </w:rPr>
              <w:t xml:space="preserve">Anna manages a small clothing shop. She keeps every sale in one spreadsheet, and every delivery in a different one.</w:t>
            </w:r>
          </w:p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5171C"/>
                <w:sz w:val="22"/>
                <w:szCs w:val="22"/>
              </w:rPr>
              <w:t xml:space="preserve">Last month, a customer returned a jacket. The return was recorded in the deliveries file… but nobody updated the sales file.</w:t>
            </w:r>
          </w:p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5171C"/>
                <w:sz w:val="22"/>
                <w:szCs w:val="22"/>
              </w:rPr>
              <w:t xml:space="preserve">When Anna checked her monthly report, the numbers didn't match, and she spent two hours looking for the mistake.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5171C"/>
                <w:sz w:val="22"/>
                <w:szCs w:val="22"/>
              </w:rPr>
              <w:t xml:space="preserve">Her brother, who studies Database Systems, told her: "You don't have a data problem. You have a redundancy and an inconsistency problem. A real database would solve this in seconds."</w:t>
            </w:r>
          </w:p>
        </w:tc>
      </w:tr>
    </w:tbl>
    <w:p>
      <w:pPr>
        <w:spacing w:after="14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Preguntas de comprensión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What two problems does Anna have?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Which concepts from this unit do they relate to?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Calibri" w:cs="Calibri" w:eastAsia="Calibri" w:hAnsi="Calibri"/>
          <w:sz w:val="22"/>
          <w:szCs w:val="22"/>
        </w:rPr>
        <w:t xml:space="preserve">What would you recommend to her?</w:t>
      </w:r>
    </w:p>
    <w:p>
      <w:pPr>
        <w:spacing w:after="16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Parte 2 · Vocabulario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Usa la pregunta ING-1 (Vocabulario técnico EN-ES) del banco GIFT, categoría Inglés · Vocabulario técnico: relaciona 10 términos en inglés con su equivalente en español (data, information, file, record, field, primary key, database, DBMS, query, backup).</w:t>
      </w:r>
    </w:p>
    <w:p>
      <w:pPr>
        <w:spacing w:after="12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B39E6"/>
          <w:sz w:val="22"/>
          <w:szCs w:val="22"/>
        </w:rPr>
        <w:t xml:space="preserve">Parte 3 · Short writing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5171C"/>
          <w:sz w:val="22"/>
          <w:szCs w:val="22"/>
        </w:rPr>
        <w:t xml:space="preserve">Enunciado (para copiar en Moodle):</w:t>
      </w:r>
    </w:p>
    <w:tbl>
      <w:tblPr>
        <w:tblW w:type="pct" w:w="100%"/>
        <w:tblBorders>
          <w:top w:val="single" w:color="1B39E6" w:sz="4"/>
          <w:left w:val="single" w:color="1B39E6" w:sz="4"/>
          <w:bottom w:val="single" w:color="1B39E6" w:sz="4"/>
          <w:right w:val="single" w:color="1B39E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7EAF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3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5171C"/>
                <w:sz w:val="22"/>
                <w:szCs w:val="22"/>
              </w:rPr>
              <w:t xml:space="preserve">Write 5-6 sentences in English explaining, in your own words, the difference between a file and a database.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5171C"/>
                <w:sz w:val="22"/>
                <w:szCs w:val="22"/>
              </w:rPr>
              <w:t xml:space="preserve">Use at least three of these terms: redundancy, consistency, primary key, DBMS.</w:t>
            </w:r>
          </w:p>
        </w:tc>
      </w:tr>
    </w:tbl>
    <w:p>
      <w:pPr>
        <w:spacing w:after="80"/>
      </w:pP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4B4F58"/>
          <w:sz w:val="22"/>
          <w:szCs w:val="22"/>
        </w:rPr>
        <w:t xml:space="preserve">Pauta de corrección </w:t>
      </w:r>
      <w:r>
        <w:rPr>
          <w:rFonts w:ascii="Calibri" w:cs="Calibri" w:eastAsia="Calibri" w:hAnsi="Calibri"/>
          <w:color w:val="15171C"/>
          <w:sz w:val="22"/>
          <w:szCs w:val="22"/>
        </w:rPr>
        <w:t xml:space="preserve">(orientativa): se valora que aparezca la idea de redundancia/inconsistencia en los ficheros frente a la base de datos, el uso correcto de al menos 3 de los términos pedidos, y una redacción comprensible en inglés (no se exige perfección gramatical).</w:t>
      </w:r>
    </w:p>
    <w:p>
      <w:pPr>
        <w:spacing w:after="200"/>
      </w:pPr>
    </w:p>
    <w:p>
      <w:pPr>
        <w:pStyle w:val="Heading1"/>
        <w:pBdr>
          <w:bottom w:val="single" w:color="E7E3D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0D1A7A"/>
          <w:sz w:val="32"/>
          <w:szCs w:val="32"/>
        </w:rPr>
        <w:t xml:space="preserve">Resumen del paquete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UT1_banco_preguntas.txt — 55 preguntas GIFT en 10 categorías (importar en Banco de preguntas).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Este documento — 6 tareas de redacción con pauta de corrección, 4 propuestas de foro, glosario con 23 términos semilla, y actividad de inglés completa (listening + vocabulario + writing).</w:t>
      </w:r>
    </w:p>
    <w:p>
      <w:pPr>
        <w:spacing w:after="80"/>
      </w:pP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15171C"/>
          <w:sz w:val="22"/>
          <w:szCs w:val="22"/>
        </w:rPr>
        <w:t xml:space="preserve">Ningún contenido se repite entre el banco GIFT y este documento: las preguntas autocorregibles (opción múltiple, V/F, emparejar) están en el GIFT; las de desarrollo libre —que GIFT no admite— están aquí como tareas.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7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2026-09-15T07:40:16.817Z</dcterms:created>
  <dcterms:modified xsi:type="dcterms:W3CDTF">2026-09-15T07:40:16.818Z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