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62F7" w14:textId="77777777" w:rsidR="006469E5" w:rsidRPr="00AF765A" w:rsidRDefault="006469E5" w:rsidP="00634718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</w:t>
      </w:r>
      <w:r w:rsidR="009D7575">
        <w:rPr>
          <w:rFonts w:ascii="Times New Roman" w:hAnsi="Times New Roman" w:cs="Times New Roman"/>
          <w:sz w:val="32"/>
          <w:szCs w:val="28"/>
        </w:rPr>
        <w:t>нтная самостоятельная работа 1.</w:t>
      </w:r>
      <w:r w:rsidR="00AF765A" w:rsidRPr="00AF765A">
        <w:rPr>
          <w:rFonts w:ascii="Times New Roman" w:hAnsi="Times New Roman" w:cs="Times New Roman"/>
          <w:sz w:val="32"/>
          <w:szCs w:val="28"/>
        </w:rPr>
        <w:t>3</w:t>
      </w:r>
    </w:p>
    <w:bookmarkStart w:id="0" w:name="_GoBack"/>
    <w:bookmarkEnd w:id="0"/>
    <w:p w14:paraId="2E0713FE" w14:textId="4428C6A0" w:rsidR="003C43EE" w:rsidRDefault="00BC6958" w:rsidP="00705C5D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"https://studme.org/35770/informatika/bazovye_spetsifikatsii" </w:instrText>
      </w:r>
      <w:r>
        <w:fldChar w:fldCharType="separate"/>
      </w:r>
      <w:r w:rsidR="003C43EE" w:rsidRPr="003C43EE">
        <w:rPr>
          <w:rStyle w:val="a8"/>
          <w:rFonts w:ascii="Times New Roman" w:hAnsi="Times New Roman" w:cs="Times New Roman"/>
          <w:sz w:val="28"/>
          <w:szCs w:val="28"/>
        </w:rPr>
        <w:t>Базовые спецификации</w:t>
      </w:r>
      <w:r>
        <w:rPr>
          <w:rStyle w:val="a8"/>
          <w:rFonts w:ascii="Times New Roman" w:hAnsi="Times New Roman" w:cs="Times New Roman"/>
          <w:sz w:val="28"/>
          <w:szCs w:val="28"/>
        </w:rPr>
        <w:fldChar w:fldCharType="end"/>
      </w:r>
      <w:r w:rsidR="003C43EE">
        <w:rPr>
          <w:rFonts w:ascii="Times New Roman" w:hAnsi="Times New Roman" w:cs="Times New Roman"/>
          <w:sz w:val="28"/>
          <w:szCs w:val="28"/>
        </w:rPr>
        <w:t>: статья.</w:t>
      </w:r>
    </w:p>
    <w:p w14:paraId="6B58CDBA" w14:textId="3A85BA37" w:rsidR="00B5445F" w:rsidRDefault="00B5445F" w:rsidP="00B5445F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содержит сведения о с</w:t>
      </w:r>
      <w:r w:rsidRPr="00B5445F">
        <w:rPr>
          <w:rFonts w:ascii="Times New Roman" w:hAnsi="Times New Roman" w:cs="Times New Roman"/>
          <w:sz w:val="28"/>
          <w:szCs w:val="28"/>
        </w:rPr>
        <w:t>пецифицировани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445F">
        <w:rPr>
          <w:rFonts w:ascii="Times New Roman" w:hAnsi="Times New Roman" w:cs="Times New Roman"/>
          <w:sz w:val="28"/>
          <w:szCs w:val="28"/>
        </w:rPr>
        <w:t xml:space="preserve"> областей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Pr="00B5445F">
        <w:rPr>
          <w:rFonts w:ascii="Times New Roman" w:hAnsi="Times New Roman" w:cs="Times New Roman"/>
          <w:sz w:val="28"/>
          <w:szCs w:val="28"/>
        </w:rPr>
        <w:t xml:space="preserve"> производится с помощью базовых спецификаций, </w:t>
      </w:r>
      <w:r>
        <w:rPr>
          <w:rFonts w:ascii="Times New Roman" w:hAnsi="Times New Roman" w:cs="Times New Roman"/>
          <w:sz w:val="28"/>
          <w:szCs w:val="28"/>
        </w:rPr>
        <w:t>являющихся</w:t>
      </w:r>
      <w:r w:rsidRPr="00B5445F">
        <w:rPr>
          <w:rFonts w:ascii="Times New Roman" w:hAnsi="Times New Roman" w:cs="Times New Roman"/>
          <w:sz w:val="28"/>
          <w:szCs w:val="28"/>
        </w:rPr>
        <w:t xml:space="preserve"> основными "строительными" модулями, из которых конструируются конкретные открытые технологии и системы. Системный подход к проектированию профилей опирается на классификацию базовых и общедоступных (PAS) спецификаций, в основе которой </w:t>
      </w:r>
      <w:r w:rsidRPr="00B5445F">
        <w:rPr>
          <w:rFonts w:ascii="Times New Roman" w:hAnsi="Times New Roman" w:cs="Times New Roman"/>
          <w:sz w:val="28"/>
          <w:szCs w:val="28"/>
        </w:rPr>
        <w:t>используется</w:t>
      </w:r>
      <w:r w:rsidRPr="00B5445F">
        <w:rPr>
          <w:rFonts w:ascii="Times New Roman" w:hAnsi="Times New Roman" w:cs="Times New Roman"/>
          <w:sz w:val="28"/>
          <w:szCs w:val="28"/>
        </w:rPr>
        <w:t xml:space="preserve"> ортогональный набор эталонных моделей.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5445F">
        <w:rPr>
          <w:rFonts w:ascii="Times New Roman" w:hAnsi="Times New Roman" w:cs="Times New Roman"/>
          <w:sz w:val="28"/>
          <w:szCs w:val="28"/>
        </w:rPr>
        <w:t>риводится возможная классификация базовых спецификаций и некоторые реализующие их международные стандарты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EBD73" w14:textId="77777777" w:rsidR="00B5445F" w:rsidRDefault="00B5445F" w:rsidP="00B5445F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E7CDD">
          <w:rPr>
            <w:rStyle w:val="a8"/>
            <w:rFonts w:ascii="Times New Roman" w:hAnsi="Times New Roman" w:cs="Times New Roman"/>
            <w:sz w:val="28"/>
            <w:szCs w:val="28"/>
          </w:rPr>
          <w:t>Понятие общедоступной спецификации</w:t>
        </w:r>
      </w:hyperlink>
      <w:r w:rsidRPr="00DE7CDD">
        <w:rPr>
          <w:rFonts w:ascii="Times New Roman" w:hAnsi="Times New Roman" w:cs="Times New Roman"/>
          <w:sz w:val="28"/>
          <w:szCs w:val="28"/>
        </w:rPr>
        <w:t>: статья.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5A16E" w14:textId="74A15747" w:rsidR="00B5445F" w:rsidRPr="00B5445F" w:rsidRDefault="00B5445F" w:rsidP="00B5445F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описываются </w:t>
      </w:r>
      <w:r w:rsidRPr="002B6310">
        <w:rPr>
          <w:rFonts w:ascii="Times New Roman" w:hAnsi="Times New Roman" w:cs="Times New Roman"/>
          <w:sz w:val="28"/>
          <w:szCs w:val="28"/>
        </w:rPr>
        <w:t xml:space="preserve">спецификации, которые относятся к понятию </w:t>
      </w:r>
      <w:r w:rsidRPr="00B5445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2B6310">
        <w:rPr>
          <w:rFonts w:ascii="Times New Roman" w:hAnsi="Times New Roman" w:cs="Times New Roman"/>
          <w:sz w:val="28"/>
          <w:szCs w:val="28"/>
        </w:rPr>
        <w:t>общедоступные</w:t>
      </w:r>
      <w:r w:rsidRPr="00B54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310">
        <w:rPr>
          <w:rFonts w:ascii="Times New Roman" w:hAnsi="Times New Roman" w:cs="Times New Roman"/>
          <w:sz w:val="28"/>
          <w:szCs w:val="28"/>
        </w:rPr>
        <w:t>спецификации</w:t>
      </w:r>
      <w:r w:rsidRPr="00B5445F">
        <w:rPr>
          <w:rFonts w:ascii="Times New Roman" w:hAnsi="Times New Roman" w:cs="Times New Roman"/>
          <w:sz w:val="28"/>
          <w:szCs w:val="28"/>
          <w:lang w:val="en-US"/>
        </w:rPr>
        <w:t xml:space="preserve">" (Publicly Available Specifications – PAS). </w:t>
      </w:r>
      <w:r w:rsidRPr="002B6310">
        <w:rPr>
          <w:rFonts w:ascii="Times New Roman" w:hAnsi="Times New Roman" w:cs="Times New Roman"/>
          <w:sz w:val="28"/>
          <w:szCs w:val="28"/>
        </w:rPr>
        <w:t>Система PAS охватывает стандарты "де-факто" (De-facto Standard) и корпоративную нормативную документацию ведущих производителей программного обеспечения, которые не являются международными стандартами.</w:t>
      </w:r>
    </w:p>
    <w:p w14:paraId="6096C8DE" w14:textId="77777777" w:rsidR="00905656" w:rsidRDefault="00905656" w:rsidP="00905656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Чумакова Т.Я., Цыганенко С.М. </w:t>
      </w:r>
      <w:hyperlink r:id="rId9" w:history="1">
        <w:r w:rsidRPr="00905656">
          <w:rPr>
            <w:rStyle w:val="a8"/>
            <w:rFonts w:ascii="Times New Roman" w:hAnsi="Times New Roman" w:cs="Times New Roman"/>
            <w:sz w:val="28"/>
            <w:szCs w:val="28"/>
          </w:rPr>
          <w:t>Стандартизация в сфере информационных технологий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3A4E570" w14:textId="77777777" w:rsidR="00905656" w:rsidRPr="00705C5D" w:rsidRDefault="00905656" w:rsidP="00905656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05656">
        <w:rPr>
          <w:rFonts w:ascii="Times New Roman" w:hAnsi="Times New Roman" w:cs="Times New Roman"/>
          <w:sz w:val="28"/>
          <w:szCs w:val="28"/>
        </w:rPr>
        <w:t>В статье представлен краткий обзор международных организаций по стандартизации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</w:rPr>
        <w:t>сфере информационных технологий. Приведена организационная структура международной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</w:rPr>
        <w:t xml:space="preserve">по стандартизации </w:t>
      </w:r>
      <w:r w:rsidRPr="00905656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905656"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905656"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05656"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  <w:lang w:val="en-US"/>
        </w:rPr>
        <w:t>Standardization</w:t>
      </w:r>
      <w:r w:rsidRPr="00905656">
        <w:rPr>
          <w:rFonts w:ascii="Times New Roman" w:hAnsi="Times New Roman" w:cs="Times New Roman"/>
          <w:sz w:val="28"/>
          <w:szCs w:val="28"/>
        </w:rPr>
        <w:t xml:space="preserve"> (</w:t>
      </w:r>
      <w:r w:rsidRPr="0090565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905656">
        <w:rPr>
          <w:rFonts w:ascii="Times New Roman" w:hAnsi="Times New Roman" w:cs="Times New Roman"/>
          <w:sz w:val="28"/>
          <w:szCs w:val="28"/>
        </w:rPr>
        <w:t>). Указаны виды изделий (международные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</w:rPr>
        <w:t>стандарты, технические спецификации, технические отчеты, публично доступные спецификации,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656">
        <w:rPr>
          <w:rFonts w:ascii="Times New Roman" w:hAnsi="Times New Roman" w:cs="Times New Roman"/>
          <w:sz w:val="28"/>
          <w:szCs w:val="28"/>
        </w:rPr>
        <w:t>международные соглашения), которые развивает ISO.</w:t>
      </w:r>
    </w:p>
    <w:p w14:paraId="3802A5AC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16388-2017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Спецификация символики штрихового кода Code 39</w:t>
      </w:r>
    </w:p>
    <w:p w14:paraId="589A82DC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15438-2018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Спецификация символики штрихового кода PDF417</w:t>
      </w:r>
    </w:p>
    <w:p w14:paraId="3A9B27C9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15416-2019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Спецификация испытаний символов штрихового кода для оценки качества печати. Линейные символы (Вступает в силу 01.09.2020)</w:t>
      </w:r>
    </w:p>
    <w:p w14:paraId="6D521924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24724-2011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Спецификация символики штрихового кода GS1 DataBar</w:t>
      </w:r>
    </w:p>
    <w:p w14:paraId="019B7317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15417-2013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Спецификация символики штрихового кода Code 128</w:t>
      </w:r>
    </w:p>
    <w:p w14:paraId="439AFA52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24713-1-2013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Биометрические профили для взаимодействия и обмена данными. Часть 1. Общая архитектура биометрической системы и биометрические профили</w:t>
      </w:r>
    </w:p>
    <w:p w14:paraId="2B81E1C6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15418-2014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Идентификаторы применения GS1 и идентификатор</w:t>
      </w:r>
      <w:r w:rsidR="00B919B8" w:rsidRPr="00DE7CDD">
        <w:rPr>
          <w:rFonts w:ascii="Times New Roman" w:hAnsi="Times New Roman" w:cs="Times New Roman"/>
          <w:sz w:val="28"/>
          <w:szCs w:val="28"/>
        </w:rPr>
        <w:t>ы данных ASC MH 10 и их ведение</w:t>
      </w:r>
    </w:p>
    <w:p w14:paraId="30BF40E6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15423-2014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Эксплуатационные испытания сканеров и декодеров штрихового кода</w:t>
      </w:r>
    </w:p>
    <w:p w14:paraId="34297479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24824-3-2013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Общие правила применения ASN.1. Безопасность быстрых сетевых услуг. Часть 3</w:t>
      </w:r>
    </w:p>
    <w:p w14:paraId="35661349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29160-2014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Идентификация радиочастотная для управления предметами. Эмблема радиочастотной идентификации</w:t>
      </w:r>
    </w:p>
    <w:p w14:paraId="27FE9C61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24824-1-2013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Общие правила применения ASN.1. Быстрые команды. Часть 1</w:t>
      </w:r>
    </w:p>
    <w:p w14:paraId="6DC20C4D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24824-2-2013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Общие правила применения ASN.1. Быстрые сетевые услуги. Часть 2</w:t>
      </w:r>
    </w:p>
    <w:p w14:paraId="485EE8B9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19788-2-2015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Метаданные для образовательных ресурсов. Часть 2. Элементы Дублинского ядра</w:t>
      </w:r>
    </w:p>
    <w:p w14:paraId="7C12D9B2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23988-2015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Кодекс практического использования информационной технологии (IT) для доставки ассесмента</w:t>
      </w:r>
    </w:p>
    <w:p w14:paraId="7A366F5B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19794-1-2015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Биометрия. Форматы обмена биометрическими данными. Часть 1. Структура</w:t>
      </w:r>
    </w:p>
    <w:p w14:paraId="155AF344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12785-2-2015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Упаковка контента. Часть 2. XML привязка</w:t>
      </w:r>
    </w:p>
    <w:p w14:paraId="5D333F42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19788-3-2015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Метаданные для образовательных ресурсов. Часть 3. Основной профиль применения</w:t>
      </w:r>
    </w:p>
    <w:p w14:paraId="120EB2BA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19788-5-2015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Метаданные для образовательных ресурсов. Часть 5. Образовательные элементы</w:t>
      </w:r>
    </w:p>
    <w:p w14:paraId="58EB44B0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17788-2016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Облачные вычисления. Общие положения и терминология</w:t>
      </w:r>
    </w:p>
    <w:p w14:paraId="54B6F9D7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15459-2-2016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Идентификация уникальная. Часть 2. Порядок регистрации</w:t>
      </w:r>
    </w:p>
    <w:p w14:paraId="0A9B8826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15459-3-2016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Идентификация уникальная. Часть 3. Общие правила</w:t>
      </w:r>
    </w:p>
    <w:p w14:paraId="0BC2C185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15459-4-2016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технологии. Технологии автоматической идентификации и сбора данных. Идентификация уникальная. Часть 4. Штучные изделия и упакованные единицы продукции</w:t>
      </w:r>
    </w:p>
    <w:p w14:paraId="4986C922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15459-5-2016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Идентификация уникальная. Часть 5. Индивидуальные возвратные транспортные упаковочные средства</w:t>
      </w:r>
    </w:p>
    <w:p w14:paraId="52DEF192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15459-6-2016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Идентификация уникальная. Часть 6. Группы</w:t>
      </w:r>
    </w:p>
    <w:p w14:paraId="4DE64E2C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15459-1-2016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Идентификация уникальная. Часть 1. Индивидуальные транспортируемые единицы</w:t>
      </w:r>
    </w:p>
    <w:p w14:paraId="1751C98D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2382-37-2016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Словарь. Часть 37. Биометрия</w:t>
      </w:r>
    </w:p>
    <w:p w14:paraId="37ADD85A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16390-2017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Спецификация символики штрихового кода Interleaved 2 of 5</w:t>
      </w:r>
    </w:p>
    <w:p w14:paraId="2351BC07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15424-2018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Идентификаторы носителей данных (включая идентификаторы символик)</w:t>
      </w:r>
    </w:p>
    <w:p w14:paraId="11A72F63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ISO/IEC 15419-2018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Технологии автоматической идентификации и сбора данных. Испытания параметров при цифровом представлении и печати штрихового кода</w:t>
      </w:r>
    </w:p>
    <w:p w14:paraId="55D1B072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33244-2015 (ISO/IEC TR 24763:2011)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Концептуальная эталонная модель компетенции и связанных объектов</w:t>
      </w:r>
    </w:p>
    <w:p w14:paraId="686AEA31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33245-2015 (ISO/IEC TR 29163-1:2009)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Эталонная модель распределенного объекта контента (SCORM®) 2004 3-я редакция. Часть 1. Обзор. Версия 1.1</w:t>
      </w:r>
    </w:p>
    <w:p w14:paraId="68A73F67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33246-2015 (ISO/IEC 12785-1:2009)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Упаковка контента. Часть 1. Информационная модель</w:t>
      </w:r>
    </w:p>
    <w:p w14:paraId="733837F1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33247-2015 (ISO/IEC 19788-1:2011)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Обучение, образование и подготовка. Метаданные для образовательных ресурсов. Часть 1. Структура</w:t>
      </w:r>
    </w:p>
    <w:p w14:paraId="4EC71D79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33248-2015 (ISO/IEC 24751-2:2008)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Информационная технология (ИТ). Индивидуализированные адаптируемость и доступность в обучении, образовании и подготовке. Часть 2. Индивидуальные потребности и предпочтения при цифровой доставке по системе "доступ для всех"</w:t>
      </w:r>
    </w:p>
    <w:p w14:paraId="47C28DCA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33249-2015 (ISO/IEC 24751-3:2008)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Информационная технология (ИТ). Индивидуализированные адаптируемость и доступность в обучении, образовании и подготовке. Часть 3. Описание электронных ресурсов по системе "доступ для всех"</w:t>
      </w:r>
    </w:p>
    <w:p w14:paraId="0DC64844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5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33707-2016 (ISO/IEC 2382:2015)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Словарь</w:t>
      </w:r>
    </w:p>
    <w:p w14:paraId="0ACF0FEE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6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ГОСТ Р 54412-2019 (ISO/IEC TR 24741:2018)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Биометрия. Общие</w:t>
      </w:r>
      <w:r w:rsidR="00B919B8" w:rsidRPr="00DE7CDD">
        <w:rPr>
          <w:rFonts w:ascii="Times New Roman" w:hAnsi="Times New Roman" w:cs="Times New Roman"/>
          <w:sz w:val="28"/>
          <w:szCs w:val="28"/>
        </w:rPr>
        <w:t xml:space="preserve"> положения и примеры применения (</w:t>
      </w:r>
      <w:r w:rsidR="0057118B" w:rsidRPr="00DE7CDD">
        <w:rPr>
          <w:rFonts w:ascii="Times New Roman" w:hAnsi="Times New Roman" w:cs="Times New Roman"/>
          <w:sz w:val="28"/>
          <w:szCs w:val="28"/>
        </w:rPr>
        <w:t>Вступает в силу 01.06.2020</w:t>
      </w:r>
      <w:r w:rsidR="00B919B8" w:rsidRPr="00DE7CDD">
        <w:rPr>
          <w:rFonts w:ascii="Times New Roman" w:hAnsi="Times New Roman" w:cs="Times New Roman"/>
          <w:sz w:val="28"/>
          <w:szCs w:val="28"/>
        </w:rPr>
        <w:t>)</w:t>
      </w:r>
    </w:p>
    <w:p w14:paraId="44A2CBEB" w14:textId="77777777" w:rsidR="0057118B" w:rsidRPr="00DE7CDD" w:rsidRDefault="00BC6958" w:rsidP="00F75955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57118B" w:rsidRPr="00DE7CDD">
          <w:rPr>
            <w:rStyle w:val="a8"/>
            <w:rFonts w:ascii="Times New Roman" w:hAnsi="Times New Roman" w:cs="Times New Roman"/>
            <w:sz w:val="28"/>
            <w:szCs w:val="28"/>
          </w:rPr>
          <w:t>ПНСТ 374-2019 (ISO/IEC TR 30110:2015)</w:t>
        </w:r>
      </w:hyperlink>
      <w:r w:rsidR="0057118B" w:rsidRPr="00DE7CDD">
        <w:rPr>
          <w:rFonts w:ascii="Times New Roman" w:hAnsi="Times New Roman" w:cs="Times New Roman"/>
          <w:sz w:val="28"/>
          <w:szCs w:val="28"/>
        </w:rPr>
        <w:t xml:space="preserve"> Информационные технологии (ИТ). Биометрия. Применение биометрии для детей</w:t>
      </w:r>
    </w:p>
    <w:p w14:paraId="3475C186" w14:textId="77777777" w:rsidR="00443B08" w:rsidRDefault="00443B08" w:rsidP="00F7595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8E12A4" w14:textId="77777777" w:rsidR="00443B08" w:rsidRPr="00DE7CDD" w:rsidRDefault="00443B08" w:rsidP="009C3EF0">
      <w:pPr>
        <w:pStyle w:val="a7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CDD">
        <w:rPr>
          <w:rFonts w:ascii="Times New Roman" w:hAnsi="Times New Roman" w:cs="Times New Roman"/>
          <w:sz w:val="28"/>
          <w:szCs w:val="28"/>
        </w:rPr>
        <w:t>Международные</w:t>
      </w:r>
      <w:r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CDD">
        <w:rPr>
          <w:rFonts w:ascii="Times New Roman" w:hAnsi="Times New Roman" w:cs="Times New Roman"/>
          <w:sz w:val="28"/>
          <w:szCs w:val="28"/>
        </w:rPr>
        <w:t>стандарты</w:t>
      </w:r>
    </w:p>
    <w:p w14:paraId="796DD2B3" w14:textId="77777777" w:rsidR="00443B08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48" w:history="1">
        <w:r w:rsidR="00443B08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24765-2017</w:t>
        </w:r>
      </w:hyperlink>
      <w:r w:rsidR="00443B08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ISO/IEC/IEEE International Standard - Systems and software engineering</w:t>
      </w:r>
      <w:r w:rsidR="002D4B8F" w:rsidRPr="00DE7CDD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443B08" w:rsidRPr="00DE7CDD">
        <w:rPr>
          <w:rFonts w:ascii="Times New Roman" w:hAnsi="Times New Roman" w:cs="Times New Roman"/>
          <w:sz w:val="28"/>
          <w:szCs w:val="28"/>
          <w:lang w:val="en-US"/>
        </w:rPr>
        <w:t>Vocabulary</w:t>
      </w:r>
    </w:p>
    <w:p w14:paraId="053914EB" w14:textId="77777777" w:rsidR="002D4B8F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49" w:history="1">
        <w:r w:rsidR="002D4B8F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730-2014</w:t>
        </w:r>
      </w:hyperlink>
      <w:r w:rsidR="002D4B8F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Software Quality Assurance Processes</w:t>
      </w:r>
    </w:p>
    <w:p w14:paraId="79E42075" w14:textId="77777777" w:rsidR="002D4B8F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0" w:history="1">
        <w:r w:rsidR="00F81957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828-2012</w:t>
        </w:r>
      </w:hyperlink>
      <w:r w:rsidR="00F81957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Configuration Management in Systems and Software Engineering</w:t>
      </w:r>
    </w:p>
    <w:p w14:paraId="3FBE2556" w14:textId="77777777" w:rsidR="00C7183F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1" w:history="1">
        <w:r w:rsidR="00C7183F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982.1-2005</w:t>
        </w:r>
      </w:hyperlink>
      <w:r w:rsidR="00C7183F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Dictionary of Measures of the Software Aspects of Dependability</w:t>
      </w:r>
    </w:p>
    <w:p w14:paraId="7CAB1F64" w14:textId="77777777" w:rsidR="00496AD4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2" w:history="1">
        <w:r w:rsidR="00496AD4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1012-2016</w:t>
        </w:r>
      </w:hyperlink>
      <w:r w:rsidR="00496AD4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System, Software, and Hardware Verification and Validation</w:t>
      </w:r>
    </w:p>
    <w:p w14:paraId="4BE046A6" w14:textId="77777777" w:rsidR="00DD2B65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3" w:history="1">
        <w:r w:rsidR="00DD2B65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1016-2009</w:t>
        </w:r>
      </w:hyperlink>
      <w:r w:rsidR="00DD2B65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Information Technology--Systems Design--Software Design Descriptions</w:t>
      </w:r>
    </w:p>
    <w:p w14:paraId="760329F0" w14:textId="77777777" w:rsidR="00F90C75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4" w:history="1">
        <w:r w:rsidR="00F90C75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1016-2009</w:t>
        </w:r>
      </w:hyperlink>
      <w:r w:rsidR="00F90C75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Information Technology--Systems Design--Software Design Descriptions</w:t>
      </w:r>
    </w:p>
    <w:p w14:paraId="726CE202" w14:textId="77777777" w:rsidR="000F1260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5" w:history="1">
        <w:r w:rsidR="000F1260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1044-2009</w:t>
        </w:r>
      </w:hyperlink>
      <w:r w:rsidR="000F1260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Classification for Software Anomalies</w:t>
      </w:r>
    </w:p>
    <w:p w14:paraId="56275073" w14:textId="77777777" w:rsidR="0076407C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6" w:history="1">
        <w:r w:rsidR="0076407C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1061-1998</w:t>
        </w:r>
      </w:hyperlink>
      <w:r w:rsidR="0076407C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a Software Quality Metrics Methodology</w:t>
      </w:r>
    </w:p>
    <w:p w14:paraId="3D463102" w14:textId="77777777" w:rsidR="0076407C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7" w:history="1">
        <w:r w:rsidR="00F2753E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1062-2015</w:t>
        </w:r>
      </w:hyperlink>
      <w:r w:rsidR="00F2753E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Recommended Practice for Software Acquisition</w:t>
      </w:r>
    </w:p>
    <w:p w14:paraId="48D2DC6A" w14:textId="77777777" w:rsidR="00F2753E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8" w:history="1">
        <w:r w:rsidR="00F2753E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26512-2017</w:t>
        </w:r>
      </w:hyperlink>
      <w:r w:rsidR="00F2753E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ISO/IEC/IEEE International Standard - Systems and software engineering - Requirements for acquirers and suppliers of information for users</w:t>
      </w:r>
    </w:p>
    <w:p w14:paraId="5C5E9B4F" w14:textId="77777777" w:rsidR="0087622D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59" w:history="1">
        <w:r w:rsidR="0087622D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26511-2018</w:t>
        </w:r>
      </w:hyperlink>
      <w:r w:rsidR="0087622D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ISO/IEC/IEEE International Standard - Systems and software engineering - Requirements for managers of information for users of systems, software, and services</w:t>
      </w:r>
    </w:p>
    <w:p w14:paraId="34790682" w14:textId="77777777" w:rsidR="00AA6317" w:rsidRPr="00DE7CDD" w:rsidRDefault="00BC6958" w:rsidP="00F75955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60" w:history="1">
        <w:r w:rsidR="00AA6317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14764-2006</w:t>
        </w:r>
      </w:hyperlink>
      <w:r w:rsidR="00AA6317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ISO/IEC/IEEE International Standard for Software Engineering - Software Life Cycle Processes – Maintenance</w:t>
      </w:r>
    </w:p>
    <w:p w14:paraId="21FB76C8" w14:textId="77777777" w:rsidR="00A374AA" w:rsidRPr="00705C5D" w:rsidRDefault="00BC6958" w:rsidP="00705C5D">
      <w:pPr>
        <w:pStyle w:val="a7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61" w:history="1">
        <w:r w:rsidR="00AA6317" w:rsidRPr="00DE7CD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1228-1994</w:t>
        </w:r>
      </w:hyperlink>
      <w:r w:rsidR="00AA6317" w:rsidRPr="00DE7CDD">
        <w:rPr>
          <w:rFonts w:ascii="Times New Roman" w:hAnsi="Times New Roman" w:cs="Times New Roman"/>
          <w:sz w:val="28"/>
          <w:szCs w:val="28"/>
          <w:lang w:val="en-US"/>
        </w:rPr>
        <w:t xml:space="preserve"> - IEEE Standard for Software Safety Plans</w:t>
      </w:r>
    </w:p>
    <w:sectPr w:rsidR="00A374AA" w:rsidRPr="00705C5D">
      <w:headerReference w:type="default" r:id="rId62"/>
      <w:footerReference w:type="default" r:id="rId6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5873" w14:textId="77777777" w:rsidR="00BC6958" w:rsidRDefault="00BC6958" w:rsidP="000E303E">
      <w:pPr>
        <w:spacing w:after="0" w:line="240" w:lineRule="auto"/>
      </w:pPr>
      <w:r>
        <w:separator/>
      </w:r>
    </w:p>
  </w:endnote>
  <w:endnote w:type="continuationSeparator" w:id="0">
    <w:p w14:paraId="4E825833" w14:textId="77777777" w:rsidR="00BC6958" w:rsidRDefault="00BC6958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356206"/>
      <w:docPartObj>
        <w:docPartGallery w:val="Page Numbers (Bottom of Page)"/>
        <w:docPartUnique/>
      </w:docPartObj>
    </w:sdtPr>
    <w:sdtEndPr/>
    <w:sdtContent>
      <w:p w14:paraId="338549AB" w14:textId="77777777"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EF0">
          <w:rPr>
            <w:noProof/>
          </w:rPr>
          <w:t>3</w:t>
        </w:r>
        <w:r>
          <w:fldChar w:fldCharType="end"/>
        </w:r>
      </w:p>
    </w:sdtContent>
  </w:sdt>
  <w:p w14:paraId="1B67EF27" w14:textId="77777777"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8CEEE" w14:textId="77777777" w:rsidR="00BC6958" w:rsidRDefault="00BC6958" w:rsidP="000E303E">
      <w:pPr>
        <w:spacing w:after="0" w:line="240" w:lineRule="auto"/>
      </w:pPr>
      <w:r>
        <w:separator/>
      </w:r>
    </w:p>
  </w:footnote>
  <w:footnote w:type="continuationSeparator" w:id="0">
    <w:p w14:paraId="31C7D59B" w14:textId="77777777" w:rsidR="00BC6958" w:rsidRDefault="00BC6958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B6E15" w14:textId="77777777"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74A23F46"/>
    <w:multiLevelType w:val="hybridMultilevel"/>
    <w:tmpl w:val="2B2E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01692"/>
    <w:multiLevelType w:val="hybridMultilevel"/>
    <w:tmpl w:val="4950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1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19"/>
    <w:rsid w:val="00030071"/>
    <w:rsid w:val="00050F6D"/>
    <w:rsid w:val="00070016"/>
    <w:rsid w:val="0009414F"/>
    <w:rsid w:val="000A675E"/>
    <w:rsid w:val="000E303E"/>
    <w:rsid w:val="000F1260"/>
    <w:rsid w:val="00120DCE"/>
    <w:rsid w:val="00143E98"/>
    <w:rsid w:val="0014558C"/>
    <w:rsid w:val="00176C10"/>
    <w:rsid w:val="001B01B5"/>
    <w:rsid w:val="002B6310"/>
    <w:rsid w:val="002D4B8F"/>
    <w:rsid w:val="00301BC3"/>
    <w:rsid w:val="00345FBD"/>
    <w:rsid w:val="003C43EE"/>
    <w:rsid w:val="003D4516"/>
    <w:rsid w:val="00443B08"/>
    <w:rsid w:val="00496AD4"/>
    <w:rsid w:val="004D7D31"/>
    <w:rsid w:val="00514A4F"/>
    <w:rsid w:val="005437FE"/>
    <w:rsid w:val="0057118B"/>
    <w:rsid w:val="00577FF3"/>
    <w:rsid w:val="005A765E"/>
    <w:rsid w:val="00616229"/>
    <w:rsid w:val="00630498"/>
    <w:rsid w:val="00634718"/>
    <w:rsid w:val="006469E5"/>
    <w:rsid w:val="00670C19"/>
    <w:rsid w:val="00675DA3"/>
    <w:rsid w:val="00684959"/>
    <w:rsid w:val="00705C5D"/>
    <w:rsid w:val="0076407C"/>
    <w:rsid w:val="0078300E"/>
    <w:rsid w:val="007F291B"/>
    <w:rsid w:val="0087622D"/>
    <w:rsid w:val="00895ED1"/>
    <w:rsid w:val="008C1B68"/>
    <w:rsid w:val="00905656"/>
    <w:rsid w:val="0095637B"/>
    <w:rsid w:val="009C370D"/>
    <w:rsid w:val="009C3EF0"/>
    <w:rsid w:val="009D7575"/>
    <w:rsid w:val="009E23C8"/>
    <w:rsid w:val="009E542B"/>
    <w:rsid w:val="00A123B5"/>
    <w:rsid w:val="00A374AA"/>
    <w:rsid w:val="00A464A8"/>
    <w:rsid w:val="00A72151"/>
    <w:rsid w:val="00A747E7"/>
    <w:rsid w:val="00A80C75"/>
    <w:rsid w:val="00AA6317"/>
    <w:rsid w:val="00AF765A"/>
    <w:rsid w:val="00B035B2"/>
    <w:rsid w:val="00B5445F"/>
    <w:rsid w:val="00B919B8"/>
    <w:rsid w:val="00B95141"/>
    <w:rsid w:val="00BC6958"/>
    <w:rsid w:val="00C37CE3"/>
    <w:rsid w:val="00C63375"/>
    <w:rsid w:val="00C6661C"/>
    <w:rsid w:val="00C7183F"/>
    <w:rsid w:val="00CB468C"/>
    <w:rsid w:val="00CC0E5B"/>
    <w:rsid w:val="00D07AB5"/>
    <w:rsid w:val="00D114B0"/>
    <w:rsid w:val="00D34A96"/>
    <w:rsid w:val="00DD2B65"/>
    <w:rsid w:val="00DE7CDD"/>
    <w:rsid w:val="00DF3A6D"/>
    <w:rsid w:val="00E25D19"/>
    <w:rsid w:val="00EC165D"/>
    <w:rsid w:val="00EE29E6"/>
    <w:rsid w:val="00F13B4D"/>
    <w:rsid w:val="00F2753E"/>
    <w:rsid w:val="00F61BC3"/>
    <w:rsid w:val="00F641D4"/>
    <w:rsid w:val="00F75955"/>
    <w:rsid w:val="00F81957"/>
    <w:rsid w:val="00F82225"/>
    <w:rsid w:val="00F90C75"/>
    <w:rsid w:val="00FC3C83"/>
    <w:rsid w:val="00FE502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AC6B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cntd.ru/document/1200134470" TargetMode="External"/><Relationship Id="rId21" Type="http://schemas.openxmlformats.org/officeDocument/2006/relationships/hyperlink" Target="http://docs.cntd.ru/document/1200113599" TargetMode="External"/><Relationship Id="rId34" Type="http://schemas.openxmlformats.org/officeDocument/2006/relationships/hyperlink" Target="http://docs.cntd.ru/document/1200142892" TargetMode="External"/><Relationship Id="rId42" Type="http://schemas.openxmlformats.org/officeDocument/2006/relationships/hyperlink" Target="http://docs.cntd.ru/document/1200127256" TargetMode="External"/><Relationship Id="rId47" Type="http://schemas.openxmlformats.org/officeDocument/2006/relationships/hyperlink" Target="http://docs.cntd.ru/document/1200169697" TargetMode="External"/><Relationship Id="rId50" Type="http://schemas.openxmlformats.org/officeDocument/2006/relationships/hyperlink" Target="https://standards.ieee.org/standard/828-2012.html" TargetMode="External"/><Relationship Id="rId55" Type="http://schemas.openxmlformats.org/officeDocument/2006/relationships/hyperlink" Target="https://standards.ieee.org/standard/1044-2009.html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1200109845" TargetMode="External"/><Relationship Id="rId29" Type="http://schemas.openxmlformats.org/officeDocument/2006/relationships/hyperlink" Target="http://docs.cntd.ru/document/1200142886" TargetMode="External"/><Relationship Id="rId11" Type="http://schemas.openxmlformats.org/officeDocument/2006/relationships/hyperlink" Target="http://docs.cntd.ru/document/1200159142" TargetMode="External"/><Relationship Id="rId24" Type="http://schemas.openxmlformats.org/officeDocument/2006/relationships/hyperlink" Target="http://docs.cntd.ru/document/1200129505" TargetMode="External"/><Relationship Id="rId32" Type="http://schemas.openxmlformats.org/officeDocument/2006/relationships/hyperlink" Target="http://docs.cntd.ru/document/1200142890" TargetMode="External"/><Relationship Id="rId37" Type="http://schemas.openxmlformats.org/officeDocument/2006/relationships/hyperlink" Target="http://docs.cntd.ru/document/1200158800" TargetMode="External"/><Relationship Id="rId40" Type="http://schemas.openxmlformats.org/officeDocument/2006/relationships/hyperlink" Target="http://docs.cntd.ru/document/1200127254" TargetMode="External"/><Relationship Id="rId45" Type="http://schemas.openxmlformats.org/officeDocument/2006/relationships/hyperlink" Target="http://docs.cntd.ru/document/1200139532" TargetMode="External"/><Relationship Id="rId53" Type="http://schemas.openxmlformats.org/officeDocument/2006/relationships/hyperlink" Target="https://standards.ieee.org/standard/1016-2009.html" TargetMode="External"/><Relationship Id="rId58" Type="http://schemas.openxmlformats.org/officeDocument/2006/relationships/hyperlink" Target="https://standards.ieee.org/standard/26512-2017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tandards.ieee.org/standard/1228-1994.html" TargetMode="External"/><Relationship Id="rId19" Type="http://schemas.openxmlformats.org/officeDocument/2006/relationships/hyperlink" Target="http://docs.cntd.ru/document/1200112652" TargetMode="External"/><Relationship Id="rId14" Type="http://schemas.openxmlformats.org/officeDocument/2006/relationships/hyperlink" Target="http://docs.cntd.ru/document/1200105469" TargetMode="External"/><Relationship Id="rId22" Type="http://schemas.openxmlformats.org/officeDocument/2006/relationships/hyperlink" Target="http://docs.cntd.ru/document/1200127261" TargetMode="External"/><Relationship Id="rId27" Type="http://schemas.openxmlformats.org/officeDocument/2006/relationships/hyperlink" Target="http://docs.cntd.ru/document/1200134471" TargetMode="External"/><Relationship Id="rId30" Type="http://schemas.openxmlformats.org/officeDocument/2006/relationships/hyperlink" Target="http://docs.cntd.ru/document/1200142887" TargetMode="External"/><Relationship Id="rId35" Type="http://schemas.openxmlformats.org/officeDocument/2006/relationships/hyperlink" Target="http://docs.cntd.ru/document/1200144206" TargetMode="External"/><Relationship Id="rId43" Type="http://schemas.openxmlformats.org/officeDocument/2006/relationships/hyperlink" Target="http://docs.cntd.ru/document/1200127257" TargetMode="External"/><Relationship Id="rId48" Type="http://schemas.openxmlformats.org/officeDocument/2006/relationships/hyperlink" Target="https://standards.ieee.org/standard/24765-2017.html" TargetMode="External"/><Relationship Id="rId56" Type="http://schemas.openxmlformats.org/officeDocument/2006/relationships/hyperlink" Target="https://standards.ieee.org/standard/1061-1998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tudme.org/35768/informatika/ponyatie_obschedostupnoy_spetsifikatsii" TargetMode="External"/><Relationship Id="rId51" Type="http://schemas.openxmlformats.org/officeDocument/2006/relationships/hyperlink" Target="https://standards.ieee.org/standard/982_1-2005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ocs.cntd.ru/document/1200167691" TargetMode="External"/><Relationship Id="rId17" Type="http://schemas.openxmlformats.org/officeDocument/2006/relationships/hyperlink" Target="http://docs.cntd.ru/document/1200110769" TargetMode="External"/><Relationship Id="rId25" Type="http://schemas.openxmlformats.org/officeDocument/2006/relationships/hyperlink" Target="http://docs.cntd.ru/document/1200134469" TargetMode="External"/><Relationship Id="rId33" Type="http://schemas.openxmlformats.org/officeDocument/2006/relationships/hyperlink" Target="http://docs.cntd.ru/document/1200142891" TargetMode="External"/><Relationship Id="rId38" Type="http://schemas.openxmlformats.org/officeDocument/2006/relationships/hyperlink" Target="http://docs.cntd.ru/document/1200159141" TargetMode="External"/><Relationship Id="rId46" Type="http://schemas.openxmlformats.org/officeDocument/2006/relationships/hyperlink" Target="http://docs.cntd.ru/document/1200169607" TargetMode="External"/><Relationship Id="rId59" Type="http://schemas.openxmlformats.org/officeDocument/2006/relationships/hyperlink" Target="https://standards.ieee.org/standard/26511-2018.html" TargetMode="External"/><Relationship Id="rId20" Type="http://schemas.openxmlformats.org/officeDocument/2006/relationships/hyperlink" Target="http://docs.cntd.ru/document/1200113598" TargetMode="External"/><Relationship Id="rId41" Type="http://schemas.openxmlformats.org/officeDocument/2006/relationships/hyperlink" Target="http://docs.cntd.ru/document/1200127255" TargetMode="External"/><Relationship Id="rId54" Type="http://schemas.openxmlformats.org/officeDocument/2006/relationships/hyperlink" Target="https://standards.ieee.org/standard/1016-2009.html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ocs.cntd.ru/document/1200107284" TargetMode="External"/><Relationship Id="rId23" Type="http://schemas.openxmlformats.org/officeDocument/2006/relationships/hyperlink" Target="http://docs.cntd.ru/document/1200127262" TargetMode="External"/><Relationship Id="rId28" Type="http://schemas.openxmlformats.org/officeDocument/2006/relationships/hyperlink" Target="http://docs.cntd.ru/document/1200141425" TargetMode="External"/><Relationship Id="rId36" Type="http://schemas.openxmlformats.org/officeDocument/2006/relationships/hyperlink" Target="http://docs.cntd.ru/document/1200158535" TargetMode="External"/><Relationship Id="rId49" Type="http://schemas.openxmlformats.org/officeDocument/2006/relationships/hyperlink" Target="https://standards.ieee.org/standard/730-2014.html" TargetMode="External"/><Relationship Id="rId57" Type="http://schemas.openxmlformats.org/officeDocument/2006/relationships/hyperlink" Target="https://standards.ieee.org/standard/1062-2015.html" TargetMode="External"/><Relationship Id="rId10" Type="http://schemas.openxmlformats.org/officeDocument/2006/relationships/hyperlink" Target="http://docs.cntd.ru/document/1200158534" TargetMode="External"/><Relationship Id="rId31" Type="http://schemas.openxmlformats.org/officeDocument/2006/relationships/hyperlink" Target="http://docs.cntd.ru/document/1200142888" TargetMode="External"/><Relationship Id="rId44" Type="http://schemas.openxmlformats.org/officeDocument/2006/relationships/hyperlink" Target="http://docs.cntd.ru/document/1200127258" TargetMode="External"/><Relationship Id="rId52" Type="http://schemas.openxmlformats.org/officeDocument/2006/relationships/hyperlink" Target="https://standards.ieee.org/standard/1012-2016.html" TargetMode="External"/><Relationship Id="rId60" Type="http://schemas.openxmlformats.org/officeDocument/2006/relationships/hyperlink" Target="https://standards.ieee.org/standard/14764-2006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standartizatsiya-v-sfere-informatsionnyh-tehnologiy/viewer" TargetMode="External"/><Relationship Id="rId13" Type="http://schemas.openxmlformats.org/officeDocument/2006/relationships/hyperlink" Target="http://docs.cntd.ru/document/1200088851" TargetMode="External"/><Relationship Id="rId18" Type="http://schemas.openxmlformats.org/officeDocument/2006/relationships/hyperlink" Target="http://docs.cntd.ru/document/1200111787" TargetMode="External"/><Relationship Id="rId39" Type="http://schemas.openxmlformats.org/officeDocument/2006/relationships/hyperlink" Target="http://docs.cntd.ru/document/12001272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2385C-82F1-425B-8D95-C8D64972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Марина Свистунова</cp:lastModifiedBy>
  <cp:revision>71</cp:revision>
  <dcterms:created xsi:type="dcterms:W3CDTF">2020-02-10T11:54:00Z</dcterms:created>
  <dcterms:modified xsi:type="dcterms:W3CDTF">2020-02-11T19:50:00Z</dcterms:modified>
</cp:coreProperties>
</file>