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80" w:line="480" w:lineRule="auto"/>
        <w:rPr/>
      </w:pPr>
      <w:bookmarkStart w:colFirst="0" w:colLast="0" w:name="_2z9bqftcbzpi" w:id="0"/>
      <w:bookmarkEnd w:id="0"/>
      <w:r w:rsidDel="00000000" w:rsidR="00000000" w:rsidRPr="00000000">
        <w:rPr>
          <w:rtl w:val="0"/>
        </w:rPr>
        <w:t xml:space="preserve">Описание сценария взаимодействия с заявкой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просмотра списка задач на главной странице портала необходимо выбрать пункт "Задачи" в меню или кликнуть по виджету "Мои задачи".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4.399999999999999" w:lineRule="auto"/>
        <w:rPr/>
      </w:pPr>
      <w:r w:rsidDel="00000000" w:rsidR="00000000" w:rsidRPr="00000000">
        <w:rPr/>
        <w:drawing>
          <wp:inline distB="114300" distT="114300" distL="114300" distR="114300">
            <wp:extent cx="8340605" cy="47496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0605" cy="4749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открывшегося списка задач выберите ту, которую необходимо взять в работу.</w:t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499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 чтобы приступить к выполнению задачи, необходимо активировать её, нажав кнопку "Взять в работу". </w:t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29400" cy="199072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90725"/>
                    </a:xfrm>
                    <a:prstGeom prst="rect"/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После этого задача будет переведена в статус "В работе".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15240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/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передачи заявки на последующий этап согласования важно убедиться, что все поля в задаче заполнены верно, а затем подтвердить отправку, нажав кнопку "Готово".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291513" cy="481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1513" cy="481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заявка перемещается на следующую стадию оценки, статус изменяется на "На согласовании".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1876425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76425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