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w:t>
      </w:r>
      <w:proofErr w:type="spellStart"/>
      <w:r w:rsidR="004E1BDC">
        <w:rPr>
          <w:rFonts w:ascii="Times" w:hAnsi="Times"/>
        </w:rPr>
        <w:t>technomodernity</w:t>
      </w:r>
      <w:proofErr w:type="spellEnd"/>
      <w:r w:rsidR="004E1BDC">
        <w:rPr>
          <w:rFonts w:ascii="Times" w:hAnsi="Times"/>
        </w:rPr>
        <w:t xml:space="preserve">”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Pennacchiotti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4EEF3408" w14:textId="327B5B77" w:rsidR="00EC7D5E"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t xml:space="preserve">Additionally, self-reported vote forecasts have been shown to often be misleading. Rogers and Aida (2014) examined seven pre-election surveys with post-election vote validation and discovered that many predicted voters do not vote after all, and many who say they won’t vote </w:t>
      </w:r>
      <w:r>
        <w:rPr>
          <w:rFonts w:ascii="Times" w:hAnsi="Times"/>
        </w:rPr>
        <w:lastRenderedPageBreak/>
        <w:t>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214BEDBA" w:rsidR="00450E6B" w:rsidRDefault="00B2668A" w:rsidP="002572D5">
      <w:pPr>
        <w:jc w:val="both"/>
        <w:rPr>
          <w:rFonts w:ascii="Times" w:hAnsi="Times"/>
          <w:color w:val="000000" w:themeColor="text1"/>
        </w:rPr>
      </w:pPr>
      <w:r>
        <w:rPr>
          <w:rFonts w:ascii="Times" w:hAnsi="Times"/>
        </w:rPr>
        <w:t xml:space="preserve">The data for this research come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The original sample was</w:t>
      </w:r>
      <w:r w:rsidR="000E1E9E">
        <w:rPr>
          <w:rFonts w:ascii="Times" w:hAnsi="Times"/>
        </w:rPr>
        <w:t xml:space="preserve"> </w:t>
      </w:r>
      <w:r w:rsidR="000E1E9E" w:rsidRPr="00C37970">
        <w:rPr>
          <w:rFonts w:ascii="Times" w:hAnsi="Times"/>
          <w:color w:val="FF0000"/>
        </w:rPr>
        <w:t>1,</w:t>
      </w:r>
      <w:r w:rsidR="00224263" w:rsidRPr="00C37970">
        <w:rPr>
          <w:rFonts w:ascii="Times" w:hAnsi="Times"/>
          <w:color w:val="FF0000"/>
        </w:rPr>
        <w:t>408</w:t>
      </w:r>
      <w:r w:rsidR="00E95941" w:rsidRPr="00C37970">
        <w:rPr>
          <w:rFonts w:ascii="Times" w:hAnsi="Times"/>
          <w:color w:val="FF0000"/>
        </w:rPr>
        <w:t xml:space="preserve"> (tracking) </w:t>
      </w:r>
      <w:r w:rsidR="00C37970" w:rsidRPr="00C37970">
        <w:rPr>
          <w:rFonts w:ascii="Times" w:hAnsi="Times"/>
          <w:color w:val="FF0000"/>
        </w:rPr>
        <w:t>1,339 (survey</w:t>
      </w:r>
      <w:r w:rsidR="00C37970">
        <w:rPr>
          <w:rFonts w:ascii="Times" w:hAnsi="Times"/>
        </w:rPr>
        <w:t>)</w:t>
      </w:r>
      <w:r w:rsidR="000E1E9E">
        <w:rPr>
          <w:rFonts w:ascii="Times" w:hAnsi="Times"/>
        </w:rPr>
        <w:t xml:space="preserve"> 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450E6B">
        <w:rPr>
          <w:rFonts w:ascii="Times" w:hAnsi="Times"/>
          <w:color w:val="000000" w:themeColor="text1"/>
        </w:rPr>
        <w:t xml:space="preserve">Survey questions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39910088" w:rsidR="000C3884" w:rsidRDefault="00CA56D4" w:rsidP="002572D5">
      <w:pPr>
        <w:jc w:val="both"/>
        <w:rPr>
          <w:rFonts w:ascii="Times" w:hAnsi="Times"/>
          <w:color w:val="000000" w:themeColor="text1"/>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However, luckily there is very little difference </w:t>
      </w:r>
      <w:r w:rsidR="00A44A84">
        <w:rPr>
          <w:rFonts w:ascii="Times" w:hAnsi="Times"/>
          <w:color w:val="000000" w:themeColor="text1"/>
        </w:rPr>
        <w:t>between the two samples in terms of the significant variables such as political preference, voters vs. non-voters, and demographics</w:t>
      </w:r>
      <w:r w:rsidR="00FB032A">
        <w:rPr>
          <w:rFonts w:ascii="Times" w:hAnsi="Times"/>
          <w:color w:val="000000" w:themeColor="text1"/>
        </w:rPr>
        <w:t xml:space="preserve"> associated with vote choice. The only exception is age, as those with full URL information are approximately four years older, on average</w:t>
      </w:r>
      <w:r w:rsidR="00A44A84">
        <w:rPr>
          <w:rFonts w:ascii="Times" w:hAnsi="Times"/>
          <w:color w:val="000000" w:themeColor="text1"/>
        </w:rPr>
        <w:t xml:space="preserve">. </w:t>
      </w:r>
    </w:p>
    <w:p w14:paraId="5BE85B07" w14:textId="235FBDCA" w:rsidR="00C350F6" w:rsidRDefault="00C350F6" w:rsidP="002572D5">
      <w:pPr>
        <w:jc w:val="both"/>
        <w:rPr>
          <w:rFonts w:ascii="Times" w:hAnsi="Times"/>
          <w:color w:val="000000" w:themeColor="text1"/>
        </w:rPr>
      </w:pPr>
    </w:p>
    <w:p w14:paraId="2B00BC2A" w14:textId="51837013" w:rsidR="00FB032A" w:rsidRDefault="00FB032A" w:rsidP="002572D5">
      <w:pPr>
        <w:jc w:val="both"/>
        <w:rPr>
          <w:rFonts w:ascii="Times" w:hAnsi="Times"/>
          <w:color w:val="000000" w:themeColor="text1"/>
        </w:rPr>
      </w:pPr>
      <w:r>
        <w:rPr>
          <w:rFonts w:ascii="Times" w:hAnsi="Times"/>
          <w:noProof/>
          <w:color w:val="000000" w:themeColor="text1"/>
        </w:rPr>
        <w:drawing>
          <wp:inline distT="0" distB="0" distL="0" distR="0" wp14:anchorId="3A6F601F" wp14:editId="44C0EBE6">
            <wp:extent cx="5943600" cy="294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2 at 3.07.3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1BD020E9" w14:textId="77777777" w:rsidR="00C350F6" w:rsidRPr="000C3884" w:rsidRDefault="00C350F6" w:rsidP="002572D5">
      <w:pPr>
        <w:jc w:val="both"/>
        <w:rPr>
          <w:rFonts w:ascii="Times" w:hAnsi="Times"/>
          <w:color w:val="000000" w:themeColor="text1"/>
        </w:rPr>
      </w:pPr>
    </w:p>
    <w:p w14:paraId="059A815F" w14:textId="1361C580" w:rsidR="009F5039" w:rsidRDefault="009F5039" w:rsidP="002572D5">
      <w:pPr>
        <w:jc w:val="both"/>
      </w:pP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lastRenderedPageBreak/>
        <w:t>Target Variable</w:t>
      </w:r>
    </w:p>
    <w:p w14:paraId="3C174B29" w14:textId="77777777" w:rsidR="004F3209" w:rsidRDefault="004F3209" w:rsidP="004F3209">
      <w:pPr>
        <w:jc w:val="both"/>
        <w:rPr>
          <w:rFonts w:ascii="Times" w:hAnsi="Times"/>
        </w:rPr>
      </w:pPr>
    </w:p>
    <w:p w14:paraId="64AB4992" w14:textId="77777777" w:rsidR="004F3209" w:rsidRDefault="004F3209" w:rsidP="004F3209">
      <w:pPr>
        <w:jc w:val="both"/>
        <w:rPr>
          <w:rFonts w:ascii="Times" w:hAnsi="Times"/>
        </w:rPr>
      </w:pPr>
      <w:r>
        <w:rPr>
          <w:rFonts w:ascii="Times" w:hAnsi="Times"/>
        </w:rPr>
        <w:t xml:space="preserve">The goal of this research is to determine if it is possible to predict 1) whether an individual will vote in an upcoming election and 2) if so, for which party for the House of Representatives election (Democrats, Republicans, or Independent).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77777777"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Thus, the remaining three options for Question 2 were that the respondent voted for the </w:t>
      </w:r>
      <w:r w:rsidRPr="001078A2">
        <w:rPr>
          <w:rFonts w:ascii="Courier" w:hAnsi="Courier"/>
        </w:rPr>
        <w:t>Republican</w:t>
      </w:r>
      <w:r>
        <w:rPr>
          <w:rFonts w:ascii="Times" w:hAnsi="Times"/>
        </w:rPr>
        <w:t xml:space="preserve">, </w:t>
      </w:r>
      <w:r w:rsidRPr="001078A2">
        <w:rPr>
          <w:rFonts w:ascii="Courier" w:hAnsi="Courier"/>
        </w:rPr>
        <w:t>Democrat</w:t>
      </w:r>
      <w:r>
        <w:rPr>
          <w:rFonts w:ascii="Times" w:hAnsi="Times"/>
        </w:rPr>
        <w:t xml:space="preserve">, or </w:t>
      </w:r>
      <w:r w:rsidRPr="001078A2">
        <w:rPr>
          <w:rFonts w:ascii="Courier" w:hAnsi="Courier"/>
        </w:rPr>
        <w:t>Independent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73791026" w14:textId="75349AC0" w:rsidR="009B3917" w:rsidRPr="00F41764" w:rsidRDefault="00497843" w:rsidP="004F3209">
      <w:pPr>
        <w:rPr>
          <w:rFonts w:ascii="Times" w:hAnsi="Times"/>
          <w:color w:val="FF0000"/>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 whether or not an individual searched for the terms “vote,” “voting,” or any of the candidate names for those running for the House of Representatives in their state (</w:t>
      </w:r>
      <w:r>
        <w:rPr>
          <w:rFonts w:ascii="Times" w:hAnsi="Times"/>
          <w:color w:val="FF0000"/>
        </w:rPr>
        <w:t>more precise geo?</w:t>
      </w:r>
      <w:r>
        <w:rPr>
          <w:rFonts w:ascii="Times" w:hAnsi="Times"/>
          <w:color w:val="000000" w:themeColor="text1"/>
        </w:rPr>
        <w:t xml:space="preserve">). </w:t>
      </w:r>
      <w:r w:rsidR="00F41764">
        <w:rPr>
          <w:rFonts w:ascii="Times" w:hAnsi="Times"/>
          <w:color w:val="FF0000"/>
        </w:rPr>
        <w:t>Other keywords?</w:t>
      </w:r>
      <w:r w:rsidR="0055311A">
        <w:rPr>
          <w:rFonts w:ascii="Times" w:hAnsi="Times"/>
          <w:color w:val="FF0000"/>
        </w:rPr>
        <w:t xml:space="preserve"> Volume/frequency of searches?</w:t>
      </w:r>
    </w:p>
    <w:p w14:paraId="75A63D7C" w14:textId="0591A41A" w:rsidR="00D81030" w:rsidRDefault="00D81030" w:rsidP="004F3209">
      <w:pPr>
        <w:rPr>
          <w:rFonts w:ascii="Times" w:hAnsi="Times"/>
          <w:color w:val="000000" w:themeColor="text1"/>
        </w:rPr>
      </w:pPr>
    </w:p>
    <w:p w14:paraId="3F513C35" w14:textId="5A9FC0F9" w:rsidR="00D81030" w:rsidRPr="00D81030" w:rsidRDefault="00D81030" w:rsidP="004F3209">
      <w:pPr>
        <w:rPr>
          <w:rFonts w:ascii="Times" w:hAnsi="Times"/>
          <w:color w:val="FF0000"/>
        </w:rPr>
      </w:pPr>
      <w:r>
        <w:rPr>
          <w:rFonts w:ascii="Times" w:hAnsi="Times"/>
          <w:color w:val="FF0000"/>
        </w:rPr>
        <w:t>Top X Terms</w:t>
      </w:r>
    </w:p>
    <w:p w14:paraId="7FD32CDC" w14:textId="636CFCBD" w:rsidR="00AE7233" w:rsidRDefault="00AE7233" w:rsidP="004F3209">
      <w:pPr>
        <w:rPr>
          <w:rFonts w:ascii="Times" w:hAnsi="Times"/>
          <w:color w:val="000000" w:themeColor="text1"/>
        </w:rPr>
      </w:pPr>
    </w:p>
    <w:p w14:paraId="3CB890E9" w14:textId="28A1AD4E" w:rsidR="00497843" w:rsidRPr="00497843" w:rsidRDefault="00AE7233" w:rsidP="004F3209">
      <w:pPr>
        <w:rPr>
          <w:rFonts w:ascii="Times" w:hAnsi="Times"/>
          <w:color w:val="000000" w:themeColor="text1"/>
        </w:rPr>
      </w:pPr>
      <w:r w:rsidRPr="000243B2">
        <w:rPr>
          <w:rFonts w:ascii="Times" w:hAnsi="Times"/>
          <w:b/>
          <w:color w:val="000000" w:themeColor="text1"/>
        </w:rPr>
        <w:t>SENTIMENT</w:t>
      </w:r>
      <w:r w:rsidR="000243B2">
        <w:rPr>
          <w:rFonts w:ascii="Times" w:hAnsi="Times"/>
          <w:color w:val="000000" w:themeColor="text1"/>
        </w:rPr>
        <w:t xml:space="preserve"> </w:t>
      </w:r>
      <w:r w:rsidR="00D81030">
        <w:rPr>
          <w:rFonts w:ascii="Times" w:hAnsi="Times"/>
          <w:color w:val="000000" w:themeColor="text1"/>
        </w:rPr>
        <w:t xml:space="preserve">Following recommendations from </w:t>
      </w:r>
      <w:r w:rsidR="00D81030">
        <w:rPr>
          <w:rFonts w:ascii="Times" w:hAnsi="Times"/>
          <w:color w:val="000000" w:themeColor="text1"/>
        </w:rPr>
        <w:fldChar w:fldCharType="begin" w:fldLock="1"/>
      </w:r>
      <w:r w:rsidR="007D5AB8">
        <w:rPr>
          <w:rFonts w:ascii="Times" w:hAnsi="Times"/>
          <w:color w:val="000000" w:themeColor="text1"/>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2011)","manualFormatting":"Lui et al. (2011)","plainTextFormattedCitation":"(C. Lui et al., 2011)","previouslyFormattedCitation":"(C. Lui et al., 2011)"},"properties":{"noteIndex":0},"schema":"https://github.com/citation-style-language/schema/raw/master/csl-citation.json"}</w:instrText>
      </w:r>
      <w:r w:rsidR="00D81030">
        <w:rPr>
          <w:rFonts w:ascii="Times" w:hAnsi="Times"/>
          <w:color w:val="000000" w:themeColor="text1"/>
        </w:rPr>
        <w:fldChar w:fldCharType="separate"/>
      </w:r>
      <w:r w:rsidR="00D81030" w:rsidRPr="00D81030">
        <w:rPr>
          <w:rFonts w:ascii="Times" w:hAnsi="Times"/>
          <w:noProof/>
          <w:color w:val="000000" w:themeColor="text1"/>
        </w:rPr>
        <w:t>Lui et al.</w:t>
      </w:r>
      <w:r w:rsidR="00D81030">
        <w:rPr>
          <w:rFonts w:ascii="Times" w:hAnsi="Times"/>
          <w:noProof/>
          <w:color w:val="000000" w:themeColor="text1"/>
        </w:rPr>
        <w:t xml:space="preserve"> (</w:t>
      </w:r>
      <w:r w:rsidR="00D81030" w:rsidRPr="00D81030">
        <w:rPr>
          <w:rFonts w:ascii="Times" w:hAnsi="Times"/>
          <w:noProof/>
          <w:color w:val="000000" w:themeColor="text1"/>
        </w:rPr>
        <w:t>2011)</w:t>
      </w:r>
      <w:r w:rsidR="00D81030">
        <w:rPr>
          <w:rFonts w:ascii="Times" w:hAnsi="Times"/>
          <w:color w:val="000000" w:themeColor="text1"/>
        </w:rPr>
        <w:fldChar w:fldCharType="end"/>
      </w:r>
      <w:r w:rsidR="00D81030">
        <w:rPr>
          <w:rFonts w:ascii="Times" w:hAnsi="Times"/>
          <w:color w:val="000000" w:themeColor="text1"/>
        </w:rPr>
        <w:t>, the sentiment behind a query text is explored in an attempt to uncover the intention motivating the participant’s query.</w:t>
      </w:r>
      <w:r w:rsidR="007526EF">
        <w:rPr>
          <w:rFonts w:ascii="Times" w:hAnsi="Times"/>
          <w:color w:val="000000" w:themeColor="text1"/>
        </w:rPr>
        <w:t xml:space="preserve"> Several </w:t>
      </w:r>
      <w:r w:rsidR="00CE7BA3">
        <w:rPr>
          <w:rFonts w:ascii="Times" w:hAnsi="Times"/>
          <w:color w:val="000000" w:themeColor="text1"/>
        </w:rPr>
        <w:t xml:space="preserve">sentiment analysis methods were evaluated, including Bing </w:t>
      </w:r>
      <w:r w:rsidR="00CE7BA3">
        <w:rPr>
          <w:rFonts w:ascii="Times" w:hAnsi="Times"/>
          <w:color w:val="000000" w:themeColor="text1"/>
        </w:rPr>
        <w:fldChar w:fldCharType="begin" w:fldLock="1"/>
      </w:r>
      <w:r w:rsidR="007D5AB8">
        <w:rPr>
          <w:rFonts w:ascii="Times" w:hAnsi="Times"/>
          <w:color w:val="000000" w:themeColor="text1"/>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sidR="00CE7BA3">
        <w:rPr>
          <w:rFonts w:ascii="Times" w:hAnsi="Times"/>
          <w:color w:val="000000" w:themeColor="text1"/>
        </w:rPr>
        <w:fldChar w:fldCharType="separate"/>
      </w:r>
      <w:r w:rsidR="00CE7BA3" w:rsidRPr="00CE7BA3">
        <w:rPr>
          <w:rFonts w:ascii="Times" w:hAnsi="Times"/>
          <w:noProof/>
          <w:color w:val="000000" w:themeColor="text1"/>
        </w:rPr>
        <w:t>(B. Lui, n.d.)</w:t>
      </w:r>
      <w:r w:rsidR="00CE7BA3">
        <w:rPr>
          <w:rFonts w:ascii="Times" w:hAnsi="Times"/>
          <w:color w:val="000000" w:themeColor="text1"/>
        </w:rPr>
        <w:fldChar w:fldCharType="end"/>
      </w:r>
      <w:r w:rsidR="007D5AB8">
        <w:rPr>
          <w:rFonts w:ascii="Times" w:hAnsi="Times"/>
          <w:color w:val="000000" w:themeColor="text1"/>
        </w:rPr>
        <w:t xml:space="preserve">, which utilizes a simple </w:t>
      </w:r>
      <w:r w:rsidR="007D5AB8">
        <w:rPr>
          <w:rFonts w:ascii="Times" w:hAnsi="Times"/>
          <w:color w:val="000000" w:themeColor="text1"/>
        </w:rPr>
        <w:lastRenderedPageBreak/>
        <w:t xml:space="preserve">positive-negative structure, the NRC Emotion Lexicon </w:t>
      </w:r>
      <w:r w:rsidR="007D5AB8">
        <w:rPr>
          <w:rFonts w:ascii="Times" w:hAnsi="Times"/>
          <w:color w:val="000000" w:themeColor="text1"/>
        </w:rPr>
        <w:fldChar w:fldCharType="begin" w:fldLock="1"/>
      </w:r>
      <w:r w:rsidR="00332EE6">
        <w:rPr>
          <w:rFonts w:ascii="Times" w:hAnsi="Times"/>
          <w:color w:val="000000" w:themeColor="text1"/>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sidR="007D5AB8">
        <w:rPr>
          <w:rFonts w:ascii="Times" w:hAnsi="Times"/>
          <w:color w:val="000000" w:themeColor="text1"/>
        </w:rPr>
        <w:fldChar w:fldCharType="separate"/>
      </w:r>
      <w:r w:rsidR="007D5AB8" w:rsidRPr="007D5AB8">
        <w:rPr>
          <w:rFonts w:ascii="Times" w:hAnsi="Times"/>
          <w:noProof/>
          <w:color w:val="000000" w:themeColor="text1"/>
        </w:rPr>
        <w:t>(Mohammad, 2016)</w:t>
      </w:r>
      <w:r w:rsidR="007D5AB8">
        <w:rPr>
          <w:rFonts w:ascii="Times" w:hAnsi="Times"/>
          <w:color w:val="000000" w:themeColor="text1"/>
        </w:rPr>
        <w:fldChar w:fldCharType="end"/>
      </w:r>
      <w:r w:rsidR="007D5AB8">
        <w:rPr>
          <w:rFonts w:ascii="Times" w:hAnsi="Times"/>
          <w:color w:val="000000" w:themeColor="text1"/>
        </w:rPr>
        <w:t xml:space="preserve"> that associates vocabulary with eight different emotional keywords, </w:t>
      </w:r>
      <w:r w:rsidR="007D5AB8" w:rsidRPr="007D5AB8">
        <w:rPr>
          <w:rFonts w:ascii="Times" w:hAnsi="Times"/>
          <w:color w:val="FF0000"/>
        </w:rPr>
        <w:t>and</w:t>
      </w:r>
      <w:r w:rsidR="007D5AB8">
        <w:rPr>
          <w:rFonts w:ascii="Times" w:hAnsi="Times"/>
          <w:color w:val="FF0000"/>
        </w:rPr>
        <w:t xml:space="preserve"> XX</w:t>
      </w:r>
      <w:r w:rsidR="0055311A">
        <w:rPr>
          <w:rFonts w:ascii="Times" w:hAnsi="Times"/>
          <w:color w:val="FF0000"/>
        </w:rPr>
        <w:t>. Only on political searches?</w:t>
      </w:r>
    </w:p>
    <w:p w14:paraId="62B51721" w14:textId="77777777" w:rsidR="009B3917" w:rsidRPr="009B3917" w:rsidRDefault="009B3917" w:rsidP="004F3209">
      <w:pPr>
        <w:rPr>
          <w:rFonts w:ascii="Times" w:hAnsi="Times"/>
        </w:rPr>
      </w:pPr>
    </w:p>
    <w:p w14:paraId="674B5290" w14:textId="596ED3AD" w:rsidR="009B3917" w:rsidRDefault="009B3917" w:rsidP="009B3917">
      <w:pPr>
        <w:pStyle w:val="ListParagraph"/>
        <w:numPr>
          <w:ilvl w:val="0"/>
          <w:numId w:val="7"/>
        </w:numPr>
        <w:rPr>
          <w:rFonts w:ascii="Times" w:hAnsi="Times"/>
          <w:color w:val="FF0000"/>
        </w:rPr>
      </w:pPr>
      <w:r>
        <w:rPr>
          <w:rFonts w:ascii="Times" w:hAnsi="Times"/>
          <w:color w:val="FF0000"/>
        </w:rPr>
        <w:t>Topic</w:t>
      </w:r>
    </w:p>
    <w:p w14:paraId="7445582B" w14:textId="7268FB57" w:rsidR="009B3917" w:rsidRDefault="009B3917" w:rsidP="009B3917">
      <w:pPr>
        <w:pStyle w:val="ListParagraph"/>
        <w:numPr>
          <w:ilvl w:val="0"/>
          <w:numId w:val="7"/>
        </w:numPr>
        <w:rPr>
          <w:rFonts w:ascii="Times" w:hAnsi="Times"/>
          <w:color w:val="FF0000"/>
        </w:rPr>
      </w:pPr>
      <w:r>
        <w:rPr>
          <w:rFonts w:ascii="Times" w:hAnsi="Times"/>
          <w:color w:val="FF0000"/>
        </w:rPr>
        <w:t>Search Engine Used</w:t>
      </w: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5D9E1B4B" w14:textId="51C598C4" w:rsidR="00493CBE"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p>
    <w:p w14:paraId="2482764A" w14:textId="621C92ED" w:rsidR="00E67A0A" w:rsidRDefault="00E67A0A" w:rsidP="002C2382">
      <w:pPr>
        <w:rPr>
          <w:rFonts w:ascii="Times" w:hAnsi="Times"/>
        </w:rPr>
      </w:pPr>
      <w:r>
        <w:rPr>
          <w:rFonts w:ascii="Times" w:hAnsi="Times"/>
          <w:noProof/>
        </w:rPr>
        <w:drawing>
          <wp:inline distT="0" distB="0" distL="0" distR="0" wp14:anchorId="619312A2" wp14:editId="7A92859B">
            <wp:extent cx="5943600" cy="921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02 at 3.56.1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4ECAD2C0" w:rsidR="00E67A0A" w:rsidRDefault="00E67A0A" w:rsidP="002C2382">
      <w:pPr>
        <w:rPr>
          <w:rFonts w:ascii="Times" w:hAnsi="Times"/>
        </w:rPr>
      </w:pPr>
      <w:r>
        <w:rPr>
          <w:rFonts w:ascii="Times" w:hAnsi="Times"/>
        </w:rPr>
        <w:t>In terms of other demographic differences, it is notable that voters are 9.2 years older than non-voters, on average. They also have a higher family income, averaging 6.5 (on a scale of 1, meaning less than $10,000 per year, to 16, representing incomes over 500,000 annually) in contrast to 4.79 for non-voters.</w:t>
      </w:r>
      <w:r w:rsidR="0058357A">
        <w:rPr>
          <w:rFonts w:ascii="Times" w:hAnsi="Times"/>
        </w:rPr>
        <w:t xml:space="preserve"> The share of women is the same in both groups, and education and ideology appear to be relatively similar. Education is measured </w:t>
      </w:r>
      <w:r w:rsidR="00381BD3">
        <w:rPr>
          <w:rFonts w:ascii="Times" w:hAnsi="Times"/>
        </w:rPr>
        <w:t xml:space="preserve">in this dataset </w:t>
      </w:r>
      <w:r w:rsidR="0058357A">
        <w:rPr>
          <w:rFonts w:ascii="Times" w:hAnsi="Times"/>
        </w:rPr>
        <w:t>on a scale of 1 (for those without a High School education) to 6 (for those with a post-graduate education), while ideology is measured from 1 for those who identify as “very liberal” to 5, “very conservative</w:t>
      </w:r>
      <w:r w:rsidR="00552D5D">
        <w:rPr>
          <w:rFonts w:ascii="Times" w:hAnsi="Times"/>
        </w:rPr>
        <w:t>.”</w:t>
      </w:r>
    </w:p>
    <w:p w14:paraId="5427004F" w14:textId="7743BC24" w:rsidR="00E67A0A" w:rsidRDefault="00E67A0A" w:rsidP="002C2382">
      <w:pPr>
        <w:rPr>
          <w:rFonts w:ascii="Times" w:hAnsi="Times"/>
        </w:rPr>
      </w:pPr>
    </w:p>
    <w:p w14:paraId="7C959FBE" w14:textId="2E2B3A67" w:rsidR="00E67A0A" w:rsidRDefault="0058357A" w:rsidP="002C2382">
      <w:pPr>
        <w:rPr>
          <w:rFonts w:ascii="Times" w:hAnsi="Times"/>
        </w:rPr>
      </w:pPr>
      <w:r>
        <w:rPr>
          <w:rFonts w:ascii="Times" w:hAnsi="Times"/>
        </w:rPr>
        <w:t xml:space="preserve">Taking a look at only those who claimed to have voted in the 2018 election, </w:t>
      </w:r>
      <w:r w:rsidR="00036076">
        <w:rPr>
          <w:rFonts w:ascii="Times" w:hAnsi="Times"/>
        </w:rPr>
        <w:t>it is evident</w:t>
      </w:r>
      <w:r w:rsidR="004C5CBA">
        <w:rPr>
          <w:rFonts w:ascii="Times" w:hAnsi="Times"/>
        </w:rPr>
        <w:t xml:space="preserve"> that this dataset skews towards the Democrats, with 54% of the sample favoring that party. A small number, just 2%, voted Independent, and 35% voted for the Republican candidate in their congressional district. </w:t>
      </w:r>
      <w:r>
        <w:rPr>
          <w:rFonts w:ascii="Times" w:hAnsi="Times"/>
        </w:rPr>
        <w:t xml:space="preserve"> </w:t>
      </w:r>
    </w:p>
    <w:p w14:paraId="359CBD8F" w14:textId="5920DAE8" w:rsidR="004C5CBA" w:rsidRDefault="004C5CBA" w:rsidP="002C2382">
      <w:pPr>
        <w:rPr>
          <w:rFonts w:ascii="Times" w:hAnsi="Times"/>
        </w:rPr>
      </w:pPr>
    </w:p>
    <w:p w14:paraId="5C7AECD1" w14:textId="190AB3C0" w:rsidR="004C5CBA" w:rsidRPr="00493CBE" w:rsidRDefault="004C5CBA" w:rsidP="002C2382">
      <w:pPr>
        <w:rPr>
          <w:rFonts w:ascii="Times" w:hAnsi="Times"/>
        </w:rPr>
      </w:pPr>
      <w:r>
        <w:rPr>
          <w:rFonts w:ascii="Times" w:hAnsi="Times"/>
        </w:rPr>
        <w:t xml:space="preserve">There are also notable differences in the makeups of each sample. In particular, unlike the distinction between voters and non-voters, gender differences appear to be more pronounced, with women making up a much greater share of Democrat voters versus Independent or Republican. Democrat voters also tend to be more highly educated, and Republicans and Democrats have higher </w:t>
      </w:r>
      <w:r w:rsidR="009E7D6A">
        <w:rPr>
          <w:rFonts w:ascii="Times" w:hAnsi="Times"/>
        </w:rPr>
        <w:t>family incomes on average in comparison to Independent voters. Unsurprisingly, ideology is clearly associated with party preference, with Democrat voters identifying towards the liberal end of the spectrum, and Republicans and Independents towards the conservative end.</w:t>
      </w:r>
      <w:r w:rsidR="00016AEF">
        <w:rPr>
          <w:rFonts w:ascii="Times" w:hAnsi="Times"/>
        </w:rPr>
        <w:t xml:space="preserve"> Republican voters are approximately 4.48 years older than Democrat voters, who are in turn 2.67 years older than Independents, on average in this sample. </w:t>
      </w:r>
    </w:p>
    <w:p w14:paraId="4FAC5AFE" w14:textId="222BA328" w:rsidR="002C2382" w:rsidRDefault="002C2382" w:rsidP="002C2382"/>
    <w:p w14:paraId="7F1F0A0C" w14:textId="68AF96AA" w:rsidR="002C2382" w:rsidRDefault="0058357A" w:rsidP="002C2382">
      <w:r>
        <w:rPr>
          <w:noProof/>
        </w:rPr>
        <w:drawing>
          <wp:inline distT="0" distB="0" distL="0" distR="0" wp14:anchorId="3333DC3D" wp14:editId="135F5862">
            <wp:extent cx="5943600" cy="127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2 at 4.12.5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p w14:paraId="50EA634D" w14:textId="40CED5D2" w:rsidR="002C2382" w:rsidRDefault="002C2382" w:rsidP="002C2382"/>
    <w:p w14:paraId="59EDA231" w14:textId="635080EE" w:rsidR="00835F9C" w:rsidRPr="00835F9C" w:rsidRDefault="00835F9C" w:rsidP="002C2382">
      <w:pPr>
        <w:rPr>
          <w:rFonts w:ascii="Times" w:hAnsi="Times"/>
          <w:color w:val="FF0000"/>
        </w:rPr>
      </w:pPr>
      <w:r>
        <w:rPr>
          <w:rFonts w:ascii="Times" w:hAnsi="Times"/>
          <w:color w:val="FF0000"/>
        </w:rPr>
        <w:t>Compare to electorate at large</w:t>
      </w:r>
      <w:r w:rsidR="00F93C6C">
        <w:rPr>
          <w:rFonts w:ascii="Times" w:hAnsi="Times"/>
          <w:color w:val="FF0000"/>
        </w:rPr>
        <w:t xml:space="preserve"> and back up why comparing on these variables</w:t>
      </w:r>
    </w:p>
    <w:p w14:paraId="6F8C12CE" w14:textId="77777777" w:rsidR="0058357A" w:rsidRDefault="0058357A" w:rsidP="002C2382"/>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6DFC3E9D" w14:textId="2DCFB0F5" w:rsidR="005727B5"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One advantage of this research in comparison to prior studies is the ability to leverage query data from other outlets besides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while Google is the market leader (comprising 54% of the searches in this dataset), Bing in particular makes up a significant portion of the other queries, at 40%.</w:t>
      </w:r>
    </w:p>
    <w:p w14:paraId="0009E6BF" w14:textId="77777777" w:rsidR="005727B5" w:rsidRDefault="005727B5" w:rsidP="004F3209">
      <w:pPr>
        <w:jc w:val="both"/>
        <w:rPr>
          <w:rFonts w:ascii="Times" w:hAnsi="Times"/>
        </w:rPr>
      </w:pPr>
    </w:p>
    <w:p w14:paraId="36499C2C" w14:textId="15A46505" w:rsidR="005727B5" w:rsidRDefault="005727B5" w:rsidP="004F3209">
      <w:pPr>
        <w:jc w:val="both"/>
        <w:rPr>
          <w:rFonts w:ascii="Times" w:hAnsi="Times"/>
        </w:rPr>
      </w:pPr>
      <w:r>
        <w:rPr>
          <w:rFonts w:ascii="Times" w:hAnsi="Times"/>
          <w:noProof/>
        </w:rPr>
        <w:drawing>
          <wp:inline distT="0" distB="0" distL="0" distR="0" wp14:anchorId="4E24A137" wp14:editId="515A70C0">
            <wp:extent cx="5943600" cy="1684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3 at 3.47.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p w14:paraId="6DE98412" w14:textId="77777777" w:rsidR="000243B2" w:rsidRDefault="00285FAD" w:rsidP="004F3209">
      <w:pPr>
        <w:jc w:val="both"/>
        <w:rPr>
          <w:rFonts w:ascii="Times" w:hAnsi="Times"/>
        </w:rPr>
      </w:pPr>
      <w:r>
        <w:rPr>
          <w:rFonts w:ascii="Times" w:hAnsi="Times"/>
        </w:rPr>
        <w:t>Demographically, Bing and Google users are similar in terms of gender balance, education, and age, though Google users have higher incomes and tend to be more liberal ideologically in this dataset. The other providers include DuckDuckGo, Yahoo!, and “Other,” which is composed of all searches from AOL and less common platforms. The audiences for these platforms also vary considerably. For example, DuckDuckGo users are primarily male, with lower levels of education and more right-wing ideology, and are much older than Bing and Google users. Yahoo! users are similar in this dataset, though with lower levels of education, higher income, and more centrist ideology.</w:t>
      </w: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353CFDAC" w:rsidR="00285FAD" w:rsidRDefault="00551760" w:rsidP="004F3209">
      <w:pPr>
        <w:jc w:val="both"/>
        <w:rPr>
          <w:rFonts w:ascii="Times" w:hAnsi="Times"/>
        </w:rPr>
      </w:pPr>
      <w:r>
        <w:rPr>
          <w:rFonts w:ascii="Times" w:hAnsi="Times"/>
          <w:noProof/>
        </w:rPr>
        <w:lastRenderedPageBreak/>
        <w:drawing>
          <wp:inline distT="0" distB="0" distL="0" distR="0" wp14:anchorId="5D72F568" wp14:editId="605EF07E">
            <wp:extent cx="5943600" cy="275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03 at 4.08.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15B2CB36" w:rsidR="00551760" w:rsidRDefault="00551760" w:rsidP="004F3209">
      <w:pPr>
        <w:jc w:val="both"/>
        <w:rPr>
          <w:rFonts w:ascii="Times" w:hAnsi="Times"/>
        </w:rPr>
      </w:pPr>
      <w:r>
        <w:rPr>
          <w:rFonts w:ascii="Times" w:hAnsi="Times"/>
        </w:rPr>
        <w:t xml:space="preserve">There are notable partisan differences on this metric, with Democrats having the highest mean number of searches (over 400 per person), closely followed by Republicans. There is a notable drop with non-voters having less than 200 search queries on average per person in total, and an even further drop for Independents (with fewer than 100). </w:t>
      </w:r>
    </w:p>
    <w:p w14:paraId="072AA200" w14:textId="2D6C5F62" w:rsidR="00551760" w:rsidRDefault="00551760" w:rsidP="004F3209">
      <w:pPr>
        <w:jc w:val="both"/>
        <w:rPr>
          <w:rFonts w:ascii="Times" w:hAnsi="Times"/>
        </w:rPr>
      </w:pPr>
      <w:r>
        <w:rPr>
          <w:rFonts w:ascii="Times" w:hAnsi="Times"/>
          <w:noProof/>
        </w:rPr>
        <w:drawing>
          <wp:inline distT="0" distB="0" distL="0" distR="0" wp14:anchorId="68E4CC60" wp14:editId="77CDCE33">
            <wp:extent cx="5943600" cy="276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03 at 4.14.2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31CD231B" w:rsidR="00551760" w:rsidRPr="00551760" w:rsidRDefault="00551760" w:rsidP="004F3209">
      <w:pPr>
        <w:jc w:val="both"/>
        <w:rPr>
          <w:rFonts w:ascii="Times" w:hAnsi="Times"/>
        </w:rPr>
      </w:pPr>
      <w:r>
        <w:rPr>
          <w:rFonts w:ascii="Times" w:hAnsi="Times"/>
          <w:b/>
        </w:rPr>
        <w:t>SEARCH LENGTH</w:t>
      </w:r>
      <w:r>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7AF9C33B" w:rsidR="005727B5" w:rsidRDefault="009962E6" w:rsidP="004F3209">
      <w:pPr>
        <w:jc w:val="both"/>
        <w:rPr>
          <w:rFonts w:ascii="Times" w:hAnsi="Times"/>
        </w:rPr>
      </w:pPr>
      <w:r>
        <w:rPr>
          <w:rFonts w:ascii="Times" w:hAnsi="Times"/>
          <w:noProof/>
        </w:rPr>
        <w:lastRenderedPageBreak/>
        <w:drawing>
          <wp:inline distT="0" distB="0" distL="0" distR="0" wp14:anchorId="5AC3AF75" wp14:editId="32BB583D">
            <wp:extent cx="5943600" cy="2752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03 at 4.19.4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3B57C769" w:rsidR="00F93C6C" w:rsidRDefault="0063246E" w:rsidP="004F3209">
      <w:pPr>
        <w:jc w:val="both"/>
        <w:rPr>
          <w:rFonts w:ascii="Times" w:hAnsi="Times"/>
        </w:rPr>
      </w:pPr>
      <w:r>
        <w:rPr>
          <w:rFonts w:ascii="Times" w:hAnsi="Times"/>
        </w:rPr>
        <w:t>There is a significant left-hand tail, though more minor variation on a partisan basis. Despite having the fewest total queries, mean query length is the longest for Independent voters at just over 30 characters. Republicans lead Democrats in terms of query length, but not by a considerable amount. Finally, non-voters have the shortest mean query length at under 20 characters.</w:t>
      </w:r>
    </w:p>
    <w:p w14:paraId="14D3D81E" w14:textId="3189CA95" w:rsidR="00F93C6C" w:rsidRDefault="0063246E" w:rsidP="004F3209">
      <w:pPr>
        <w:jc w:val="both"/>
        <w:rPr>
          <w:rFonts w:ascii="Times" w:hAnsi="Times"/>
        </w:rPr>
      </w:pPr>
      <w:r>
        <w:rPr>
          <w:rFonts w:ascii="Times" w:hAnsi="Times"/>
          <w:noProof/>
        </w:rPr>
        <w:drawing>
          <wp:inline distT="0" distB="0" distL="0" distR="0" wp14:anchorId="70299AD0" wp14:editId="79FD7906">
            <wp:extent cx="5943600" cy="2767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03 at 4.21.1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14:paraId="0E2D7BE4" w14:textId="01F6916E" w:rsidR="0063246E" w:rsidRDefault="0063246E" w:rsidP="004F3209">
      <w:pPr>
        <w:jc w:val="both"/>
        <w:rPr>
          <w:rFonts w:ascii="Times" w:hAnsi="Times"/>
        </w:rPr>
      </w:pPr>
    </w:p>
    <w:p w14:paraId="6B35D3E4" w14:textId="4129F107"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 Independents in this dataset often search for “wiki,” location terms, and “men/man,” while “</w:t>
      </w:r>
      <w:proofErr w:type="spellStart"/>
      <w:r w:rsidR="006E4CDF">
        <w:rPr>
          <w:rFonts w:ascii="Times" w:hAnsi="Times"/>
        </w:rPr>
        <w:t>imdb</w:t>
      </w:r>
      <w:proofErr w:type="spellEnd"/>
      <w:r w:rsidR="006E4CDF">
        <w:rPr>
          <w:rFonts w:ascii="Times" w:hAnsi="Times"/>
        </w:rPr>
        <w:t xml:space="preserve">” only features in the top terms for non-voters. </w:t>
      </w:r>
    </w:p>
    <w:p w14:paraId="6856423E" w14:textId="4AD32933"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r>
        <w:rPr>
          <w:rFonts w:ascii="Times" w:hAnsi="Times"/>
          <w:noProof/>
        </w:rPr>
        <w:lastRenderedPageBreak/>
        <w:drawing>
          <wp:inline distT="0" distB="0" distL="0" distR="0" wp14:anchorId="09CCC32C" wp14:editId="25756B5B">
            <wp:extent cx="5943600" cy="2765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03 at 4.24.07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r>
        <w:rPr>
          <w:rFonts w:ascii="Times" w:hAnsi="Times"/>
          <w:noProof/>
        </w:rPr>
        <w:drawing>
          <wp:inline distT="0" distB="0" distL="0" distR="0" wp14:anchorId="64AD0865" wp14:editId="71885856">
            <wp:extent cx="5943600" cy="2767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03 at 4.24.22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339827DB" w14:textId="6F3DB9FF" w:rsidR="005727B5" w:rsidRDefault="005727B5" w:rsidP="004F3209">
      <w:pPr>
        <w:jc w:val="both"/>
        <w:rPr>
          <w:rFonts w:ascii="Times" w:hAnsi="Times"/>
        </w:rPr>
      </w:pPr>
    </w:p>
    <w:p w14:paraId="2E1569BE" w14:textId="654D0FE0" w:rsidR="005727B5" w:rsidRPr="009F3BBE" w:rsidRDefault="009F3BBE" w:rsidP="004F3209">
      <w:pPr>
        <w:jc w:val="both"/>
        <w:rPr>
          <w:rFonts w:ascii="Times" w:hAnsi="Times"/>
        </w:rPr>
      </w:pPr>
      <w:r>
        <w:rPr>
          <w:rFonts w:ascii="Times" w:hAnsi="Times"/>
          <w:b/>
        </w:rPr>
        <w:t xml:space="preserve">SENTIMENT </w:t>
      </w:r>
      <w:r>
        <w:rPr>
          <w:rFonts w:ascii="Times" w:hAnsi="Times"/>
        </w:rPr>
        <w:t xml:space="preserve">Beyond merely the terms used, </w:t>
      </w:r>
      <w:r w:rsidR="00332EE6">
        <w:rPr>
          <w:rFonts w:ascii="Times" w:hAnsi="Times"/>
        </w:rPr>
        <w:t xml:space="preserve">the sentiment associated with each word can be used to gain a fuller understanding of the intention behind a query. To begin, all users’ queries were analyzed using the Bing sentiment library </w:t>
      </w:r>
      <w:r w:rsidR="00332EE6">
        <w:rPr>
          <w:rFonts w:ascii="Times" w:hAnsi="Times"/>
        </w:rPr>
        <w:fldChar w:fldCharType="begin" w:fldLock="1"/>
      </w:r>
      <w:r w:rsidR="00DC40C7">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sidR="00332EE6">
        <w:rPr>
          <w:rFonts w:ascii="Times" w:hAnsi="Times"/>
        </w:rPr>
        <w:fldChar w:fldCharType="separate"/>
      </w:r>
      <w:r w:rsidR="00332EE6" w:rsidRPr="00332EE6">
        <w:rPr>
          <w:rFonts w:ascii="Times" w:hAnsi="Times"/>
          <w:noProof/>
        </w:rPr>
        <w:t>(B. Lui, n.d.)</w:t>
      </w:r>
      <w:r w:rsidR="00332EE6">
        <w:rPr>
          <w:rFonts w:ascii="Times" w:hAnsi="Times"/>
        </w:rPr>
        <w:fldChar w:fldCharType="end"/>
      </w:r>
      <w:r w:rsidR="00332EE6">
        <w:rPr>
          <w:rFonts w:ascii="Times" w:hAnsi="Times"/>
        </w:rPr>
        <w:t xml:space="preserve">, which simply codes a word as positive or negative. Negative words were then coded 0, and positive words 1, such that higher sentiment scores indicate more positivity. The resulting </w:t>
      </w:r>
      <w:r w:rsidR="000D7565">
        <w:rPr>
          <w:rFonts w:ascii="Times" w:hAnsi="Times"/>
        </w:rPr>
        <w:t xml:space="preserve">scores were </w:t>
      </w:r>
      <w:r w:rsidR="0090774A">
        <w:rPr>
          <w:rFonts w:ascii="Times" w:hAnsi="Times"/>
        </w:rPr>
        <w:t xml:space="preserve">then averaged for each partisan grouping across all searches. The findings show that minor variation does exist, with non-voters utilizing the most positive query terms on average, followed by Republicans and Democrats at approximately the same, and finally Independents with the most negative sentiment score, on average. </w:t>
      </w:r>
    </w:p>
    <w:p w14:paraId="664D8650" w14:textId="47268640" w:rsidR="00F41764" w:rsidRDefault="00F41764" w:rsidP="004F3209">
      <w:pPr>
        <w:jc w:val="both"/>
        <w:rPr>
          <w:rFonts w:ascii="Times" w:hAnsi="Times"/>
        </w:rPr>
      </w:pPr>
    </w:p>
    <w:p w14:paraId="2BF92143" w14:textId="77777777" w:rsidR="00F41764" w:rsidRDefault="00F41764" w:rsidP="004F3209">
      <w:pPr>
        <w:jc w:val="both"/>
        <w:rPr>
          <w:rFonts w:ascii="Times" w:hAnsi="Times"/>
        </w:rPr>
      </w:pPr>
    </w:p>
    <w:p w14:paraId="142ACC49" w14:textId="05D641A1" w:rsidR="004F3209" w:rsidRPr="00780638" w:rsidRDefault="00332EE6" w:rsidP="002572D5">
      <w:pPr>
        <w:jc w:val="both"/>
        <w:rPr>
          <w:rFonts w:ascii="Times" w:hAnsi="Times"/>
        </w:rPr>
      </w:pPr>
      <w:r>
        <w:rPr>
          <w:rFonts w:ascii="Times" w:hAnsi="Times"/>
          <w:noProof/>
        </w:rPr>
        <w:lastRenderedPageBreak/>
        <w:drawing>
          <wp:inline distT="0" distB="0" distL="0" distR="0" wp14:anchorId="07A07709" wp14:editId="43080E3D">
            <wp:extent cx="5943600" cy="2765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1-03 at 4.31.08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5AB577A3" w14:textId="425E4B80" w:rsidR="001060AD" w:rsidRDefault="001060AD" w:rsidP="002572D5">
      <w:pPr>
        <w:jc w:val="both"/>
        <w:rPr>
          <w:rFonts w:ascii="Times" w:hAnsi="Times"/>
        </w:rPr>
      </w:pPr>
    </w:p>
    <w:p w14:paraId="36834C0F" w14:textId="4FC02AC2" w:rsidR="00DC40C7" w:rsidRDefault="00DC40C7" w:rsidP="002572D5">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1A353AE8" w14:textId="5E541E97" w:rsidR="00DC40C7" w:rsidRDefault="00DC40C7" w:rsidP="002572D5">
      <w:pPr>
        <w:jc w:val="both"/>
        <w:rPr>
          <w:rFonts w:ascii="Times" w:hAnsi="Times"/>
        </w:rPr>
      </w:pPr>
      <w:r>
        <w:rPr>
          <w:rFonts w:ascii="Times" w:hAnsi="Times"/>
          <w:noProof/>
        </w:rPr>
        <w:drawing>
          <wp:inline distT="0" distB="0" distL="0" distR="0" wp14:anchorId="2CAFE97D" wp14:editId="471DD3D3">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5C2677FF" w14:textId="090C15C9" w:rsidR="00DC40C7" w:rsidRDefault="00DC40C7" w:rsidP="002572D5">
      <w:pPr>
        <w:jc w:val="both"/>
        <w:rPr>
          <w:rFonts w:ascii="Times" w:hAnsi="Times"/>
        </w:rPr>
      </w:pPr>
      <w:r>
        <w:rPr>
          <w:rFonts w:ascii="Times" w:hAnsi="Times"/>
          <w:noProof/>
        </w:rPr>
        <w:lastRenderedPageBreak/>
        <w:drawing>
          <wp:inline distT="0" distB="0" distL="0" distR="0" wp14:anchorId="76C75962" wp14:editId="44B258F9">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2FAC84E1" w14:textId="77777777" w:rsidR="00DC40C7" w:rsidRDefault="00DC40C7" w:rsidP="002572D5">
      <w:pPr>
        <w:jc w:val="both"/>
        <w:rPr>
          <w:rFonts w:ascii="Times" w:hAnsi="Times"/>
        </w:rPr>
      </w:pPr>
    </w:p>
    <w:p w14:paraId="7E5E6247" w14:textId="30F18D3A" w:rsidR="00585E36" w:rsidRDefault="00DC40C7" w:rsidP="002572D5">
      <w:pPr>
        <w:jc w:val="both"/>
        <w:rPr>
          <w:rFonts w:ascii="Times" w:hAnsi="Times"/>
        </w:rPr>
      </w:pPr>
      <w:r>
        <w:rPr>
          <w:rFonts w:ascii="Times" w:hAnsi="Times"/>
          <w:noProof/>
        </w:rPr>
        <w:drawing>
          <wp:inline distT="0" distB="0" distL="0" distR="0" wp14:anchorId="0749DBE6" wp14:editId="75ED7013">
            <wp:extent cx="5943600" cy="2740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1-03 at 4.45.01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3DC3BB85" w14:textId="0EC4C308" w:rsidR="00DC40C7" w:rsidRDefault="00DC40C7" w:rsidP="002572D5">
      <w:pPr>
        <w:jc w:val="both"/>
        <w:rPr>
          <w:rFonts w:ascii="Times" w:hAnsi="Times"/>
        </w:rPr>
      </w:pPr>
    </w:p>
    <w:p w14:paraId="59CEA839" w14:textId="65E26EEA" w:rsidR="00DC40C7" w:rsidRDefault="00DC40C7">
      <w:pPr>
        <w:rPr>
          <w:rFonts w:ascii="Times" w:hAnsi="Times"/>
        </w:rPr>
      </w:pPr>
      <w:r>
        <w:rPr>
          <w:rFonts w:ascii="Times" w:hAnsi="Times"/>
          <w:noProof/>
        </w:rPr>
        <w:lastRenderedPageBreak/>
        <w:drawing>
          <wp:inline distT="0" distB="0" distL="0" distR="0" wp14:anchorId="74182A43" wp14:editId="00CE8B5B">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3AC5FB86" w14:textId="50A3AE38" w:rsidR="00DC40C7" w:rsidRDefault="00DC40C7">
      <w:pPr>
        <w:rPr>
          <w:rFonts w:ascii="Times" w:hAnsi="Times"/>
        </w:rPr>
      </w:pPr>
    </w:p>
    <w:p w14:paraId="325F8498" w14:textId="0A332857" w:rsidR="00DC40C7" w:rsidRPr="00DC40C7" w:rsidRDefault="00DC40C7">
      <w:pPr>
        <w:rPr>
          <w:rFonts w:ascii="Times" w:hAnsi="Times"/>
          <w:color w:val="FF0000"/>
        </w:rPr>
      </w:pPr>
      <w:r w:rsidRPr="00DC40C7">
        <w:rPr>
          <w:rFonts w:ascii="Times" w:hAnsi="Times"/>
          <w:color w:val="FF0000"/>
        </w:rPr>
        <w:t>Sentiment analysis by sentence?</w:t>
      </w:r>
    </w:p>
    <w:p w14:paraId="679F3C16" w14:textId="77777777" w:rsidR="00DC40C7" w:rsidRPr="00DC40C7" w:rsidRDefault="00DC40C7">
      <w:pPr>
        <w:rPr>
          <w:rFonts w:ascii="Times" w:hAnsi="Times"/>
        </w:rPr>
      </w:pPr>
    </w:p>
    <w:p w14:paraId="10A0B3A4" w14:textId="77777777" w:rsidR="00DC40C7" w:rsidRDefault="00DC40C7">
      <w:pPr>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bookmarkStart w:id="0" w:name="_GoBack"/>
      <w:bookmarkEnd w:id="0"/>
    </w:p>
    <w:p w14:paraId="049485AE" w14:textId="7BD91C5D" w:rsidR="00DC40C7" w:rsidRPr="00DC40C7" w:rsidRDefault="00DC40C7" w:rsidP="00DC40C7">
      <w:pPr>
        <w:pStyle w:val="ListParagraph"/>
        <w:numPr>
          <w:ilvl w:val="0"/>
          <w:numId w:val="8"/>
        </w:numPr>
        <w:rPr>
          <w:rFonts w:ascii="Times" w:eastAsiaTheme="majorEastAsia" w:hAnsi="Times" w:cstheme="majorBidi"/>
          <w:color w:val="2F5496" w:themeColor="accent1" w:themeShade="BF"/>
          <w:sz w:val="32"/>
          <w:szCs w:val="32"/>
        </w:rPr>
      </w:pPr>
      <w:r w:rsidRPr="00DC40C7">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7F48297C"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0CA4FE39" w14:textId="77777777" w:rsidR="002C2382" w:rsidRPr="002C2382" w:rsidRDefault="002C2382" w:rsidP="002C2382"/>
    <w:p w14:paraId="38450DC8" w14:textId="77777777" w:rsidR="00585E36" w:rsidRPr="001060AD" w:rsidRDefault="00585E36" w:rsidP="002572D5">
      <w:pPr>
        <w:jc w:val="both"/>
        <w:rPr>
          <w:rFonts w:ascii="Times" w:hAnsi="Times"/>
        </w:rPr>
      </w:pPr>
    </w:p>
    <w:p w14:paraId="67BB5EF2" w14:textId="1A3652E4" w:rsidR="00A83CDE" w:rsidRDefault="00A83CDE" w:rsidP="002572D5">
      <w:pPr>
        <w:jc w:val="both"/>
        <w:rPr>
          <w:rFonts w:ascii="Times" w:hAnsi="Times"/>
        </w:rPr>
      </w:pPr>
    </w:p>
    <w:p w14:paraId="3116C620" w14:textId="77777777" w:rsidR="00A83CDE" w:rsidRDefault="00A83CDE" w:rsidP="002572D5">
      <w:pPr>
        <w:jc w:val="both"/>
        <w:rPr>
          <w:rFonts w:ascii="Times" w:hAnsi="Times"/>
        </w:rPr>
      </w:pPr>
    </w:p>
    <w:p w14:paraId="2EB5ACAE" w14:textId="77777777" w:rsidR="008D133A" w:rsidRDefault="008D133A" w:rsidP="002572D5">
      <w:pPr>
        <w:jc w:val="both"/>
        <w:rPr>
          <w:rFonts w:ascii="Times" w:hAnsi="Times"/>
        </w:rPr>
      </w:pPr>
    </w:p>
    <w:p w14:paraId="5CCBB29E" w14:textId="21C1E925" w:rsidR="00EF0F9D" w:rsidRPr="00B479CA" w:rsidRDefault="00652D85" w:rsidP="002572D5">
      <w:pPr>
        <w:jc w:val="both"/>
        <w:rPr>
          <w:rFonts w:ascii="Times" w:hAnsi="Times"/>
        </w:rPr>
      </w:pPr>
      <w:r>
        <w:rPr>
          <w:rFonts w:ascii="Times" w:hAnsi="Times"/>
        </w:rPr>
        <w:t xml:space="preserve"> </w:t>
      </w:r>
    </w:p>
    <w:sectPr w:rsidR="00EF0F9D" w:rsidRPr="00B479CA" w:rsidSect="00361172">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356CA" w14:textId="77777777" w:rsidR="00D145A1" w:rsidRDefault="00D145A1" w:rsidP="00033C77">
      <w:r>
        <w:separator/>
      </w:r>
    </w:p>
  </w:endnote>
  <w:endnote w:type="continuationSeparator" w:id="0">
    <w:p w14:paraId="04CAD169" w14:textId="77777777" w:rsidR="00D145A1" w:rsidRDefault="00D145A1"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Content>
      <w:p w14:paraId="2E0E7196" w14:textId="5789A748" w:rsidR="000D7565" w:rsidRDefault="000D7565"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0D7565" w:rsidRDefault="000D7565"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Content>
      <w:p w14:paraId="5ED08E24" w14:textId="1391E7FB" w:rsidR="000D7565" w:rsidRPr="00770D7E" w:rsidRDefault="000D7565"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0D7565" w:rsidRPr="00770D7E" w:rsidRDefault="000D7565"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485A" w14:textId="77777777" w:rsidR="00D145A1" w:rsidRDefault="00D145A1" w:rsidP="00033C77">
      <w:r>
        <w:separator/>
      </w:r>
    </w:p>
  </w:footnote>
  <w:footnote w:type="continuationSeparator" w:id="0">
    <w:p w14:paraId="702D885E" w14:textId="77777777" w:rsidR="00D145A1" w:rsidRDefault="00D145A1"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6AEF"/>
    <w:rsid w:val="000243B2"/>
    <w:rsid w:val="00033C77"/>
    <w:rsid w:val="00036076"/>
    <w:rsid w:val="00066CBC"/>
    <w:rsid w:val="00077540"/>
    <w:rsid w:val="0009779B"/>
    <w:rsid w:val="000A34E5"/>
    <w:rsid w:val="000C3884"/>
    <w:rsid w:val="000D7565"/>
    <w:rsid w:val="000E1E9E"/>
    <w:rsid w:val="001060AD"/>
    <w:rsid w:val="001078A2"/>
    <w:rsid w:val="0011316B"/>
    <w:rsid w:val="00144D65"/>
    <w:rsid w:val="0019778F"/>
    <w:rsid w:val="001A3CAC"/>
    <w:rsid w:val="001C009E"/>
    <w:rsid w:val="001D0EEA"/>
    <w:rsid w:val="001F00E7"/>
    <w:rsid w:val="001F0159"/>
    <w:rsid w:val="001F2918"/>
    <w:rsid w:val="00200CDA"/>
    <w:rsid w:val="00216C88"/>
    <w:rsid w:val="00224263"/>
    <w:rsid w:val="002515BD"/>
    <w:rsid w:val="00253DF0"/>
    <w:rsid w:val="002541AD"/>
    <w:rsid w:val="002572D5"/>
    <w:rsid w:val="00275861"/>
    <w:rsid w:val="00285FAD"/>
    <w:rsid w:val="002B3EFE"/>
    <w:rsid w:val="002B4D45"/>
    <w:rsid w:val="002C2382"/>
    <w:rsid w:val="002E4A6B"/>
    <w:rsid w:val="00332EE6"/>
    <w:rsid w:val="00345D81"/>
    <w:rsid w:val="00357033"/>
    <w:rsid w:val="00361172"/>
    <w:rsid w:val="00381BD3"/>
    <w:rsid w:val="00390F0E"/>
    <w:rsid w:val="00392F72"/>
    <w:rsid w:val="003C15D2"/>
    <w:rsid w:val="003E7B00"/>
    <w:rsid w:val="00400441"/>
    <w:rsid w:val="004157B1"/>
    <w:rsid w:val="00416012"/>
    <w:rsid w:val="00424E80"/>
    <w:rsid w:val="004311E8"/>
    <w:rsid w:val="00432ACC"/>
    <w:rsid w:val="00450E6B"/>
    <w:rsid w:val="00465840"/>
    <w:rsid w:val="004745C3"/>
    <w:rsid w:val="00493CBE"/>
    <w:rsid w:val="00497843"/>
    <w:rsid w:val="004A0131"/>
    <w:rsid w:val="004C27F5"/>
    <w:rsid w:val="004C5CBA"/>
    <w:rsid w:val="004C6DFD"/>
    <w:rsid w:val="004E1BDC"/>
    <w:rsid w:val="004F3209"/>
    <w:rsid w:val="0051056B"/>
    <w:rsid w:val="005137EE"/>
    <w:rsid w:val="00551760"/>
    <w:rsid w:val="00552D5D"/>
    <w:rsid w:val="0055311A"/>
    <w:rsid w:val="005727B5"/>
    <w:rsid w:val="0058357A"/>
    <w:rsid w:val="00585E36"/>
    <w:rsid w:val="005958D8"/>
    <w:rsid w:val="00595B0D"/>
    <w:rsid w:val="005A4419"/>
    <w:rsid w:val="005D2C0D"/>
    <w:rsid w:val="005F62F3"/>
    <w:rsid w:val="005F787E"/>
    <w:rsid w:val="005F7FD3"/>
    <w:rsid w:val="006014FE"/>
    <w:rsid w:val="00607C3D"/>
    <w:rsid w:val="0063065E"/>
    <w:rsid w:val="0063246E"/>
    <w:rsid w:val="0064275E"/>
    <w:rsid w:val="00652D85"/>
    <w:rsid w:val="006721A7"/>
    <w:rsid w:val="006A4E3D"/>
    <w:rsid w:val="006D0F66"/>
    <w:rsid w:val="006E4985"/>
    <w:rsid w:val="006E4CDF"/>
    <w:rsid w:val="006E7979"/>
    <w:rsid w:val="006F7659"/>
    <w:rsid w:val="00704E42"/>
    <w:rsid w:val="007526EF"/>
    <w:rsid w:val="00770D7E"/>
    <w:rsid w:val="00772CBF"/>
    <w:rsid w:val="007751E9"/>
    <w:rsid w:val="00780638"/>
    <w:rsid w:val="0078601C"/>
    <w:rsid w:val="0079488C"/>
    <w:rsid w:val="007B17CD"/>
    <w:rsid w:val="007D5AB8"/>
    <w:rsid w:val="007D5B55"/>
    <w:rsid w:val="007E01D5"/>
    <w:rsid w:val="00801C1C"/>
    <w:rsid w:val="00823C2D"/>
    <w:rsid w:val="00835F9C"/>
    <w:rsid w:val="00844F44"/>
    <w:rsid w:val="00855EDF"/>
    <w:rsid w:val="008726B9"/>
    <w:rsid w:val="008B4F33"/>
    <w:rsid w:val="008D133A"/>
    <w:rsid w:val="008D6EE6"/>
    <w:rsid w:val="00900B1E"/>
    <w:rsid w:val="009039E5"/>
    <w:rsid w:val="0090774A"/>
    <w:rsid w:val="009110AC"/>
    <w:rsid w:val="0091489C"/>
    <w:rsid w:val="0093324C"/>
    <w:rsid w:val="0095504D"/>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44A84"/>
    <w:rsid w:val="00A52ED3"/>
    <w:rsid w:val="00A70DF6"/>
    <w:rsid w:val="00A8020D"/>
    <w:rsid w:val="00A83CDE"/>
    <w:rsid w:val="00AA4BD6"/>
    <w:rsid w:val="00AD1EA5"/>
    <w:rsid w:val="00AE7233"/>
    <w:rsid w:val="00B0087B"/>
    <w:rsid w:val="00B2125E"/>
    <w:rsid w:val="00B2668A"/>
    <w:rsid w:val="00B37192"/>
    <w:rsid w:val="00B479CA"/>
    <w:rsid w:val="00B548D0"/>
    <w:rsid w:val="00B717AA"/>
    <w:rsid w:val="00B77B09"/>
    <w:rsid w:val="00B974BB"/>
    <w:rsid w:val="00BE409F"/>
    <w:rsid w:val="00BE7638"/>
    <w:rsid w:val="00C02750"/>
    <w:rsid w:val="00C22D41"/>
    <w:rsid w:val="00C32089"/>
    <w:rsid w:val="00C350F6"/>
    <w:rsid w:val="00C37970"/>
    <w:rsid w:val="00C41E0E"/>
    <w:rsid w:val="00C42D34"/>
    <w:rsid w:val="00C61F10"/>
    <w:rsid w:val="00C64C0D"/>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6935"/>
    <w:rsid w:val="00D96961"/>
    <w:rsid w:val="00DA4DFF"/>
    <w:rsid w:val="00DB4A65"/>
    <w:rsid w:val="00DC40C7"/>
    <w:rsid w:val="00DF204D"/>
    <w:rsid w:val="00E124FB"/>
    <w:rsid w:val="00E32FEC"/>
    <w:rsid w:val="00E67A00"/>
    <w:rsid w:val="00E67A0A"/>
    <w:rsid w:val="00E9300D"/>
    <w:rsid w:val="00E95941"/>
    <w:rsid w:val="00EA0880"/>
    <w:rsid w:val="00EB581C"/>
    <w:rsid w:val="00EC7D5E"/>
    <w:rsid w:val="00EE63EC"/>
    <w:rsid w:val="00EF0F9D"/>
    <w:rsid w:val="00F04B11"/>
    <w:rsid w:val="00F25F8B"/>
    <w:rsid w:val="00F31C30"/>
    <w:rsid w:val="00F41764"/>
    <w:rsid w:val="00F43F2D"/>
    <w:rsid w:val="00F50FAA"/>
    <w:rsid w:val="00F93C6C"/>
    <w:rsid w:val="00FB032A"/>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B8409-C4FB-D746-9D49-7376479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15448</Words>
  <Characters>88059</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145</cp:revision>
  <dcterms:created xsi:type="dcterms:W3CDTF">2019-12-26T11:35:00Z</dcterms:created>
  <dcterms:modified xsi:type="dcterms:W3CDTF">2020-01-04T14:13:00Z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