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AD" w:rsidRDefault="00B357AD" w:rsidP="00B357AD">
      <w:pPr>
        <w:pStyle w:val="Heading1"/>
        <w:numPr>
          <w:ilvl w:val="0"/>
          <w:numId w:val="0"/>
        </w:numPr>
      </w:pPr>
      <w:bookmarkStart w:id="0" w:name="_Toc506980031"/>
      <w:r>
        <w:t>A</w:t>
      </w:r>
      <w:r w:rsidRPr="00EF7781">
        <w:t xml:space="preserve">ppendix </w:t>
      </w:r>
      <w:r>
        <w:t>A</w:t>
      </w:r>
      <w:r>
        <w:t>: Permissions</w:t>
      </w:r>
      <w:bookmarkEnd w:id="0"/>
    </w:p>
    <w:p w:rsidR="00B357AD" w:rsidRPr="009828E1" w:rsidRDefault="00B357AD" w:rsidP="00B357AD">
      <w:pPr>
        <w:pStyle w:val="Caption"/>
      </w:pPr>
      <w:r w:rsidRPr="001B2CFE">
        <w:t xml:space="preserve">List of </w:t>
      </w:r>
      <w:proofErr w:type="spellStart"/>
      <w:r w:rsidRPr="001B2CFE">
        <w:t>permissioning</w:t>
      </w:r>
      <w:proofErr w:type="spellEnd"/>
      <w:r w:rsidRPr="001B2CFE">
        <w:t xml:space="preserve"> documents relevant to marine sampling in the Commonwealth waters (defined as 3 nm to the EEZ 200 nm and extended continental shelf).</w:t>
      </w:r>
      <w:r>
        <w:t xml:space="preserve"> This list is a guide only, and certainty should be sought from responsible agencies. </w:t>
      </w:r>
      <w:proofErr w:type="spellStart"/>
      <w:r>
        <w:t>DoEE</w:t>
      </w:r>
      <w:proofErr w:type="spellEnd"/>
      <w:r>
        <w:t xml:space="preserve"> = Department of Environment and Energy. Compiled by Melissa Fellows, Dec 2017.</w:t>
      </w:r>
    </w:p>
    <w:tbl>
      <w:tblPr>
        <w:tblW w:w="1587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701"/>
        <w:gridCol w:w="1701"/>
        <w:gridCol w:w="2693"/>
        <w:gridCol w:w="2552"/>
        <w:gridCol w:w="3685"/>
      </w:tblGrid>
      <w:tr w:rsidR="00B357AD" w:rsidRPr="001B2CFE" w:rsidTr="006C1EEF">
        <w:tc>
          <w:tcPr>
            <w:tcW w:w="1844" w:type="dxa"/>
          </w:tcPr>
          <w:p w:rsidR="00B357AD" w:rsidRPr="001B2CFE" w:rsidRDefault="00B357AD" w:rsidP="006C1EEF">
            <w:pPr>
              <w:rPr>
                <w:sz w:val="20"/>
              </w:rPr>
            </w:pPr>
            <w:r w:rsidRPr="001B5767">
              <w:rPr>
                <w:sz w:val="20"/>
              </w:rPr>
              <w:t>Activity</w:t>
            </w:r>
          </w:p>
        </w:tc>
        <w:tc>
          <w:tcPr>
            <w:tcW w:w="1701" w:type="dxa"/>
          </w:tcPr>
          <w:p w:rsidR="00B357AD" w:rsidRPr="001B2CFE" w:rsidRDefault="00B357AD" w:rsidP="006C1EEF">
            <w:pPr>
              <w:rPr>
                <w:sz w:val="20"/>
              </w:rPr>
            </w:pPr>
            <w:r w:rsidRPr="001B2CFE">
              <w:rPr>
                <w:sz w:val="20"/>
              </w:rPr>
              <w:t>Sample type</w:t>
            </w:r>
          </w:p>
        </w:tc>
        <w:tc>
          <w:tcPr>
            <w:tcW w:w="1701" w:type="dxa"/>
          </w:tcPr>
          <w:p w:rsidR="00B357AD" w:rsidRPr="001B2CFE" w:rsidRDefault="00B357AD" w:rsidP="006C1EEF">
            <w:pPr>
              <w:rPr>
                <w:sz w:val="20"/>
              </w:rPr>
            </w:pPr>
            <w:r w:rsidRPr="001B2CFE">
              <w:rPr>
                <w:sz w:val="20"/>
              </w:rPr>
              <w:t>Jurisdiction</w:t>
            </w:r>
          </w:p>
        </w:tc>
        <w:tc>
          <w:tcPr>
            <w:tcW w:w="1701" w:type="dxa"/>
          </w:tcPr>
          <w:p w:rsidR="00B357AD" w:rsidRPr="001B2CFE" w:rsidRDefault="00B357AD" w:rsidP="006C1EEF">
            <w:pPr>
              <w:rPr>
                <w:sz w:val="20"/>
              </w:rPr>
            </w:pPr>
            <w:r w:rsidRPr="001B2CFE">
              <w:rPr>
                <w:sz w:val="20"/>
              </w:rPr>
              <w:t>Responsible agency</w:t>
            </w:r>
          </w:p>
        </w:tc>
        <w:tc>
          <w:tcPr>
            <w:tcW w:w="2693" w:type="dxa"/>
          </w:tcPr>
          <w:p w:rsidR="00B357AD" w:rsidRPr="001B2CFE" w:rsidRDefault="00B357AD" w:rsidP="006C1EEF">
            <w:pPr>
              <w:rPr>
                <w:sz w:val="20"/>
              </w:rPr>
            </w:pPr>
            <w:r w:rsidRPr="001B2CFE">
              <w:rPr>
                <w:sz w:val="20"/>
              </w:rPr>
              <w:t>Legislation/Treaty/</w:t>
            </w:r>
          </w:p>
          <w:p w:rsidR="00B357AD" w:rsidRPr="001B2CFE" w:rsidRDefault="00B357AD" w:rsidP="006C1EEF">
            <w:pPr>
              <w:rPr>
                <w:sz w:val="20"/>
              </w:rPr>
            </w:pPr>
            <w:r w:rsidRPr="001B2CFE">
              <w:rPr>
                <w:sz w:val="20"/>
              </w:rPr>
              <w:t>Documents</w:t>
            </w:r>
          </w:p>
        </w:tc>
        <w:tc>
          <w:tcPr>
            <w:tcW w:w="2552" w:type="dxa"/>
          </w:tcPr>
          <w:p w:rsidR="00B357AD" w:rsidRPr="001B2CFE" w:rsidRDefault="00B357AD" w:rsidP="006C1EEF">
            <w:pPr>
              <w:rPr>
                <w:sz w:val="20"/>
              </w:rPr>
            </w:pPr>
            <w:r w:rsidRPr="001B2CFE">
              <w:rPr>
                <w:sz w:val="20"/>
              </w:rPr>
              <w:t>Requirements for approval</w:t>
            </w:r>
          </w:p>
        </w:tc>
        <w:tc>
          <w:tcPr>
            <w:tcW w:w="3685" w:type="dxa"/>
          </w:tcPr>
          <w:p w:rsidR="00B357AD" w:rsidRPr="001B2CFE" w:rsidRDefault="00B357AD" w:rsidP="006C1EEF">
            <w:pPr>
              <w:rPr>
                <w:sz w:val="20"/>
              </w:rPr>
            </w:pPr>
            <w:r w:rsidRPr="001B2CFE">
              <w:rPr>
                <w:sz w:val="20"/>
              </w:rPr>
              <w:t>Link</w:t>
            </w:r>
          </w:p>
        </w:tc>
      </w:tr>
      <w:tr w:rsidR="00B357AD" w:rsidRPr="001B2CFE" w:rsidTr="006C1EEF">
        <w:tc>
          <w:tcPr>
            <w:tcW w:w="1844" w:type="dxa"/>
            <w:vMerge w:val="restart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Research and monitoring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All activities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Australian Marine Parks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Environment Protection and Biodiversity Conservation Act 1999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(EPBC Act)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Australia Marine Park Management Plans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Authorisation is required for all zones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https://parksaustralia.gov.au/marine/</w:t>
            </w:r>
          </w:p>
        </w:tc>
      </w:tr>
      <w:tr w:rsidR="00B357AD" w:rsidRPr="001B2CFE" w:rsidTr="006C1EEF">
        <w:trPr>
          <w:trHeight w:val="608"/>
        </w:trPr>
        <w:tc>
          <w:tcPr>
            <w:tcW w:w="1844" w:type="dxa"/>
            <w:vMerge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Activities that could have a significant impact on a matter of national environmental significance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Within EEZ and on or in the continental shelf beyond 200nm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EPBC Act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EPBC Act referral 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7" w:history="1">
              <w:r w:rsidRPr="000814C1">
                <w:rPr>
                  <w:rStyle w:val="Hyperlink"/>
                  <w:sz w:val="18"/>
                  <w:szCs w:val="18"/>
                </w:rPr>
                <w:t>http://www.environment.gov.au/protection/environment-assessments\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8" w:history="1">
              <w:r w:rsidRPr="000814C1">
                <w:rPr>
                  <w:rStyle w:val="Hyperlink"/>
                  <w:sz w:val="18"/>
                  <w:szCs w:val="18"/>
                </w:rPr>
                <w:t>http://www.environment.gov.au/epbc/what-is-protected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  <w:vMerge w:val="restart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Sampling</w:t>
            </w:r>
          </w:p>
        </w:tc>
        <w:tc>
          <w:tcPr>
            <w:tcW w:w="1701" w:type="dxa"/>
            <w:vMerge w:val="restart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Biological Samples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EEZ (3-200nm)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Department Agriculture and Water Resources</w:t>
            </w:r>
          </w:p>
        </w:tc>
        <w:tc>
          <w:tcPr>
            <w:tcW w:w="2693" w:type="dxa"/>
          </w:tcPr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Biosecurity Act 2015</w:t>
            </w:r>
          </w:p>
        </w:tc>
        <w:tc>
          <w:tcPr>
            <w:tcW w:w="2552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No importation required if preserved by storage in a sealed container with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70% alcohol or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10% formalin or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Minimum 2% glutaraldehyde or </w:t>
            </w:r>
            <w:proofErr w:type="spellStart"/>
            <w:r w:rsidRPr="000814C1">
              <w:rPr>
                <w:sz w:val="18"/>
                <w:szCs w:val="18"/>
              </w:rPr>
              <w:t>plastinated</w:t>
            </w:r>
            <w:proofErr w:type="spellEnd"/>
            <w:r w:rsidRPr="000814C1">
              <w:rPr>
                <w:sz w:val="18"/>
                <w:szCs w:val="18"/>
              </w:rPr>
              <w:t xml:space="preserve"> curable polymers and labelled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Otherwise refer to BICON for importation requirements</w:t>
            </w:r>
          </w:p>
        </w:tc>
        <w:tc>
          <w:tcPr>
            <w:tcW w:w="3685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9" w:history="1">
              <w:r w:rsidRPr="000814C1">
                <w:rPr>
                  <w:rStyle w:val="Hyperlink"/>
                  <w:sz w:val="18"/>
                  <w:szCs w:val="18"/>
                </w:rPr>
                <w:t>https://bicon.agriculture.gov.au/BiconWeb4.0/ImportConditions/Questions/EvaluateCase?elementID=0000086465&amp;elementVersionID=201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10" w:history="1">
              <w:r w:rsidRPr="00EA0CFC">
                <w:rPr>
                  <w:rStyle w:val="Hyperlink"/>
                  <w:sz w:val="18"/>
                  <w:szCs w:val="18"/>
                </w:rPr>
                <w:t>https://bicon.agriculture.gov.au/BiconWeb4.0/ImportConditions/Search</w:t>
              </w:r>
            </w:hyperlink>
          </w:p>
        </w:tc>
      </w:tr>
      <w:tr w:rsidR="00B357AD" w:rsidRPr="001B2CFE" w:rsidTr="006C1EEF">
        <w:trPr>
          <w:trHeight w:val="930"/>
        </w:trPr>
        <w:tc>
          <w:tcPr>
            <w:tcW w:w="1844" w:type="dxa"/>
            <w:vMerge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Waters and seabed of the EEZ and the continental shelf 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</w:p>
        </w:tc>
        <w:tc>
          <w:tcPr>
            <w:tcW w:w="2693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Environment Protection and Biodiversity Conservation Regulations 2000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Part 8A </w:t>
            </w:r>
          </w:p>
        </w:tc>
        <w:tc>
          <w:tcPr>
            <w:tcW w:w="2552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</w:tcPr>
          <w:p w:rsidR="00B357AD" w:rsidRDefault="00B357AD" w:rsidP="006C1EEF">
            <w:pPr>
              <w:rPr>
                <w:sz w:val="18"/>
                <w:szCs w:val="18"/>
              </w:rPr>
            </w:pPr>
            <w:hyperlink r:id="rId11" w:history="1">
              <w:r w:rsidRPr="00EA0CFC">
                <w:rPr>
                  <w:rStyle w:val="Hyperlink"/>
                  <w:sz w:val="18"/>
                  <w:szCs w:val="18"/>
                </w:rPr>
                <w:t>http://www.environment.gov.au/topics/science-and-research/australias-biological-resources/permits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  <w:vMerge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Sediment 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Biosecurity Act 2015</w:t>
            </w:r>
          </w:p>
        </w:tc>
        <w:tc>
          <w:tcPr>
            <w:tcW w:w="2552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Import requirements for samples collected beyond 200 nm. </w:t>
            </w:r>
          </w:p>
        </w:tc>
        <w:tc>
          <w:tcPr>
            <w:tcW w:w="3685" w:type="dxa"/>
          </w:tcPr>
          <w:p w:rsidR="00B357AD" w:rsidRDefault="00B357AD" w:rsidP="006C1EEF">
            <w:pPr>
              <w:rPr>
                <w:sz w:val="18"/>
                <w:szCs w:val="18"/>
              </w:rPr>
            </w:pPr>
            <w:hyperlink r:id="rId12" w:history="1">
              <w:r w:rsidRPr="00EA0CFC">
                <w:rPr>
                  <w:rStyle w:val="Hyperlink"/>
                  <w:sz w:val="18"/>
                  <w:szCs w:val="18"/>
                </w:rPr>
                <w:t>https://bicon.agriculture.gov.au/BiconWeb4.0/ImportConditions/Search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  <w:vMerge w:val="restart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lastRenderedPageBreak/>
              <w:t>Interactions with Cetaceans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Seismic and other acoustic equipment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3nm to EEZ (200nm)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EPBC Act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Policy Statement 2.1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EPBC Referral and comply with Policy Statement 2.1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13" w:history="1">
              <w:r w:rsidRPr="00EA0CFC">
                <w:rPr>
                  <w:rStyle w:val="Hyperlink"/>
                  <w:sz w:val="18"/>
                  <w:szCs w:val="18"/>
                </w:rPr>
                <w:t>http://www.environment.gov.au/resource/epbc-act-policy-statement-21-interaction-between-offshore-seismic-exploration-and-whales</w:t>
              </w:r>
            </w:hyperlink>
          </w:p>
        </w:tc>
      </w:tr>
      <w:tr w:rsidR="00B357AD" w:rsidRPr="001B2CFE" w:rsidTr="006C1EEF">
        <w:tc>
          <w:tcPr>
            <w:tcW w:w="1844" w:type="dxa"/>
            <w:vMerge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Whale and Dolphin watching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3nm to EEZ (200nm)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Environment Protection and Biodiversity Conservation Regulations 2000</w:t>
            </w:r>
            <w:r w:rsidRPr="000814C1">
              <w:rPr>
                <w:sz w:val="18"/>
                <w:szCs w:val="18"/>
              </w:rPr>
              <w:t xml:space="preserve"> EPBC Regulations’</w:t>
            </w:r>
          </w:p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Australian National Guidelines for Whale and Dolphin Watching 2005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Whale and Dolphin Watching Guidelines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Comply with EPBC Regulations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Default="00B357AD" w:rsidP="006C1EEF">
            <w:pPr>
              <w:rPr>
                <w:sz w:val="18"/>
                <w:szCs w:val="18"/>
              </w:rPr>
            </w:pPr>
            <w:hyperlink r:id="rId14" w:history="1">
              <w:r w:rsidRPr="00EA0CFC">
                <w:rPr>
                  <w:rStyle w:val="Hyperlink"/>
                  <w:sz w:val="18"/>
                  <w:szCs w:val="18"/>
                </w:rPr>
                <w:t>http://www.environment.gov.au/marine/publications/australian-national-guidelines-whale-and-dolphin-watching-2017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  <w:vMerge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Aircraft, helicopters and drones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3nm to EEZ (200nm)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EPBC Regulations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Whale and Dolphin Watching Guidelines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Comply with EPBC Regulations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Permits required to operate a drone in close proximity to a whale or dolphin.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Refer to Whale and Dolphin Watching Guidelines for allowable operating distances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Default="00B357AD" w:rsidP="006C1EEF">
            <w:pPr>
              <w:rPr>
                <w:sz w:val="18"/>
                <w:szCs w:val="18"/>
              </w:rPr>
            </w:pPr>
            <w:hyperlink r:id="rId15" w:history="1">
              <w:r w:rsidRPr="00EA0CFC">
                <w:rPr>
                  <w:rStyle w:val="Hyperlink"/>
                  <w:sz w:val="18"/>
                  <w:szCs w:val="18"/>
                </w:rPr>
                <w:t>http://www.environment.gov.au/system/files/resources/7f15bfc1-ed3d-40b6-a177-c81349028ef6/files/aust-national-guidelines-whale-dolphin-watching-2017.pdf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  <w:vMerge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Vessel interaction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3nm to EEZ (200nm)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EPBC Act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EPBC Regulations (part 8)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Report death, injury, stranding or entanglement of whales and dolphins to </w:t>
            </w:r>
            <w:proofErr w:type="spellStart"/>
            <w:r w:rsidRPr="000814C1">
              <w:rPr>
                <w:sz w:val="18"/>
                <w:szCs w:val="18"/>
              </w:rPr>
              <w:t>DoEE</w:t>
            </w:r>
            <w:proofErr w:type="spellEnd"/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Specific requirements for vessels 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rPr>
          <w:trHeight w:val="2530"/>
        </w:trPr>
        <w:tc>
          <w:tcPr>
            <w:tcW w:w="1844" w:type="dxa"/>
            <w:vMerge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Study of cetaceans: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take, keep, move, interfere with (harass, chase, herd, tag, mark or brand)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and to possess or treat (divide cut up, extract any product from)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Australian Whale Sanctuary 3nm to the EEZ (200nm)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And in waters beyond for Australian residents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EPBC Act</w:t>
            </w:r>
          </w:p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Research permits for research actions that contribute significantly to the conservation of cetaceans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Default="00B357AD" w:rsidP="006C1EEF">
            <w:pPr>
              <w:rPr>
                <w:sz w:val="18"/>
                <w:szCs w:val="18"/>
              </w:rPr>
            </w:pPr>
            <w:hyperlink r:id="rId16" w:history="1">
              <w:r w:rsidRPr="00EA0CFC">
                <w:rPr>
                  <w:rStyle w:val="Hyperlink"/>
                  <w:sz w:val="18"/>
                  <w:szCs w:val="18"/>
                </w:rPr>
                <w:t>http://www.environment.gov.au/marine/marine-species/cetaceans/research-permits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Interaction with Heritage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Historic Ship wrecks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Waters above the Australian continental shelf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</w:p>
        </w:tc>
        <w:tc>
          <w:tcPr>
            <w:tcW w:w="2693" w:type="dxa"/>
          </w:tcPr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Historic Shipwrecks Act 1976</w:t>
            </w:r>
          </w:p>
        </w:tc>
        <w:tc>
          <w:tcPr>
            <w:tcW w:w="2552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Ship wrecks and relics older than 75 years are protected.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lastRenderedPageBreak/>
              <w:t>Some ship wrecks lie within protected zones. Permits required to enter a protected zone for some activities.</w:t>
            </w:r>
          </w:p>
        </w:tc>
        <w:tc>
          <w:tcPr>
            <w:tcW w:w="3685" w:type="dxa"/>
          </w:tcPr>
          <w:p w:rsidR="00B357AD" w:rsidRDefault="00B357AD" w:rsidP="006C1EEF">
            <w:pPr>
              <w:rPr>
                <w:sz w:val="18"/>
                <w:szCs w:val="18"/>
              </w:rPr>
            </w:pPr>
            <w:hyperlink r:id="rId17" w:history="1">
              <w:r w:rsidRPr="00EA0CFC">
                <w:rPr>
                  <w:rStyle w:val="Hyperlink"/>
                  <w:sz w:val="18"/>
                  <w:szCs w:val="18"/>
                </w:rPr>
                <w:t>http://www.environment.gov.au/heritage/historic-shipwrecks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  <w:vMerge w:val="restart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Offshore petroleum and greenhouse gas exploration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Geophysical, geotechnical, seismic, drilling.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3nm seawards to the outer limits of the continental shelf.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National Offshore Petroleum Title Administrator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NOPTA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Offshore Petroleum and Greenhouse Gas Storage Act 2006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(OPGGSA)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Offshore Petroleum and Greenhouse Gas Storage (Resource Management and Administration) Regulations 2011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Title required to undertake activity.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http://www.nopta.gov.au/</w:t>
            </w:r>
          </w:p>
          <w:p w:rsidR="00B357AD" w:rsidRDefault="00B357AD" w:rsidP="006C1EEF">
            <w:pPr>
              <w:tabs>
                <w:tab w:val="left" w:pos="997"/>
              </w:tabs>
              <w:rPr>
                <w:sz w:val="18"/>
                <w:szCs w:val="18"/>
              </w:rPr>
            </w:pPr>
            <w:hyperlink r:id="rId18" w:history="1">
              <w:r w:rsidRPr="00EA0CFC">
                <w:rPr>
                  <w:rStyle w:val="Hyperlink"/>
                  <w:sz w:val="18"/>
                  <w:szCs w:val="18"/>
                </w:rPr>
                <w:t>http://www.nopta.gov.au/guidelines-and-factsheets/offshore-petroleum-guidelines.html</w:t>
              </w:r>
            </w:hyperlink>
          </w:p>
          <w:p w:rsidR="00B357AD" w:rsidRPr="000814C1" w:rsidRDefault="00B357AD" w:rsidP="006C1EEF">
            <w:pPr>
              <w:tabs>
                <w:tab w:val="left" w:pos="997"/>
              </w:tabs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  <w:vMerge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3nm seawards to the outer limits of the continental shelf.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National Offshore Petroleum Safety Environment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NOPSEMA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Offshore Petroleum and Greenhouse Gas Storage Act 2006</w:t>
            </w:r>
          </w:p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Offshore Petroleum and Greenhouse Gas Storage (Environment) Regulations 2009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Accepted Environment Plan in place, includes EPBC Act requirements.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Default="00B357AD" w:rsidP="006C1EEF">
            <w:pPr>
              <w:rPr>
                <w:sz w:val="18"/>
                <w:szCs w:val="18"/>
              </w:rPr>
            </w:pPr>
            <w:hyperlink r:id="rId19" w:history="1">
              <w:r w:rsidRPr="00EA0CFC">
                <w:rPr>
                  <w:rStyle w:val="Hyperlink"/>
                  <w:sz w:val="18"/>
                  <w:szCs w:val="18"/>
                </w:rPr>
                <w:t>https://www.nopsema.gov.au/environmental-management/assessment-process/environment-plans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Installations 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Installations, in contact directly or by cable or similar device with the seabed for 30 continuous days or one or more period during the 60 days that sum to 40 days.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3nms seaward to EEZ or outer limits of the continental shelf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Sea Installations Act 1987</w:t>
            </w:r>
          </w:p>
        </w:tc>
        <w:tc>
          <w:tcPr>
            <w:tcW w:w="2552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Permitting system no longer applies, however maritime safety, customs, immigration and quarantine matters continue.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Safety zone of 500m may apply.</w:t>
            </w:r>
          </w:p>
        </w:tc>
        <w:tc>
          <w:tcPr>
            <w:tcW w:w="3685" w:type="dxa"/>
          </w:tcPr>
          <w:p w:rsidR="00B357AD" w:rsidRDefault="00B357AD" w:rsidP="006C1EEF">
            <w:pPr>
              <w:rPr>
                <w:sz w:val="18"/>
                <w:szCs w:val="18"/>
              </w:rPr>
            </w:pPr>
            <w:hyperlink r:id="rId20" w:history="1">
              <w:r w:rsidRPr="00EA0CFC">
                <w:rPr>
                  <w:rStyle w:val="Hyperlink"/>
                  <w:sz w:val="18"/>
                  <w:szCs w:val="18"/>
                </w:rPr>
                <w:t>http://www.environment.gov.au/topics/marine/marine-pollution/sea-dumping/sea-installations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</w:tr>
      <w:tr w:rsidR="00B357AD" w:rsidRPr="001B2CFE" w:rsidTr="006C1EEF">
        <w:tc>
          <w:tcPr>
            <w:tcW w:w="1844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Restricted vessel movement and moored scientific equipment that create navigation hazards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Australian Hydrographic Service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AHS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Australian Marine Safety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AMSA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Notice to mariners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2-3 weeks prior to survey commences.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Vessel to RCC to update NAVAREA X alerts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Default="00B357AD" w:rsidP="006C1EEF">
            <w:pPr>
              <w:rPr>
                <w:sz w:val="18"/>
                <w:szCs w:val="18"/>
              </w:rPr>
            </w:pPr>
            <w:hyperlink r:id="rId21" w:history="1">
              <w:r w:rsidRPr="00EA0CFC">
                <w:rPr>
                  <w:rStyle w:val="Hyperlink"/>
                  <w:sz w:val="18"/>
                  <w:szCs w:val="18"/>
                </w:rPr>
                <w:t>http://www.hydro.gov.au/n2m/about-notices.htm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 w:rsidRPr="000814C1">
              <w:rPr>
                <w:sz w:val="18"/>
                <w:szCs w:val="18"/>
              </w:rPr>
              <w:t>datacentre@hydro.gov.au</w:t>
            </w:r>
            <w:r>
              <w:rPr>
                <w:sz w:val="18"/>
                <w:szCs w:val="18"/>
              </w:rPr>
              <w:t>,</w:t>
            </w:r>
            <w:r w:rsidRPr="000814C1">
              <w:rPr>
                <w:sz w:val="18"/>
                <w:szCs w:val="18"/>
              </w:rPr>
              <w:t>rccaus@amsa.gov.au</w:t>
            </w:r>
            <w:proofErr w:type="spellEnd"/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22" w:history="1">
              <w:r w:rsidRPr="000814C1">
                <w:rPr>
                  <w:rStyle w:val="Hyperlink"/>
                  <w:sz w:val="18"/>
                  <w:szCs w:val="18"/>
                </w:rPr>
                <w:t>https://www.amsa.gov.au/safety-navigation/navigation-systems/maritime-safety-information-database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23" w:history="1">
              <w:r w:rsidRPr="000814C1">
                <w:rPr>
                  <w:rStyle w:val="Hyperlink"/>
                  <w:sz w:val="18"/>
                  <w:szCs w:val="18"/>
                </w:rPr>
                <w:t>natuticaladvice@amsa.gov.au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rccaus@amsa.gov.au</w:t>
            </w:r>
          </w:p>
        </w:tc>
      </w:tr>
      <w:tr w:rsidR="00B357AD" w:rsidRPr="001B2CFE" w:rsidTr="006C1EEF">
        <w:tc>
          <w:tcPr>
            <w:tcW w:w="1844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lastRenderedPageBreak/>
              <w:t>Research in the Great Barrier Reef Marine Park GBRMP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Research, except for limited impact research.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GBRMP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Great Barrier Reef Marine Park Authority GBRMPA</w:t>
            </w:r>
          </w:p>
        </w:tc>
        <w:tc>
          <w:tcPr>
            <w:tcW w:w="2693" w:type="dxa"/>
          </w:tcPr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Great Barrier Reef Marine Park Act 1975</w:t>
            </w:r>
          </w:p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EPBC Act</w:t>
            </w:r>
          </w:p>
        </w:tc>
        <w:tc>
          <w:tcPr>
            <w:tcW w:w="2552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Limited impact research may be conducted under a letter of authority issued by an accredited educational or research institutions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All other research requires permission</w:t>
            </w:r>
          </w:p>
        </w:tc>
        <w:tc>
          <w:tcPr>
            <w:tcW w:w="3685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24" w:history="1">
              <w:r w:rsidRPr="000814C1">
                <w:rPr>
                  <w:rStyle w:val="Hyperlink"/>
                  <w:sz w:val="18"/>
                  <w:szCs w:val="18"/>
                </w:rPr>
                <w:t>http://www.gbrmpa.gov.au/zoning-permits-and-plans/permits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25" w:history="1">
              <w:r w:rsidRPr="00EA0CFC">
                <w:rPr>
                  <w:rStyle w:val="Hyperlink"/>
                  <w:sz w:val="18"/>
                  <w:szCs w:val="18"/>
                </w:rPr>
                <w:t>http://www.gbrmpa.gov.au/zoning-permits-and-plans/permits/research-permissions</w:t>
              </w:r>
            </w:hyperlink>
          </w:p>
        </w:tc>
      </w:tr>
      <w:tr w:rsidR="00B357AD" w:rsidRPr="001B2CFE" w:rsidTr="006C1EEF">
        <w:tc>
          <w:tcPr>
            <w:tcW w:w="1844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Research around infrastructure, cables and pipelines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Disturbance of the seafloor and strong acoustic disturbance (seismic)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Cables – Australian continental shelf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Pipelines – 3 nm to 200 nm and extended continental shelf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Cables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Australian Communications and Media Authority ACMA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Pipelines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National Offshore Petroleum Titles Administrator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NOPTA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proofErr w:type="spellStart"/>
            <w:r w:rsidRPr="000814C1">
              <w:rPr>
                <w:i/>
                <w:sz w:val="18"/>
                <w:szCs w:val="18"/>
              </w:rPr>
              <w:t>Telecommuncations</w:t>
            </w:r>
            <w:proofErr w:type="spellEnd"/>
            <w:r w:rsidRPr="000814C1">
              <w:rPr>
                <w:i/>
                <w:sz w:val="18"/>
                <w:szCs w:val="18"/>
              </w:rPr>
              <w:t xml:space="preserve"> Act 1997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International Cable Protection Committee (ICPC) recommendations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500m safety zone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 xml:space="preserve">Liability for damage to cables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Spatial pipeline data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26" w:history="1">
              <w:r w:rsidRPr="00EA0CFC">
                <w:rPr>
                  <w:rStyle w:val="Hyperlink"/>
                  <w:sz w:val="18"/>
                  <w:szCs w:val="18"/>
                </w:rPr>
                <w:t>https://www.acma.gov.au/Industry/Telco/Infrastructure/Submarine-cabling-and-protection-zones/submarine-telecommunications-cables-submarine-cable-zones-i-acma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27" w:history="1">
              <w:r w:rsidRPr="000814C1">
                <w:rPr>
                  <w:rStyle w:val="Hyperlink"/>
                  <w:sz w:val="18"/>
                  <w:szCs w:val="18"/>
                </w:rPr>
                <w:t>https://www.submarinecablemap.com/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28" w:history="1">
              <w:r w:rsidRPr="000814C1">
                <w:rPr>
                  <w:rStyle w:val="Hyperlink"/>
                  <w:sz w:val="18"/>
                  <w:szCs w:val="18"/>
                </w:rPr>
                <w:t>https://www.iscpc.org/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29" w:history="1">
              <w:r w:rsidRPr="000814C1">
                <w:rPr>
                  <w:rStyle w:val="Hyperlink"/>
                  <w:sz w:val="18"/>
                  <w:szCs w:val="18"/>
                </w:rPr>
                <w:t>https://www.iscpc.org/publications/recommendations/</w:t>
              </w:r>
            </w:hyperlink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30" w:history="1">
              <w:r w:rsidRPr="00EA0CFC">
                <w:rPr>
                  <w:rStyle w:val="Hyperlink"/>
                  <w:sz w:val="18"/>
                  <w:szCs w:val="18"/>
                </w:rPr>
                <w:t>http://www.nopta.gov.au</w:t>
              </w:r>
            </w:hyperlink>
          </w:p>
        </w:tc>
      </w:tr>
      <w:tr w:rsidR="00B357AD" w:rsidRPr="001B2CFE" w:rsidTr="006C1EEF">
        <w:tc>
          <w:tcPr>
            <w:tcW w:w="1844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Sea dumping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Deliberate dumping of wastes at sea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EEZ</w:t>
            </w:r>
          </w:p>
        </w:tc>
        <w:tc>
          <w:tcPr>
            <w:tcW w:w="1701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DoEE</w:t>
            </w:r>
            <w:proofErr w:type="spellEnd"/>
            <w:r w:rsidRPr="000814C1">
              <w:rPr>
                <w:sz w:val="18"/>
                <w:szCs w:val="18"/>
              </w:rPr>
              <w:t xml:space="preserve"> 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GBRMPA</w:t>
            </w:r>
          </w:p>
        </w:tc>
        <w:tc>
          <w:tcPr>
            <w:tcW w:w="2693" w:type="dxa"/>
          </w:tcPr>
          <w:p w:rsidR="00B357AD" w:rsidRPr="000814C1" w:rsidRDefault="00B357AD" w:rsidP="006C1EEF">
            <w:pPr>
              <w:rPr>
                <w:i/>
                <w:sz w:val="18"/>
                <w:szCs w:val="18"/>
              </w:rPr>
            </w:pPr>
            <w:r w:rsidRPr="000814C1">
              <w:rPr>
                <w:i/>
                <w:sz w:val="18"/>
                <w:szCs w:val="18"/>
              </w:rPr>
              <w:t>Environment Protection (Sea Dumping) Act 1981</w:t>
            </w:r>
          </w:p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London Convention, 1972/96</w:t>
            </w:r>
          </w:p>
        </w:tc>
        <w:tc>
          <w:tcPr>
            <w:tcW w:w="2552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r w:rsidRPr="000814C1">
              <w:rPr>
                <w:sz w:val="18"/>
                <w:szCs w:val="18"/>
              </w:rPr>
              <w:t>Permits for large scale dumping required</w:t>
            </w:r>
          </w:p>
        </w:tc>
        <w:tc>
          <w:tcPr>
            <w:tcW w:w="3685" w:type="dxa"/>
          </w:tcPr>
          <w:p w:rsidR="00B357AD" w:rsidRPr="000814C1" w:rsidRDefault="00B357AD" w:rsidP="006C1EEF">
            <w:pPr>
              <w:rPr>
                <w:sz w:val="18"/>
                <w:szCs w:val="18"/>
              </w:rPr>
            </w:pPr>
            <w:hyperlink r:id="rId31" w:history="1">
              <w:r w:rsidRPr="00EA0CFC">
                <w:rPr>
                  <w:rStyle w:val="Hyperlink"/>
                  <w:sz w:val="18"/>
                  <w:szCs w:val="18"/>
                </w:rPr>
                <w:t>http://www.environment.gov.au/marine/marine-pollution/sea-dumping</w:t>
              </w:r>
            </w:hyperlink>
          </w:p>
        </w:tc>
      </w:tr>
    </w:tbl>
    <w:p w:rsidR="00B357AD" w:rsidRDefault="00B357AD" w:rsidP="00B357AD">
      <w:pPr>
        <w:pStyle w:val="Footer"/>
      </w:pPr>
    </w:p>
    <w:p w:rsidR="00452EDD" w:rsidRDefault="00452EDD"/>
    <w:sectPr w:rsidR="00452EDD" w:rsidSect="00B357AD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662" w:rsidRDefault="00AD2662" w:rsidP="00B357AD">
      <w:r>
        <w:separator/>
      </w:r>
    </w:p>
  </w:endnote>
  <w:endnote w:type="continuationSeparator" w:id="0">
    <w:p w:rsidR="00AD2662" w:rsidRDefault="00AD2662" w:rsidP="00B3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7AD" w:rsidRDefault="00B35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7AD" w:rsidRDefault="00B357AD">
    <w:pPr>
      <w:pStyle w:val="Footer"/>
    </w:pPr>
    <w:r>
      <w:t xml:space="preserve">NESP Marine Hub Field Manuals – Version </w:t>
    </w:r>
    <w:r>
      <w:t>2</w:t>
    </w: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7AD" w:rsidRDefault="00B35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662" w:rsidRDefault="00AD2662" w:rsidP="00B357AD">
      <w:r>
        <w:separator/>
      </w:r>
    </w:p>
  </w:footnote>
  <w:footnote w:type="continuationSeparator" w:id="0">
    <w:p w:rsidR="00AD2662" w:rsidRDefault="00AD2662" w:rsidP="00B3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7AD" w:rsidRDefault="00B357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7AD" w:rsidRDefault="00B357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7AD" w:rsidRDefault="00B35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C77FF"/>
    <w:multiLevelType w:val="multilevel"/>
    <w:tmpl w:val="D1C4D20E"/>
    <w:lvl w:ilvl="0">
      <w:start w:val="8"/>
      <w:numFmt w:val="decimal"/>
      <w:pStyle w:val="Heading1"/>
      <w:lvlText w:val="%1."/>
      <w:lvlJc w:val="left"/>
      <w:pPr>
        <w:tabs>
          <w:tab w:val="num" w:pos="567"/>
        </w:tabs>
        <w:ind w:left="851" w:hanging="851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39"/>
        </w:tabs>
        <w:ind w:left="7239" w:hanging="576"/>
      </w:pPr>
      <w:rPr>
        <w:rFonts w:hint="default"/>
        <w:color w:val="2E74B5" w:themeColor="accent1" w:themeShade="B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AD"/>
    <w:rsid w:val="00452EDD"/>
    <w:rsid w:val="00AD2662"/>
    <w:rsid w:val="00B3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D6D3"/>
  <w15:chartTrackingRefBased/>
  <w15:docId w15:val="{0AC9F64C-B709-4BD4-A1FB-1ABA7F8D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7AD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B357AD"/>
    <w:pPr>
      <w:keepNext/>
      <w:numPr>
        <w:numId w:val="1"/>
      </w:numPr>
      <w:tabs>
        <w:tab w:val="left" w:pos="851"/>
      </w:tabs>
      <w:suppressAutoHyphens/>
      <w:spacing w:before="360" w:after="240"/>
      <w:outlineLvl w:val="0"/>
    </w:pPr>
    <w:rPr>
      <w:rFonts w:cs="Arial"/>
      <w:b/>
      <w:caps/>
      <w:sz w:val="30"/>
      <w:szCs w:val="30"/>
    </w:rPr>
  </w:style>
  <w:style w:type="paragraph" w:styleId="Heading2">
    <w:name w:val="heading 2"/>
    <w:basedOn w:val="Heading1"/>
    <w:next w:val="Normal"/>
    <w:link w:val="Heading2Char"/>
    <w:qFormat/>
    <w:rsid w:val="00B357AD"/>
    <w:pPr>
      <w:numPr>
        <w:ilvl w:val="1"/>
      </w:numPr>
      <w:outlineLvl w:val="1"/>
    </w:pPr>
    <w:rPr>
      <w:caps w:val="0"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B357AD"/>
    <w:pPr>
      <w:numPr>
        <w:ilvl w:val="2"/>
      </w:numPr>
      <w:spacing w:before="2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7AD"/>
    <w:rPr>
      <w:rFonts w:ascii="Arial" w:eastAsia="Times New Roman" w:hAnsi="Arial" w:cs="Arial"/>
      <w:b/>
      <w:caps/>
      <w:sz w:val="30"/>
      <w:szCs w:val="30"/>
      <w:lang w:eastAsia="en-AU"/>
    </w:rPr>
  </w:style>
  <w:style w:type="character" w:customStyle="1" w:styleId="Heading2Char">
    <w:name w:val="Heading 2 Char"/>
    <w:basedOn w:val="DefaultParagraphFont"/>
    <w:link w:val="Heading2"/>
    <w:rsid w:val="00B357AD"/>
    <w:rPr>
      <w:rFonts w:ascii="Arial" w:eastAsia="Times New Roman" w:hAnsi="Arial" w:cs="Arial"/>
      <w:b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B357AD"/>
    <w:rPr>
      <w:rFonts w:ascii="Arial" w:eastAsia="Times New Roman" w:hAnsi="Arial" w:cs="Arial"/>
      <w:b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B357AD"/>
    <w:pPr>
      <w:widowControl w:val="0"/>
      <w:tabs>
        <w:tab w:val="right" w:pos="864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57AD"/>
    <w:rPr>
      <w:rFonts w:ascii="Arial" w:eastAsia="Times New Roman" w:hAnsi="Arial" w:cs="Times New Roman"/>
      <w:sz w:val="16"/>
      <w:lang w:eastAsia="en-AU"/>
    </w:rPr>
  </w:style>
  <w:style w:type="paragraph" w:styleId="Caption">
    <w:name w:val="caption"/>
    <w:basedOn w:val="Normal"/>
    <w:next w:val="Normal"/>
    <w:uiPriority w:val="35"/>
    <w:qFormat/>
    <w:rsid w:val="00B357AD"/>
    <w:pPr>
      <w:spacing w:before="120" w:after="240" w:line="240" w:lineRule="atLeast"/>
    </w:pPr>
    <w:rPr>
      <w:bCs/>
      <w:sz w:val="18"/>
      <w:szCs w:val="18"/>
    </w:rPr>
  </w:style>
  <w:style w:type="character" w:styleId="Hyperlink">
    <w:name w:val="Hyperlink"/>
    <w:basedOn w:val="DefaultParagraphFont"/>
    <w:uiPriority w:val="99"/>
    <w:rsid w:val="00B357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57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7AD"/>
    <w:rPr>
      <w:rFonts w:ascii="Arial" w:eastAsia="Times New Roman" w:hAnsi="Arial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vironment.gov.au/epbc/what-is-protected" TargetMode="External"/><Relationship Id="rId13" Type="http://schemas.openxmlformats.org/officeDocument/2006/relationships/hyperlink" Target="http://www.environment.gov.au/resource/epbc-act-policy-statement-21-interaction-between-offshore-seismic-exploration-and-whales" TargetMode="External"/><Relationship Id="rId18" Type="http://schemas.openxmlformats.org/officeDocument/2006/relationships/hyperlink" Target="http://www.nopta.gov.au/guidelines-and-factsheets/offshore-petroleum-guidelines.html" TargetMode="External"/><Relationship Id="rId26" Type="http://schemas.openxmlformats.org/officeDocument/2006/relationships/hyperlink" Target="https://www.acma.gov.au/Industry/Telco/Infrastructure/Submarine-cabling-and-protection-zones/submarine-telecommunications-cables-submarine-cable-zones-i-acma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hydro.gov.au/n2m/about-notices.htm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environment.gov.au/protection/environment-assessments\" TargetMode="External"/><Relationship Id="rId12" Type="http://schemas.openxmlformats.org/officeDocument/2006/relationships/hyperlink" Target="https://bicon.agriculture.gov.au/BiconWeb4.0/ImportConditions/Search" TargetMode="External"/><Relationship Id="rId17" Type="http://schemas.openxmlformats.org/officeDocument/2006/relationships/hyperlink" Target="http://www.environment.gov.au/heritage/historic-shipwrecks" TargetMode="External"/><Relationship Id="rId25" Type="http://schemas.openxmlformats.org/officeDocument/2006/relationships/hyperlink" Target="http://www.gbrmpa.gov.au/zoning-permits-and-plans/permits/research-permissions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nvironment.gov.au/marine/marine-species/cetaceans/research-permits" TargetMode="External"/><Relationship Id="rId20" Type="http://schemas.openxmlformats.org/officeDocument/2006/relationships/hyperlink" Target="http://www.environment.gov.au/topics/marine/marine-pollution/sea-dumping/sea-installations" TargetMode="External"/><Relationship Id="rId29" Type="http://schemas.openxmlformats.org/officeDocument/2006/relationships/hyperlink" Target="https://www.iscpc.org/publications/recommend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vironment.gov.au/topics/science-and-research/australias-biological-resources/permits" TargetMode="External"/><Relationship Id="rId24" Type="http://schemas.openxmlformats.org/officeDocument/2006/relationships/hyperlink" Target="http://www.gbrmpa.gov.au/zoning-permits-and-plans/permits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environment.gov.au/system/files/resources/7f15bfc1-ed3d-40b6-a177-c81349028ef6/files/aust-national-guidelines-whale-dolphin-watching-2017.pdf" TargetMode="External"/><Relationship Id="rId23" Type="http://schemas.openxmlformats.org/officeDocument/2006/relationships/hyperlink" Target="mailto:natuticaladvice@amsa.gov.au" TargetMode="External"/><Relationship Id="rId28" Type="http://schemas.openxmlformats.org/officeDocument/2006/relationships/hyperlink" Target="https://www.iscpc.org/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bicon.agriculture.gov.au/BiconWeb4.0/ImportConditions/Search" TargetMode="External"/><Relationship Id="rId19" Type="http://schemas.openxmlformats.org/officeDocument/2006/relationships/hyperlink" Target="https://www.nopsema.gov.au/environmental-management/assessment-process/environment-plans" TargetMode="External"/><Relationship Id="rId31" Type="http://schemas.openxmlformats.org/officeDocument/2006/relationships/hyperlink" Target="http://www.environment.gov.au/marine/marine-pollution/sea-dum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con.agriculture.gov.au/BiconWeb4.0/ImportConditions/Questions/EvaluateCase?elementID=0000086465&amp;elementVersionID=201" TargetMode="External"/><Relationship Id="rId14" Type="http://schemas.openxmlformats.org/officeDocument/2006/relationships/hyperlink" Target="http://www.environment.gov.au/marine/publications/australian-national-guidelines-whale-and-dolphin-watching-2017" TargetMode="External"/><Relationship Id="rId22" Type="http://schemas.openxmlformats.org/officeDocument/2006/relationships/hyperlink" Target="https://www.amsa.gov.au/safety-navigation/navigation-systems/maritime-safety-information-database" TargetMode="External"/><Relationship Id="rId27" Type="http://schemas.openxmlformats.org/officeDocument/2006/relationships/hyperlink" Target="https://www.submarinecablemap.com/" TargetMode="External"/><Relationship Id="rId30" Type="http://schemas.openxmlformats.org/officeDocument/2006/relationships/hyperlink" Target="http://www.nopta.gov.au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Geoscience Australia</Company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Przeslawski Rachel</dc:creator>
  <cp:keywords/>
  <dc:description/>
  <cp:lastModifiedBy>Przeslawski Rachel</cp:lastModifiedBy>
  <cp:revision>1</cp:revision>
  <dcterms:created xsi:type="dcterms:W3CDTF">2020-04-07T05:27:00Z</dcterms:created>
  <dcterms:modified xsi:type="dcterms:W3CDTF">2020-04-07T05:28:00Z</dcterms:modified>
</cp:coreProperties>
</file>