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77777777" w:rsidR="00E31C6D" w:rsidRDefault="00C9234C"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Fouling Community </w:t>
      </w:r>
    </w:p>
    <w:p w14:paraId="7201AF25" w14:textId="26C0B1A2" w:rsidR="0097352D" w:rsidRPr="00247006" w:rsidRDefault="00E31C6D"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Survey Design and Overview</w:t>
      </w:r>
    </w:p>
    <w:p w14:paraId="45A9210B" w14:textId="2D023682" w:rsidR="0097352D" w:rsidRDefault="00BC205C"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6927027F"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Fouling Community Survey Design and Overview</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Tennenbaum Marine Observatories Network, MarineGEO, Smithsonian Institution.</w:t>
      </w:r>
    </w:p>
    <w:p w14:paraId="6809ED4B" w14:textId="77777777" w:rsidR="00D50399" w:rsidRDefault="00D50399" w:rsidP="00E31C6D">
      <w:pPr>
        <w:pStyle w:val="BodyText"/>
        <w:spacing w:before="0" w:after="0"/>
      </w:pPr>
    </w:p>
    <w:p w14:paraId="61DD3621" w14:textId="55167D1C" w:rsidR="00D50399" w:rsidRDefault="00D50399" w:rsidP="00E31C6D">
      <w:pPr>
        <w:pStyle w:val="BodyText"/>
        <w:spacing w:before="0" w:after="0"/>
      </w:pPr>
    </w:p>
    <w:p w14:paraId="5ACA8442" w14:textId="77777777" w:rsidR="00D50399" w:rsidRPr="00E31C6D" w:rsidRDefault="00D50399" w:rsidP="00E31C6D">
      <w:pPr>
        <w:pStyle w:val="BodyText"/>
        <w:spacing w:before="0" w:after="0"/>
      </w:pPr>
    </w:p>
    <w:p w14:paraId="6AF582AD" w14:textId="77777777"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FE37DA6" w14:textId="42CCCBF9" w:rsidR="005E0228" w:rsidRPr="00E31C6D" w:rsidRDefault="00BC205C"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4C94B8C2"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80B88E" w14:textId="77777777" w:rsidR="00BC205C" w:rsidRPr="00E31C6D" w:rsidRDefault="00BC205C" w:rsidP="00884C1B">
      <w:pPr>
        <w:spacing w:after="0" w:line="276" w:lineRule="auto"/>
        <w:jc w:val="both"/>
        <w:rPr>
          <w:rFonts w:ascii="Arial" w:eastAsia="Times New Roman" w:hAnsi="Arial" w:cs="Arial"/>
          <w:sz w:val="22"/>
          <w:szCs w:val="22"/>
        </w:rPr>
      </w:pPr>
    </w:p>
    <w:p w14:paraId="32100CE9" w14:textId="070634D1"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Fouling communities are commonly associated with artificial structures including docks and seawalls. By virtue of close proximity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1424E31C" w14:textId="77777777" w:rsidR="00BC205C" w:rsidRPr="00E31C6D" w:rsidRDefault="00BC205C" w:rsidP="00884C1B">
      <w:pPr>
        <w:spacing w:after="0" w:line="276" w:lineRule="auto"/>
        <w:ind w:firstLine="5"/>
        <w:jc w:val="both"/>
        <w:rPr>
          <w:rFonts w:ascii="Arial" w:eastAsia="Times New Roman" w:hAnsi="Arial" w:cs="Arial"/>
          <w:sz w:val="22"/>
          <w:szCs w:val="22"/>
        </w:rPr>
      </w:pPr>
    </w:p>
    <w:p w14:paraId="2D32504A" w14:textId="662970F4"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-temporal comparisons and can serve as a baseline for a variety of manipulative studies. Fouling species are generally fast-growing, short-lived and tightly tied to the environment. Continued deployments can provide useful insights into how communities change overtime with changing environmental forcing factors (e.g. temperature, rainfall, pollution, etc.).</w:t>
      </w:r>
    </w:p>
    <w:p w14:paraId="5EDF1AED" w14:textId="77777777" w:rsidR="00BC205C" w:rsidRPr="00E31C6D" w:rsidRDefault="00BC205C"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BC205C"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47F8A1CB" w14:textId="77777777" w:rsidR="00BC205C"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14C57655" w14:textId="77777777" w:rsidR="00BC205C" w:rsidRDefault="00BC205C" w:rsidP="00E31C6D">
      <w:pPr>
        <w:spacing w:after="0" w:line="276" w:lineRule="auto"/>
        <w:ind w:firstLine="5"/>
        <w:jc w:val="both"/>
        <w:rPr>
          <w:rFonts w:ascii="Arial" w:eastAsia="Arial" w:hAnsi="Arial" w:cs="Arial"/>
          <w:sz w:val="22"/>
          <w:szCs w:val="22"/>
        </w:rPr>
      </w:pPr>
    </w:p>
    <w:p w14:paraId="5D840F2F" w14:textId="77777777" w:rsidR="00BC205C" w:rsidRDefault="00BC205C" w:rsidP="00E31C6D">
      <w:pPr>
        <w:spacing w:after="0" w:line="276" w:lineRule="auto"/>
        <w:ind w:firstLine="5"/>
        <w:jc w:val="both"/>
        <w:rPr>
          <w:rFonts w:ascii="Arial" w:eastAsia="Arial" w:hAnsi="Arial" w:cs="Arial"/>
          <w:sz w:val="22"/>
          <w:szCs w:val="22"/>
        </w:rPr>
      </w:pPr>
    </w:p>
    <w:p w14:paraId="02A57671" w14:textId="77777777" w:rsidR="00BC205C" w:rsidRDefault="00BC205C" w:rsidP="00E31C6D">
      <w:pPr>
        <w:spacing w:after="0" w:line="276" w:lineRule="auto"/>
        <w:ind w:firstLine="5"/>
        <w:jc w:val="both"/>
        <w:rPr>
          <w:rFonts w:ascii="Arial" w:eastAsia="Arial" w:hAnsi="Arial" w:cs="Arial"/>
          <w:sz w:val="22"/>
          <w:szCs w:val="22"/>
        </w:rPr>
      </w:pPr>
    </w:p>
    <w:p w14:paraId="02090C51" w14:textId="2E475C1C"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lastRenderedPageBreak/>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BC205C"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77777777"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The majority of data from this protocol comes in the form of photographs of the communities over time. It is vital that photographs be both clear and labeled properly to be useful for post-processing. In many cases, the identification of these species can be </w:t>
      </w:r>
      <w:proofErr w:type="spellStart"/>
      <w:r w:rsidRPr="00884C1B">
        <w:rPr>
          <w:rFonts w:ascii="Arial" w:eastAsia="Arial" w:hAnsi="Arial" w:cs="Arial"/>
          <w:sz w:val="22"/>
          <w:szCs w:val="22"/>
        </w:rPr>
        <w:t>diﬀcult</w:t>
      </w:r>
      <w:proofErr w:type="spell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however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at a later date.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lastRenderedPageBreak/>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similar to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at a later date.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BC205C"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10D9BA9B"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6CF8B946"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Measure environmental parameters (see Environmental Sampling Protocol)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BC205C"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28009E45" w14:textId="1EB683CE" w:rsidR="000C6571" w:rsidRDefault="0035444E" w:rsidP="000C6571">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5AEB457C" w14:textId="77777777" w:rsidR="000C6571" w:rsidRPr="000C6571" w:rsidRDefault="000C6571" w:rsidP="000C6571">
      <w:pPr>
        <w:pStyle w:val="BodyText"/>
        <w:spacing w:before="0"/>
      </w:pPr>
    </w:p>
    <w:p w14:paraId="35CAB32B" w14:textId="77777777" w:rsidR="0097352D" w:rsidRPr="00247006" w:rsidRDefault="0035444E" w:rsidP="000C6571">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Use our online submission portal to upload the Excel Spreadsheet: </w:t>
      </w:r>
      <w:hyperlink r:id="rId12">
        <w:r w:rsidRPr="00247006">
          <w:rPr>
            <w:rStyle w:val="Hyperlink"/>
            <w:rFonts w:ascii="Arial" w:hAnsi="Arial" w:cs="Arial"/>
            <w:sz w:val="22"/>
            <w:szCs w:val="22"/>
          </w:rPr>
          <w:t>https://marinegeo.github.io/data-submission</w:t>
        </w:r>
      </w:hyperlink>
    </w:p>
    <w:p w14:paraId="07780A2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r w:rsidRPr="00247006">
          <w:rPr>
            <w:rStyle w:val="Hyperlink"/>
            <w:rFonts w:ascii="Arial" w:hAnsi="Arial" w:cs="Arial"/>
            <w:sz w:val="22"/>
            <w:szCs w:val="22"/>
          </w:rPr>
          <w:t>marinegeo@si.edu</w:t>
        </w:r>
      </w:hyperlink>
    </w:p>
    <w:sectPr w:rsidR="0097352D" w:rsidRPr="00247006" w:rsidSect="00D26965">
      <w:headerReference w:type="default" r:id="rId14"/>
      <w:footerReference w:type="even"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EED6A" w14:textId="77777777" w:rsidR="00C478DF" w:rsidRDefault="00C478DF">
      <w:pPr>
        <w:spacing w:after="0"/>
      </w:pPr>
      <w:r>
        <w:separator/>
      </w:r>
    </w:p>
  </w:endnote>
  <w:endnote w:type="continuationSeparator" w:id="0">
    <w:p w14:paraId="566D2786" w14:textId="77777777" w:rsidR="00C478DF" w:rsidRDefault="00C47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B7370" w14:textId="77777777" w:rsidR="00C478DF" w:rsidRDefault="00C478DF">
      <w:r>
        <w:separator/>
      </w:r>
    </w:p>
  </w:footnote>
  <w:footnote w:type="continuationSeparator" w:id="0">
    <w:p w14:paraId="3D0B16D1" w14:textId="77777777" w:rsidR="00C478DF" w:rsidRDefault="00C47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500BA1C" w:rsidR="00F26952" w:rsidRDefault="00894B57" w:rsidP="000C6571">
    <w:pPr>
      <w:pStyle w:val="Header"/>
      <w:tabs>
        <w:tab w:val="clear" w:pos="4680"/>
        <w:tab w:val="center" w:pos="4230"/>
      </w:tabs>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r w:rsidR="000C6571">
      <w:rPr>
        <w:rFonts w:ascii="Helvetica Neue Light" w:hAnsi="Helvetica Neue Light"/>
        <w:sz w:val="22"/>
        <w:szCs w:val="22"/>
      </w:rPr>
      <w:t xml:space="preserve"> v1.0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C6571"/>
    <w:rsid w:val="000E2AC5"/>
    <w:rsid w:val="000E38CD"/>
    <w:rsid w:val="0013479D"/>
    <w:rsid w:val="00164117"/>
    <w:rsid w:val="001670D6"/>
    <w:rsid w:val="00247006"/>
    <w:rsid w:val="00326CE5"/>
    <w:rsid w:val="0035444E"/>
    <w:rsid w:val="004E29B3"/>
    <w:rsid w:val="00590D07"/>
    <w:rsid w:val="005E0228"/>
    <w:rsid w:val="006930CF"/>
    <w:rsid w:val="006E6934"/>
    <w:rsid w:val="0072534C"/>
    <w:rsid w:val="00784D58"/>
    <w:rsid w:val="00884C1B"/>
    <w:rsid w:val="00894B57"/>
    <w:rsid w:val="008D6863"/>
    <w:rsid w:val="00925F21"/>
    <w:rsid w:val="0097352D"/>
    <w:rsid w:val="00A374FC"/>
    <w:rsid w:val="00AB60B3"/>
    <w:rsid w:val="00AD2F3B"/>
    <w:rsid w:val="00B42B99"/>
    <w:rsid w:val="00B86B75"/>
    <w:rsid w:val="00BC205C"/>
    <w:rsid w:val="00BC3C50"/>
    <w:rsid w:val="00BC48D5"/>
    <w:rsid w:val="00C36279"/>
    <w:rsid w:val="00C478DF"/>
    <w:rsid w:val="00C65308"/>
    <w:rsid w:val="00C9234C"/>
    <w:rsid w:val="00CA7982"/>
    <w:rsid w:val="00D26965"/>
    <w:rsid w:val="00D50399"/>
    <w:rsid w:val="00E315A3"/>
    <w:rsid w:val="00E31C6D"/>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18</cp:revision>
  <cp:lastPrinted>2021-04-23T11:25:00Z</cp:lastPrinted>
  <dcterms:created xsi:type="dcterms:W3CDTF">2020-10-28T20:51:00Z</dcterms:created>
  <dcterms:modified xsi:type="dcterms:W3CDTF">2021-04-23T14:43:00Z</dcterms:modified>
</cp:coreProperties>
</file>