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576B" w14:textId="48CFE754" w:rsidR="00E854E6" w:rsidRDefault="00E854E6"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MarineGEO</w:t>
      </w:r>
      <w:r w:rsidR="00B95669">
        <w:rPr>
          <w:rFonts w:ascii="Arial" w:hAnsi="Arial" w:cs="Arial"/>
          <w:b w:val="0"/>
          <w:bCs w:val="0"/>
          <w:color w:val="000000" w:themeColor="text1"/>
          <w:sz w:val="48"/>
          <w:szCs w:val="48"/>
        </w:rPr>
        <w:t xml:space="preserve"> </w:t>
      </w:r>
      <w:r w:rsidR="00C9234C">
        <w:rPr>
          <w:rFonts w:ascii="Arial" w:hAnsi="Arial" w:cs="Arial"/>
          <w:b w:val="0"/>
          <w:bCs w:val="0"/>
          <w:color w:val="000000" w:themeColor="text1"/>
          <w:sz w:val="48"/>
          <w:szCs w:val="48"/>
        </w:rPr>
        <w:t>Fouling Community</w:t>
      </w:r>
    </w:p>
    <w:p w14:paraId="496B4D2C" w14:textId="44D81235" w:rsidR="00E31C6D" w:rsidRDefault="00B95669"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Monitoring</w:t>
      </w:r>
      <w:r w:rsidR="00E854E6">
        <w:rPr>
          <w:rFonts w:ascii="Arial" w:hAnsi="Arial" w:cs="Arial"/>
          <w:b w:val="0"/>
          <w:bCs w:val="0"/>
          <w:color w:val="000000" w:themeColor="text1"/>
          <w:sz w:val="48"/>
          <w:szCs w:val="48"/>
        </w:rPr>
        <w:t xml:space="preserve"> Protocol</w:t>
      </w:r>
    </w:p>
    <w:p w14:paraId="45A9210B" w14:textId="433A2B71" w:rsidR="0097352D" w:rsidRDefault="009C72EE"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375C6623" w:rsidR="00D50399" w:rsidRPr="00247006" w:rsidRDefault="00E854E6" w:rsidP="00E31C6D">
      <w:pPr>
        <w:pStyle w:val="BodyText"/>
        <w:spacing w:before="0" w:after="0"/>
        <w:rPr>
          <w:rFonts w:ascii="Arial" w:hAnsi="Arial" w:cs="Arial"/>
        </w:rPr>
      </w:pPr>
      <w:r>
        <w:rPr>
          <w:noProof/>
        </w:rPr>
        <w:drawing>
          <wp:anchor distT="0" distB="0" distL="114300" distR="114300" simplePos="0" relativeHeight="251658240" behindDoc="0" locked="0" layoutInCell="1" allowOverlap="1" wp14:anchorId="5597FB76" wp14:editId="0C8FD7CA">
            <wp:simplePos x="0" y="0"/>
            <wp:positionH relativeFrom="margin">
              <wp:posOffset>354853</wp:posOffset>
            </wp:positionH>
            <wp:positionV relativeFrom="paragraph">
              <wp:posOffset>285115</wp:posOffset>
            </wp:positionV>
            <wp:extent cx="5539740" cy="41548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9740" cy="4154805"/>
                    </a:xfrm>
                    <a:prstGeom prst="rect">
                      <a:avLst/>
                    </a:prstGeom>
                  </pic:spPr>
                </pic:pic>
              </a:graphicData>
            </a:graphic>
            <wp14:sizeRelH relativeFrom="page">
              <wp14:pctWidth>0</wp14:pctWidth>
            </wp14:sizeRelH>
            <wp14:sizeRelV relativeFrom="page">
              <wp14:pctHeight>0</wp14:pctHeight>
            </wp14:sizeRelV>
          </wp:anchor>
        </w:drawing>
      </w:r>
    </w:p>
    <w:p w14:paraId="065E3B2D" w14:textId="0B6185F3" w:rsidR="00D50399" w:rsidRPr="00D50399" w:rsidRDefault="00D50399" w:rsidP="00D50399">
      <w:pPr>
        <w:pStyle w:val="BodyText"/>
      </w:pPr>
    </w:p>
    <w:p w14:paraId="5A67349B" w14:textId="390C6B61"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E854E6">
        <w:rPr>
          <w:rFonts w:ascii="Arial" w:hAnsi="Arial" w:cs="Arial"/>
          <w:sz w:val="22"/>
          <w:szCs w:val="22"/>
        </w:rPr>
        <w:t>MarineGEO Fouling Community Monitoring Protocol</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xml:space="preserve">) </w:t>
      </w:r>
      <w:r w:rsidR="00B95669">
        <w:rPr>
          <w:rFonts w:ascii="Arial" w:hAnsi="Arial" w:cs="Arial"/>
          <w:sz w:val="22"/>
          <w:szCs w:val="22"/>
        </w:rPr>
        <w:t xml:space="preserve">Janiak, Dean, </w:t>
      </w:r>
      <w:r w:rsidR="0035444E" w:rsidRPr="00247006">
        <w:rPr>
          <w:rFonts w:ascii="Arial" w:hAnsi="Arial" w:cs="Arial"/>
          <w:sz w:val="22"/>
          <w:szCs w:val="22"/>
        </w:rPr>
        <w:t>Tennenbaum Marine Observatories Network, MarineGEO, Smithsonian Institution.</w:t>
      </w:r>
      <w:r w:rsidR="00B95669">
        <w:rPr>
          <w:rFonts w:ascii="Arial" w:hAnsi="Arial" w:cs="Arial"/>
          <w:sz w:val="22"/>
          <w:szCs w:val="22"/>
        </w:rPr>
        <w:t xml:space="preserve"> </w:t>
      </w:r>
      <w:r w:rsidR="00B95669" w:rsidRPr="00B95669">
        <w:rPr>
          <w:rFonts w:ascii="Arial" w:hAnsi="Arial" w:cs="Arial"/>
          <w:sz w:val="22"/>
          <w:szCs w:val="22"/>
        </w:rPr>
        <w:t>https://doi.org/10.25573/serc.14510649.v1</w:t>
      </w:r>
    </w:p>
    <w:p w14:paraId="61DD3621" w14:textId="7C958D7A" w:rsidR="00D50399" w:rsidRDefault="00D50399" w:rsidP="00E31C6D">
      <w:pPr>
        <w:pStyle w:val="BodyText"/>
        <w:spacing w:before="0" w:after="0"/>
      </w:pPr>
    </w:p>
    <w:p w14:paraId="10618F03" w14:textId="77777777" w:rsidR="00B95669" w:rsidRDefault="00B95669" w:rsidP="00E31C6D">
      <w:pPr>
        <w:pStyle w:val="BodyText"/>
        <w:spacing w:before="0" w:after="0"/>
      </w:pPr>
    </w:p>
    <w:p w14:paraId="5ACA8442" w14:textId="77777777" w:rsidR="00D50399" w:rsidRPr="00E31C6D" w:rsidRDefault="00D50399" w:rsidP="00E31C6D">
      <w:pPr>
        <w:pStyle w:val="BodyText"/>
        <w:spacing w:before="0" w:after="0"/>
      </w:pPr>
    </w:p>
    <w:p w14:paraId="71CD6B8D" w14:textId="05561B6E" w:rsidR="00585357" w:rsidRDefault="0072534C" w:rsidP="00E854E6">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FE37DA6" w14:textId="42CCCBF9" w:rsidR="005E0228" w:rsidRPr="00E31C6D" w:rsidRDefault="009C72EE"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561BB6FD" w:rsidR="00E31C6D" w:rsidRDefault="00E31C6D" w:rsidP="00884C1B">
      <w:pPr>
        <w:spacing w:after="0" w:line="276" w:lineRule="auto"/>
        <w:jc w:val="both"/>
        <w:rPr>
          <w:rFonts w:ascii="Arial" w:eastAsia="Arial"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0047E4E6" w14:textId="77777777" w:rsidR="000A40AA" w:rsidRPr="00E31C6D" w:rsidRDefault="000A40AA" w:rsidP="00884C1B">
      <w:pPr>
        <w:spacing w:after="0" w:line="276" w:lineRule="auto"/>
        <w:jc w:val="both"/>
        <w:rPr>
          <w:rFonts w:ascii="Arial" w:eastAsia="Times New Roman" w:hAnsi="Arial" w:cs="Arial"/>
          <w:sz w:val="22"/>
          <w:szCs w:val="22"/>
        </w:rPr>
      </w:pPr>
    </w:p>
    <w:p w14:paraId="32100CE9" w14:textId="61250EFD" w:rsidR="00E31C6D" w:rsidRDefault="00E31C6D" w:rsidP="00884C1B">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Fouling communities are commonly associated with artificial structures including docks and seawalls. By virtue of </w:t>
      </w:r>
      <w:proofErr w:type="gramStart"/>
      <w:r w:rsidRPr="00E31C6D">
        <w:rPr>
          <w:rFonts w:ascii="Arial" w:eastAsia="Arial" w:hAnsi="Arial" w:cs="Arial"/>
          <w:sz w:val="22"/>
          <w:szCs w:val="22"/>
        </w:rPr>
        <w:t>close proximity</w:t>
      </w:r>
      <w:proofErr w:type="gramEnd"/>
      <w:r w:rsidRPr="00E31C6D">
        <w:rPr>
          <w:rFonts w:ascii="Arial" w:eastAsia="Arial" w:hAnsi="Arial" w:cs="Arial"/>
          <w:sz w:val="22"/>
          <w:szCs w:val="22"/>
        </w:rPr>
        <w:t xml:space="preserve">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65BCEC08" w14:textId="77777777" w:rsidR="000A40AA" w:rsidRPr="00E31C6D" w:rsidRDefault="000A40AA" w:rsidP="00884C1B">
      <w:pPr>
        <w:spacing w:after="0" w:line="276" w:lineRule="auto"/>
        <w:ind w:firstLine="5"/>
        <w:jc w:val="both"/>
        <w:rPr>
          <w:rFonts w:ascii="Arial" w:eastAsia="Times New Roman" w:hAnsi="Arial" w:cs="Arial"/>
          <w:sz w:val="22"/>
          <w:szCs w:val="22"/>
        </w:rPr>
      </w:pPr>
    </w:p>
    <w:p w14:paraId="2D32504A" w14:textId="1BB7DB41" w:rsidR="00E31C6D" w:rsidRDefault="00E31C6D" w:rsidP="00884C1B">
      <w:pPr>
        <w:spacing w:after="0" w:line="276" w:lineRule="auto"/>
        <w:ind w:hanging="6"/>
        <w:jc w:val="both"/>
        <w:rPr>
          <w:rFonts w:ascii="Arial" w:eastAsia="Arial"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 xml:space="preserve">-temporal comparisons and can serve as a baseline for a variety of manipulative studies. Fouling species are generally fast-growing, </w:t>
      </w:r>
      <w:proofErr w:type="gramStart"/>
      <w:r w:rsidRPr="00E31C6D">
        <w:rPr>
          <w:rFonts w:ascii="Arial" w:eastAsia="Arial" w:hAnsi="Arial" w:cs="Arial"/>
          <w:sz w:val="22"/>
          <w:szCs w:val="22"/>
        </w:rPr>
        <w:t>short-lived</w:t>
      </w:r>
      <w:proofErr w:type="gramEnd"/>
      <w:r w:rsidRPr="00E31C6D">
        <w:rPr>
          <w:rFonts w:ascii="Arial" w:eastAsia="Arial" w:hAnsi="Arial" w:cs="Arial"/>
          <w:sz w:val="22"/>
          <w:szCs w:val="22"/>
        </w:rPr>
        <w:t xml:space="preserve"> and tightly tied to the environment. Continued deployments can provide useful insights into how communities change overtime with changing environmental forcing factors (e.g. temperature, rainfall, pollution, etc.).</w:t>
      </w:r>
    </w:p>
    <w:p w14:paraId="7763191D" w14:textId="4D060952" w:rsidR="000A40AA" w:rsidRDefault="000A40AA" w:rsidP="00884C1B">
      <w:pPr>
        <w:spacing w:after="0" w:line="276" w:lineRule="auto"/>
        <w:ind w:hanging="6"/>
        <w:jc w:val="both"/>
        <w:rPr>
          <w:rFonts w:ascii="Arial" w:eastAsia="Times New Roman" w:hAnsi="Arial" w:cs="Arial"/>
          <w:sz w:val="22"/>
          <w:szCs w:val="22"/>
        </w:rPr>
      </w:pPr>
    </w:p>
    <w:p w14:paraId="7BA06301" w14:textId="3175C57F" w:rsidR="009C72EE" w:rsidRDefault="009C72EE" w:rsidP="009C72EE">
      <w:pPr>
        <w:spacing w:after="0" w:line="276" w:lineRule="auto"/>
        <w:ind w:hanging="6"/>
        <w:jc w:val="both"/>
        <w:rPr>
          <w:rFonts w:ascii="Arial" w:eastAsia="Times New Roman" w:hAnsi="Arial" w:cs="Arial"/>
          <w:sz w:val="22"/>
          <w:szCs w:val="22"/>
        </w:rPr>
      </w:pPr>
      <w:r w:rsidRPr="009C72EE">
        <w:rPr>
          <w:rFonts w:ascii="Arial" w:eastAsia="Times New Roman" w:hAnsi="Arial" w:cs="Arial"/>
          <w:sz w:val="22"/>
          <w:szCs w:val="22"/>
        </w:rPr>
        <w:t>We thank</w:t>
      </w:r>
      <w:r>
        <w:rPr>
          <w:rFonts w:ascii="Arial" w:eastAsia="Times New Roman" w:hAnsi="Arial" w:cs="Arial"/>
          <w:sz w:val="22"/>
          <w:szCs w:val="22"/>
        </w:rPr>
        <w:t xml:space="preserve"> </w:t>
      </w:r>
      <w:r w:rsidRPr="009C72EE">
        <w:rPr>
          <w:rFonts w:ascii="Arial" w:eastAsia="Times New Roman" w:hAnsi="Arial" w:cs="Arial"/>
          <w:sz w:val="22"/>
          <w:szCs w:val="22"/>
        </w:rPr>
        <w:t>Gustavo Dias</w:t>
      </w:r>
      <w:r>
        <w:rPr>
          <w:rFonts w:ascii="Arial" w:eastAsia="Times New Roman" w:hAnsi="Arial" w:cs="Arial"/>
          <w:sz w:val="22"/>
          <w:szCs w:val="22"/>
        </w:rPr>
        <w:t xml:space="preserve">, </w:t>
      </w:r>
      <w:r w:rsidRPr="009C72EE">
        <w:rPr>
          <w:rFonts w:ascii="Arial" w:eastAsia="Times New Roman" w:hAnsi="Arial" w:cs="Arial"/>
          <w:sz w:val="22"/>
          <w:szCs w:val="22"/>
        </w:rPr>
        <w:t>Matt Whalen</w:t>
      </w:r>
      <w:r>
        <w:rPr>
          <w:rFonts w:ascii="Arial" w:eastAsia="Times New Roman" w:hAnsi="Arial" w:cs="Arial"/>
          <w:sz w:val="22"/>
          <w:szCs w:val="22"/>
        </w:rPr>
        <w:t xml:space="preserve">, and </w:t>
      </w:r>
      <w:r w:rsidRPr="009C72EE">
        <w:rPr>
          <w:rFonts w:ascii="Arial" w:eastAsia="Times New Roman" w:hAnsi="Arial" w:cs="Arial"/>
          <w:sz w:val="22"/>
          <w:szCs w:val="22"/>
        </w:rPr>
        <w:t>Kelley Savage</w:t>
      </w:r>
      <w:r>
        <w:rPr>
          <w:rFonts w:ascii="Arial" w:eastAsia="Times New Roman" w:hAnsi="Arial" w:cs="Arial"/>
          <w:sz w:val="22"/>
          <w:szCs w:val="22"/>
        </w:rPr>
        <w:t xml:space="preserve"> </w:t>
      </w:r>
      <w:r w:rsidRPr="009C72EE">
        <w:rPr>
          <w:rFonts w:ascii="Arial" w:eastAsia="Times New Roman" w:hAnsi="Arial" w:cs="Arial"/>
          <w:sz w:val="22"/>
          <w:szCs w:val="22"/>
        </w:rPr>
        <w:t>for thoughtful feedback on the initial draft of these protocols.</w:t>
      </w:r>
    </w:p>
    <w:p w14:paraId="3F5451BC" w14:textId="77777777" w:rsidR="009C72EE" w:rsidRPr="00E31C6D" w:rsidRDefault="009C72EE" w:rsidP="00884C1B">
      <w:pPr>
        <w:spacing w:after="0" w:line="276" w:lineRule="auto"/>
        <w:ind w:hanging="6"/>
        <w:jc w:val="both"/>
        <w:rPr>
          <w:rFonts w:ascii="Arial" w:eastAsia="Times New Roman" w:hAnsi="Arial" w:cs="Arial"/>
          <w:sz w:val="22"/>
          <w:szCs w:val="22"/>
        </w:rPr>
      </w:pP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7DE32C14" w:rsidR="00E31C6D" w:rsidRPr="00884C1B" w:rsidRDefault="001A2707" w:rsidP="00884C1B">
      <w:pPr>
        <w:pStyle w:val="ListParagraph"/>
        <w:numPr>
          <w:ilvl w:val="0"/>
          <w:numId w:val="24"/>
        </w:numPr>
        <w:tabs>
          <w:tab w:val="left" w:pos="520"/>
        </w:tabs>
        <w:spacing w:after="0" w:line="276" w:lineRule="auto"/>
        <w:rPr>
          <w:rFonts w:ascii="Arial" w:eastAsia="Arial" w:hAnsi="Arial" w:cs="Arial"/>
          <w:sz w:val="22"/>
          <w:szCs w:val="22"/>
        </w:rPr>
      </w:pPr>
      <w:hyperlink r:id="rId10" w:history="1">
        <w:r w:rsidRPr="001A2707">
          <w:rPr>
            <w:rStyle w:val="Hyperlink"/>
            <w:rFonts w:ascii="Arial" w:eastAsia="Arial" w:hAnsi="Arial" w:cs="Arial"/>
            <w:sz w:val="22"/>
            <w:szCs w:val="22"/>
          </w:rPr>
          <w:t>Environmental Monitoring</w:t>
        </w:r>
      </w:hyperlink>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8B7CF0"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DA7C16B" w14:textId="77777777" w:rsidR="000A40AA"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w:t>
      </w:r>
    </w:p>
    <w:p w14:paraId="49699FB8" w14:textId="77777777" w:rsidR="000A40AA" w:rsidRDefault="000A40AA" w:rsidP="00E31C6D">
      <w:pPr>
        <w:spacing w:after="0" w:line="276" w:lineRule="auto"/>
        <w:ind w:firstLine="5"/>
        <w:jc w:val="both"/>
        <w:rPr>
          <w:rFonts w:ascii="Arial" w:eastAsia="Arial" w:hAnsi="Arial" w:cs="Arial"/>
          <w:sz w:val="22"/>
          <w:szCs w:val="22"/>
        </w:rPr>
      </w:pPr>
    </w:p>
    <w:p w14:paraId="39994DF4" w14:textId="77777777" w:rsidR="000A40AA" w:rsidRDefault="000A40AA" w:rsidP="00E31C6D">
      <w:pPr>
        <w:spacing w:after="0" w:line="276" w:lineRule="auto"/>
        <w:ind w:firstLine="5"/>
        <w:jc w:val="both"/>
        <w:rPr>
          <w:rFonts w:ascii="Arial" w:eastAsia="Arial" w:hAnsi="Arial" w:cs="Arial"/>
          <w:sz w:val="22"/>
          <w:szCs w:val="22"/>
        </w:rPr>
      </w:pPr>
    </w:p>
    <w:p w14:paraId="28E05B92" w14:textId="77777777" w:rsidR="000A40AA" w:rsidRDefault="000A40AA" w:rsidP="00E31C6D">
      <w:pPr>
        <w:spacing w:after="0" w:line="276" w:lineRule="auto"/>
        <w:ind w:firstLine="5"/>
        <w:jc w:val="both"/>
        <w:rPr>
          <w:rFonts w:ascii="Arial" w:eastAsia="Arial" w:hAnsi="Arial" w:cs="Arial"/>
          <w:sz w:val="22"/>
          <w:szCs w:val="22"/>
        </w:rPr>
      </w:pPr>
    </w:p>
    <w:p w14:paraId="02090C51" w14:textId="49504E80"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9C72EE" w:rsidP="00E31C6D">
      <w:pPr>
        <w:pStyle w:val="Compact"/>
        <w:spacing w:before="0" w:after="0"/>
        <w:rPr>
          <w:rFonts w:ascii="Arial" w:hAnsi="Arial" w:cs="Arial"/>
        </w:rPr>
      </w:pPr>
      <w:r>
        <w:rPr>
          <w:rFonts w:ascii="Arial" w:hAnsi="Arial" w:cs="Arial"/>
          <w:noProof/>
        </w:rPr>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47F073CC"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w:t>
      </w:r>
      <w:proofErr w:type="gramStart"/>
      <w:r w:rsidRPr="00884C1B">
        <w:rPr>
          <w:rFonts w:ascii="Arial" w:eastAsia="Arial" w:hAnsi="Arial" w:cs="Arial"/>
          <w:sz w:val="22"/>
          <w:szCs w:val="22"/>
        </w:rPr>
        <w:t>The majority of</w:t>
      </w:r>
      <w:proofErr w:type="gramEnd"/>
      <w:r w:rsidRPr="00884C1B">
        <w:rPr>
          <w:rFonts w:ascii="Arial" w:eastAsia="Arial" w:hAnsi="Arial" w:cs="Arial"/>
          <w:sz w:val="22"/>
          <w:szCs w:val="22"/>
        </w:rPr>
        <w:t xml:space="preserve"> data from this protocol comes in the form of photographs of the communities over time. It is vital that photographs be both clear and labeled properly to be useful for post-processing. In many cases, the identification of these species can be </w:t>
      </w:r>
      <w:proofErr w:type="gramStart"/>
      <w:r w:rsidR="000A40AA" w:rsidRPr="00884C1B">
        <w:rPr>
          <w:rFonts w:ascii="Arial" w:eastAsia="Arial" w:hAnsi="Arial" w:cs="Arial"/>
          <w:sz w:val="22"/>
          <w:szCs w:val="22"/>
        </w:rPr>
        <w:t>difficult</w:t>
      </w:r>
      <w:proofErr w:type="gramEnd"/>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w:t>
      </w:r>
      <w:proofErr w:type="gramStart"/>
      <w:r w:rsidRPr="00E31C6D">
        <w:rPr>
          <w:rFonts w:ascii="Arial" w:eastAsia="Arial" w:hAnsi="Arial" w:cs="Arial"/>
          <w:sz w:val="22"/>
          <w:szCs w:val="22"/>
        </w:rPr>
        <w:t>however</w:t>
      </w:r>
      <w:proofErr w:type="gramEnd"/>
      <w:r w:rsidRPr="00E31C6D">
        <w:rPr>
          <w:rFonts w:ascii="Arial" w:eastAsia="Arial" w:hAnsi="Arial" w:cs="Arial"/>
          <w:sz w:val="22"/>
          <w:szCs w:val="22"/>
        </w:rPr>
        <w:t xml:space="preserve">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w:t>
      </w:r>
      <w:r w:rsidRPr="00E31C6D">
        <w:rPr>
          <w:rFonts w:ascii="Arial" w:eastAsia="Arial" w:hAnsi="Arial" w:cs="Arial"/>
          <w:sz w:val="22"/>
          <w:szCs w:val="22"/>
        </w:rPr>
        <w:lastRenderedPageBreak/>
        <w:t xml:space="preserve">busy summer months, panels can be individually bagged and labeled in the field and then frozen and processed </w:t>
      </w:r>
      <w:proofErr w:type="gramStart"/>
      <w:r w:rsidRPr="00E31C6D">
        <w:rPr>
          <w:rFonts w:ascii="Arial" w:eastAsia="Arial" w:hAnsi="Arial" w:cs="Arial"/>
          <w:sz w:val="22"/>
          <w:szCs w:val="22"/>
        </w:rPr>
        <w:t>at a later date</w:t>
      </w:r>
      <w:proofErr w:type="gramEnd"/>
      <w:r w:rsidRPr="00E31C6D">
        <w:rPr>
          <w:rFonts w:ascii="Arial" w:eastAsia="Arial" w:hAnsi="Arial" w:cs="Arial"/>
          <w:sz w:val="22"/>
          <w:szCs w:val="22"/>
        </w:rPr>
        <w:t xml:space="preserv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w:t>
      </w:r>
      <w:proofErr w:type="gramStart"/>
      <w:r w:rsidRPr="00884C1B">
        <w:rPr>
          <w:rFonts w:ascii="Arial" w:eastAsia="Arial" w:hAnsi="Arial" w:cs="Arial"/>
          <w:sz w:val="22"/>
          <w:szCs w:val="22"/>
        </w:rPr>
        <w:t>similar to</w:t>
      </w:r>
      <w:proofErr w:type="gramEnd"/>
      <w:r w:rsidRPr="00884C1B">
        <w:rPr>
          <w:rFonts w:ascii="Arial" w:eastAsia="Arial" w:hAnsi="Arial" w:cs="Arial"/>
          <w:sz w:val="22"/>
          <w:szCs w:val="22"/>
        </w:rPr>
        <w:t xml:space="preserve">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w:t>
      </w:r>
      <w:proofErr w:type="gramStart"/>
      <w:r w:rsidRPr="00884C1B">
        <w:rPr>
          <w:rFonts w:ascii="Arial" w:eastAsia="Arial" w:hAnsi="Arial" w:cs="Arial"/>
          <w:sz w:val="22"/>
          <w:szCs w:val="22"/>
        </w:rPr>
        <w:t>at a later date</w:t>
      </w:r>
      <w:proofErr w:type="gramEnd"/>
      <w:r w:rsidRPr="00884C1B">
        <w:rPr>
          <w:rFonts w:ascii="Arial" w:eastAsia="Arial" w:hAnsi="Arial" w:cs="Arial"/>
          <w:sz w:val="22"/>
          <w:szCs w:val="22"/>
        </w:rPr>
        <w:t>. The requirements for this are optional as this can be a time-consuming task and requires taxonomic knowledge of diﬃcult fauna.</w:t>
      </w:r>
    </w:p>
    <w:p w14:paraId="3C226AF6" w14:textId="722DB8F2" w:rsidR="00884C1B" w:rsidRDefault="00884C1B" w:rsidP="00884C1B">
      <w:pPr>
        <w:spacing w:after="0" w:line="276" w:lineRule="auto"/>
        <w:ind w:hanging="7"/>
        <w:jc w:val="both"/>
        <w:rPr>
          <w:rFonts w:ascii="Arial" w:eastAsia="Arial" w:hAnsi="Arial" w:cs="Arial"/>
          <w:sz w:val="22"/>
          <w:szCs w:val="22"/>
        </w:rPr>
      </w:pPr>
    </w:p>
    <w:p w14:paraId="5F1D0616" w14:textId="77777777" w:rsidR="00A7055D" w:rsidRPr="00884C1B" w:rsidRDefault="00A7055D"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lastRenderedPageBreak/>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7E96A2F5" w14:textId="77777777" w:rsidR="00884C1B" w:rsidRPr="00E31C6D" w:rsidRDefault="00884C1B" w:rsidP="00E31C6D">
      <w:pPr>
        <w:spacing w:after="0"/>
        <w:rPr>
          <w:sz w:val="20"/>
          <w:szCs w:val="20"/>
        </w:rPr>
      </w:pPr>
    </w:p>
    <w:p w14:paraId="31AA365C" w14:textId="02292C31" w:rsidR="00E31C6D" w:rsidRPr="00247006" w:rsidRDefault="009C72EE" w:rsidP="00E31C6D">
      <w:pPr>
        <w:pStyle w:val="Compact"/>
        <w:spacing w:before="0" w:after="0"/>
        <w:rPr>
          <w:rFonts w:ascii="Arial" w:hAnsi="Arial" w:cs="Arial"/>
        </w:rPr>
      </w:pPr>
      <w:r>
        <w:rPr>
          <w:rFonts w:ascii="Arial" w:hAnsi="Arial" w:cs="Arial"/>
          <w:noProof/>
        </w:rPr>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3A34AE05"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0D788ACB"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2"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770B6DA8"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Measure environmental parameters (see Environmental </w:t>
      </w:r>
      <w:r w:rsidR="001A6393">
        <w:rPr>
          <w:rFonts w:ascii="Arial" w:eastAsia="Arial" w:hAnsi="Arial" w:cs="Arial"/>
          <w:sz w:val="22"/>
          <w:szCs w:val="22"/>
        </w:rPr>
        <w:t>Monitoring</w:t>
      </w:r>
      <w:r w:rsidRPr="00884C1B">
        <w:rPr>
          <w:rFonts w:ascii="Arial" w:eastAsia="Arial" w:hAnsi="Arial" w:cs="Arial"/>
          <w:sz w:val="22"/>
          <w:szCs w:val="22"/>
        </w:rPr>
        <w:t xml:space="preserve"> Protocol</w:t>
      </w:r>
      <w:r w:rsidR="00E14BFE">
        <w:rPr>
          <w:rFonts w:ascii="Arial" w:eastAsia="Arial" w:hAnsi="Arial" w:cs="Arial"/>
          <w:sz w:val="22"/>
          <w:szCs w:val="22"/>
        </w:rPr>
        <w:t xml:space="preserve"> – doi.org/</w:t>
      </w:r>
      <w:r w:rsidR="00E14BFE" w:rsidRPr="00E14BFE">
        <w:rPr>
          <w:rFonts w:ascii="Arial" w:eastAsia="Arial" w:hAnsi="Arial" w:cs="Arial"/>
          <w:sz w:val="22"/>
          <w:szCs w:val="22"/>
        </w:rPr>
        <w:t>10.25573/serc.14555511</w:t>
      </w:r>
      <w:r w:rsidRPr="00884C1B">
        <w:rPr>
          <w:rFonts w:ascii="Arial" w:eastAsia="Arial" w:hAnsi="Arial" w:cs="Arial"/>
          <w:sz w:val="22"/>
          <w:szCs w:val="22"/>
        </w:rPr>
        <w:t>).</w:t>
      </w:r>
    </w:p>
    <w:p w14:paraId="2AEED6C6" w14:textId="0C7ABF45" w:rsidR="00E31C6D"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5C0869A5" w14:textId="025B35B9" w:rsidR="008F6F76" w:rsidRPr="00884C1B" w:rsidRDefault="008F6F76" w:rsidP="00884C1B">
      <w:pPr>
        <w:pStyle w:val="ListParagraph"/>
        <w:numPr>
          <w:ilvl w:val="0"/>
          <w:numId w:val="29"/>
        </w:numPr>
        <w:tabs>
          <w:tab w:val="left" w:pos="520"/>
        </w:tabs>
        <w:spacing w:after="0" w:line="276" w:lineRule="auto"/>
        <w:jc w:val="both"/>
        <w:rPr>
          <w:rFonts w:ascii="Arial" w:eastAsia="Arial" w:hAnsi="Arial" w:cs="Arial"/>
          <w:sz w:val="22"/>
          <w:szCs w:val="22"/>
        </w:rPr>
      </w:pPr>
      <w:r>
        <w:rPr>
          <w:rFonts w:ascii="Arial" w:eastAsia="Arial" w:hAnsi="Arial" w:cs="Arial"/>
          <w:sz w:val="22"/>
          <w:szCs w:val="22"/>
        </w:rPr>
        <w:t xml:space="preserve">Record panel’s deployment coordinates and deployment date on the </w:t>
      </w:r>
      <w:hyperlink r:id="rId13" w:history="1">
        <w:r w:rsidRPr="008F6F76">
          <w:rPr>
            <w:rStyle w:val="Hyperlink"/>
            <w:rFonts w:ascii="Arial" w:eastAsia="Arial" w:hAnsi="Arial" w:cs="Arial"/>
            <w:sz w:val="22"/>
            <w:szCs w:val="22"/>
          </w:rPr>
          <w:t>Fouling Panel Sampling Metadata field sheet</w:t>
        </w:r>
      </w:hyperlink>
      <w:r>
        <w:rPr>
          <w:rFonts w:ascii="Arial" w:eastAsia="Arial" w:hAnsi="Arial" w:cs="Arial"/>
          <w:sz w:val="22"/>
          <w:szCs w:val="22"/>
        </w:rPr>
        <w:t xml:space="preserve">. </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lastRenderedPageBreak/>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304AA6C3" w14:textId="30F582C5" w:rsidR="00884C1B" w:rsidRPr="00247006" w:rsidRDefault="00884C1B" w:rsidP="00E31C6D">
      <w:pPr>
        <w:pStyle w:val="Compact"/>
        <w:spacing w:before="0" w:after="0"/>
        <w:rPr>
          <w:rFonts w:ascii="Arial" w:hAnsi="Arial" w:cs="Arial"/>
        </w:rPr>
      </w:pPr>
    </w:p>
    <w:p w14:paraId="6369FA2F" w14:textId="73AFBA5B" w:rsidR="005E0228" w:rsidRPr="00247006" w:rsidRDefault="009C72EE" w:rsidP="00E31C6D">
      <w:pPr>
        <w:pStyle w:val="Compact"/>
        <w:spacing w:before="0" w:after="0"/>
        <w:rPr>
          <w:rFonts w:ascii="Arial" w:hAnsi="Arial" w:cs="Arial"/>
        </w:rPr>
      </w:pPr>
      <w:r>
        <w:rPr>
          <w:rFonts w:ascii="Arial" w:hAnsi="Arial" w:cs="Arial"/>
          <w:noProof/>
        </w:rPr>
        <w:pict w14:anchorId="378D3ABB">
          <v:shape id="_x0000_i1030" type="#_x0000_t75" alt="" style="width:467.85pt;height:1.5pt;mso-width-percent:0;mso-height-percent:0;mso-width-percent:0;mso-height-percent:0" o:hrpct="0" o:hralign="center" o:hr="t">
            <v:imagedata r:id="rId7" o:title="Default Line"/>
          </v:shape>
        </w:pict>
      </w:r>
    </w:p>
    <w:p w14:paraId="37118291" w14:textId="77777777" w:rsidR="0097352D" w:rsidRPr="00247006" w:rsidRDefault="0035444E" w:rsidP="00E31C6D">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17A98595" w14:textId="77777777" w:rsidR="00407605" w:rsidRDefault="00407605" w:rsidP="00407605">
      <w:pPr>
        <w:pStyle w:val="Compact"/>
        <w:spacing w:before="0" w:after="0" w:line="276" w:lineRule="auto"/>
        <w:ind w:left="360"/>
        <w:rPr>
          <w:rFonts w:ascii="Arial" w:hAnsi="Arial" w:cs="Arial"/>
          <w:sz w:val="22"/>
          <w:szCs w:val="22"/>
        </w:rPr>
      </w:pPr>
    </w:p>
    <w:p w14:paraId="35CAB32B" w14:textId="075309BE"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34A09FB3"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Enter data into the </w:t>
      </w:r>
      <w:hyperlink r:id="rId14" w:history="1">
        <w:r w:rsidRPr="008F6F76">
          <w:rPr>
            <w:rStyle w:val="Hyperlink"/>
            <w:rFonts w:ascii="Arial" w:hAnsi="Arial" w:cs="Arial"/>
            <w:sz w:val="22"/>
            <w:szCs w:val="22"/>
          </w:rPr>
          <w:t>provided data entry template</w:t>
        </w:r>
      </w:hyperlink>
      <w:r w:rsidRPr="00247006">
        <w:rPr>
          <w:rFonts w:ascii="Arial" w:hAnsi="Arial" w:cs="Arial"/>
          <w:sz w:val="22"/>
          <w:szCs w:val="22"/>
        </w:rPr>
        <w:t>. Each template is an Excel spreadsheet. Please provide as much protocol and sample metadata as possible</w:t>
      </w:r>
      <w:r w:rsidR="00085A96">
        <w:rPr>
          <w:rFonts w:ascii="Arial" w:hAnsi="Arial" w:cs="Arial"/>
          <w:sz w:val="22"/>
          <w:szCs w:val="22"/>
        </w:rPr>
        <w:t xml:space="preserve">. </w:t>
      </w:r>
      <w:r w:rsidRPr="00247006">
        <w:rPr>
          <w:rFonts w:ascii="Arial" w:hAnsi="Arial" w:cs="Arial"/>
          <w:sz w:val="22"/>
          <w:szCs w:val="22"/>
        </w:rPr>
        <w:t>Use the “notes” columns to provide additional information or context if a relevant column doesn’t already exist, rather than renaming or creating columns.</w:t>
      </w:r>
    </w:p>
    <w:p w14:paraId="3A9F2C6C" w14:textId="45456AD8"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Use our online submission portal to upload the Excel Spreadsheet</w:t>
      </w:r>
      <w:r w:rsidR="00E81941">
        <w:rPr>
          <w:rFonts w:ascii="Arial" w:hAnsi="Arial" w:cs="Arial"/>
          <w:sz w:val="22"/>
          <w:szCs w:val="22"/>
        </w:rPr>
        <w:t xml:space="preserve"> and the CSVs export from temperature loggers</w:t>
      </w:r>
      <w:r w:rsidRPr="00247006">
        <w:rPr>
          <w:rFonts w:ascii="Arial" w:hAnsi="Arial" w:cs="Arial"/>
          <w:sz w:val="22"/>
          <w:szCs w:val="22"/>
        </w:rPr>
        <w:t xml:space="preserve">: </w:t>
      </w:r>
      <w:hyperlink r:id="rId15">
        <w:r w:rsidRPr="00247006">
          <w:rPr>
            <w:rStyle w:val="Hyperlink"/>
            <w:rFonts w:ascii="Arial" w:hAnsi="Arial" w:cs="Arial"/>
            <w:sz w:val="22"/>
            <w:szCs w:val="22"/>
          </w:rPr>
          <w:t>https://marinegeo.github.io/data-submission</w:t>
        </w:r>
      </w:hyperlink>
    </w:p>
    <w:p w14:paraId="07780A2C" w14:textId="48A34B4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6" w:history="1">
        <w:r w:rsidR="00B07F3C" w:rsidRPr="00972080">
          <w:rPr>
            <w:rStyle w:val="Hyperlink"/>
            <w:rFonts w:ascii="Arial" w:hAnsi="Arial" w:cs="Arial"/>
            <w:sz w:val="22"/>
            <w:szCs w:val="22"/>
          </w:rPr>
          <w:t>marinegeo-protocols@si.edu</w:t>
        </w:r>
      </w:hyperlink>
    </w:p>
    <w:sectPr w:rsidR="0097352D" w:rsidRPr="00247006" w:rsidSect="00D26965">
      <w:headerReference w:type="default" r:id="rId17"/>
      <w:footerReference w:type="even" r:id="rId18"/>
      <w:footerReference w:type="default" r:id="rId19"/>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E6056" w14:textId="77777777" w:rsidR="008B7CF0" w:rsidRDefault="008B7CF0">
      <w:pPr>
        <w:spacing w:after="0"/>
      </w:pPr>
      <w:r>
        <w:separator/>
      </w:r>
    </w:p>
  </w:endnote>
  <w:endnote w:type="continuationSeparator" w:id="0">
    <w:p w14:paraId="21B34D17" w14:textId="77777777" w:rsidR="008B7CF0" w:rsidRDefault="008B7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136D5" w14:textId="77777777" w:rsidR="008B7CF0" w:rsidRDefault="008B7CF0">
      <w:r>
        <w:separator/>
      </w:r>
    </w:p>
  </w:footnote>
  <w:footnote w:type="continuationSeparator" w:id="0">
    <w:p w14:paraId="14273443" w14:textId="77777777" w:rsidR="008B7CF0" w:rsidRDefault="008B7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3B28EDEA" w:rsidR="00F26952"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85A96"/>
    <w:rsid w:val="000A40AA"/>
    <w:rsid w:val="000E38CD"/>
    <w:rsid w:val="0013479D"/>
    <w:rsid w:val="00164117"/>
    <w:rsid w:val="001A2707"/>
    <w:rsid w:val="001A6393"/>
    <w:rsid w:val="00247006"/>
    <w:rsid w:val="002E334F"/>
    <w:rsid w:val="00326CE5"/>
    <w:rsid w:val="0035444E"/>
    <w:rsid w:val="00407605"/>
    <w:rsid w:val="004877CE"/>
    <w:rsid w:val="004E29B3"/>
    <w:rsid w:val="004E5B22"/>
    <w:rsid w:val="00585357"/>
    <w:rsid w:val="00590D07"/>
    <w:rsid w:val="005E0228"/>
    <w:rsid w:val="00632907"/>
    <w:rsid w:val="00677A29"/>
    <w:rsid w:val="006930CF"/>
    <w:rsid w:val="006E6934"/>
    <w:rsid w:val="0072534C"/>
    <w:rsid w:val="00784D58"/>
    <w:rsid w:val="008151D8"/>
    <w:rsid w:val="00884C1B"/>
    <w:rsid w:val="00894B57"/>
    <w:rsid w:val="008B7CF0"/>
    <w:rsid w:val="008D6863"/>
    <w:rsid w:val="008F6F76"/>
    <w:rsid w:val="0097352D"/>
    <w:rsid w:val="009C72EE"/>
    <w:rsid w:val="00A178CF"/>
    <w:rsid w:val="00A374FC"/>
    <w:rsid w:val="00A7055D"/>
    <w:rsid w:val="00AB60B3"/>
    <w:rsid w:val="00AD2F3B"/>
    <w:rsid w:val="00B07F3C"/>
    <w:rsid w:val="00B42B99"/>
    <w:rsid w:val="00B86B75"/>
    <w:rsid w:val="00B95669"/>
    <w:rsid w:val="00BC3C50"/>
    <w:rsid w:val="00BC48D5"/>
    <w:rsid w:val="00C01ABC"/>
    <w:rsid w:val="00C36279"/>
    <w:rsid w:val="00C65308"/>
    <w:rsid w:val="00C9234C"/>
    <w:rsid w:val="00CA7982"/>
    <w:rsid w:val="00D26965"/>
    <w:rsid w:val="00D50399"/>
    <w:rsid w:val="00E14BFE"/>
    <w:rsid w:val="00E315A3"/>
    <w:rsid w:val="00E31C6D"/>
    <w:rsid w:val="00E81941"/>
    <w:rsid w:val="00E854E6"/>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 w:type="character" w:styleId="UnresolvedMention">
    <w:name w:val="Unresolved Mention"/>
    <w:basedOn w:val="DefaultParagraphFont"/>
    <w:uiPriority w:val="99"/>
    <w:semiHidden/>
    <w:unhideWhenUsed/>
    <w:rsid w:val="00B07F3C"/>
    <w:rPr>
      <w:color w:val="605E5C"/>
      <w:shd w:val="clear" w:color="auto" w:fill="E1DFDD"/>
    </w:rPr>
  </w:style>
  <w:style w:type="character" w:styleId="FollowedHyperlink">
    <w:name w:val="FollowedHyperlink"/>
    <w:basedOn w:val="DefaultParagraphFont"/>
    <w:semiHidden/>
    <w:unhideWhenUsed/>
    <w:rsid w:val="008F6F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25573/serc.14510649"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mailto:marinegeo-protocols@si.edu%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arinegeo-protocols@si.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20" TargetMode="External"/><Relationship Id="rId5" Type="http://schemas.openxmlformats.org/officeDocument/2006/relationships/footnotes" Target="footnotes.xml"/><Relationship Id="rId15" Type="http://schemas.openxmlformats.org/officeDocument/2006/relationships/hyperlink" Target="https://marinegeo.github.io/data-submission" TargetMode="External"/><Relationship Id="rId10" Type="http://schemas.openxmlformats.org/officeDocument/2006/relationships/hyperlink" Target="https://doi.org/10.25573/serc.1455551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25573/serc.1451064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28</cp:revision>
  <dcterms:created xsi:type="dcterms:W3CDTF">2020-10-28T20:51:00Z</dcterms:created>
  <dcterms:modified xsi:type="dcterms:W3CDTF">2021-07-09T13:43:00Z</dcterms:modified>
</cp:coreProperties>
</file>