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Marinebio Group Inc.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FCC Paper Filler Technology  —  Seed Round  —  Investor One-Pager</w:t>
      </w:r>
    </w:p>
    <w:p>
      <w:pPr>
        <w:pBdr>
          <w:bottom w:val="single" w:color="1F3A5F" w:sz="12" w:space="1"/>
        </w:pBdr>
        <w:spacing w:after="60"/>
      </w:pPr>
      <w:r>
        <w:rPr>
          <w:sz w:val="2"/>
          <w:szCs w:val="2"/>
        </w:rPr>
        <w:t xml:space="preserve"/>
      </w:r>
    </w:p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THE PITCH</w:t>
      </w:r>
    </w:p>
    <w:p>
      <w:pPr>
        <w:shd w:fill="E8EEF5" w:val="clear"/>
        <w:spacing w:after="60" w:before="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Replace plastic with paper — affordably, at global scale. </w:t>
      </w:r>
      <w:r>
        <w:rPr>
          <w:rFonts w:ascii="Calibri" w:cs="Calibri" w:eastAsia="Calibri" w:hAnsi="Calibri"/>
          <w:sz w:val="20"/>
          <w:szCs w:val="20"/>
        </w:rPr>
        <w:t xml:space="preserve">We license 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FCC (Flexible Calcium Carbonate)</w:t>
      </w:r>
      <w:r>
        <w:rPr>
          <w:rFonts w:ascii="Calibri" w:cs="Calibri" w:eastAsia="Calibri" w:hAnsi="Calibri"/>
          <w:sz w:val="20"/>
          <w:szCs w:val="20"/>
        </w:rPr>
        <w:t xml:space="preserve">, the only paper filler with </w:t>
      </w:r>
      <w:r>
        <w:rPr>
          <w:rFonts w:ascii="Calibri" w:cs="Calibri" w:eastAsia="Calibri" w:hAnsi="Calibri"/>
          <w:b/>
          <w:bCs/>
          <w:i/>
          <w:iCs/>
          <w:color w:val="16A085"/>
          <w:sz w:val="20"/>
          <w:szCs w:val="20"/>
        </w:rPr>
        <w:t xml:space="preserve">Strong Fiber-Mineral Bonding</w:t>
      </w:r>
      <w:r>
        <w:rPr>
          <w:rFonts w:ascii="Calibri" w:cs="Calibri" w:eastAsia="Calibri" w:hAnsi="Calibri"/>
          <w:sz w:val="20"/>
          <w:szCs w:val="20"/>
        </w:rPr>
        <w:t xml:space="preserve"> — CaCO₃ grown in-situ on a cellulose-nanofibril core, not just mixed. The world’s top filler maker is already producing FCC.</w:t>
      </w:r>
    </w:p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TRACTION — ALREADY IN COMMERCIAL MOTION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26"/>
                <w:szCs w:val="26"/>
              </w:rPr>
              <w:t xml:space="preserve">19,000 tons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6"/>
                <w:szCs w:val="26"/>
              </w:rPr>
              <w:t xml:space="preserve">GCC + PCC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4536"/>
                <w:sz w:val="26"/>
                <w:szCs w:val="26"/>
              </w:rPr>
              <w:t xml:space="preserve">3–5%</w:t>
            </w:r>
          </w:p>
        </w:tc>
      </w:tr>
      <w:tr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9,000 t confirmed + ~10,000 t in motion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Validated in both filler chemistries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Royalty / ton ($250–350)</w:t>
            </w:r>
          </w:p>
        </w:tc>
      </w:tr>
    </w:tbl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WHY IT WINS — NO TRADE-OFF ACROSS ALL 4 PREMIUM REQUIREMENTS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High Bulk + High Strength + High Stiffness + High Smoothness</w:t>
      </w:r>
      <w:r>
        <w:rPr>
          <w:rFonts w:ascii="Calibri" w:cs="Calibri" w:eastAsia="Calibri" w:hAnsi="Calibri"/>
          <w:sz w:val="19"/>
          <w:szCs w:val="19"/>
        </w:rPr>
        <w:t xml:space="preserve"> achieved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simultaneously</w:t>
      </w:r>
      <w:r>
        <w:rPr>
          <w:rFonts w:ascii="Calibri" w:cs="Calibri" w:eastAsia="Calibri" w:hAnsi="Calibri"/>
          <w:sz w:val="19"/>
          <w:szCs w:val="19"/>
        </w:rPr>
        <w:t xml:space="preserve"> — the dilemma every other filler chemistry forces is gone.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Tissue unlocked: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first filler ever validated in tissue</w:t>
      </w:r>
      <w:r>
        <w:rPr>
          <w:rFonts w:ascii="Calibri" w:cs="Calibri" w:eastAsia="Calibri" w:hAnsi="Calibri"/>
          <w:sz w:val="19"/>
          <w:szCs w:val="19"/>
        </w:rPr>
        <w:t xml:space="preserve"> — a brand-new ~2M t/yr filler market across a 40–45M t/yr tissue industry.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IP moat: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5 granted patents</w:t>
      </w:r>
      <w:r>
        <w:rPr>
          <w:rFonts w:ascii="Calibri" w:cs="Calibri" w:eastAsia="Calibri" w:hAnsi="Calibri"/>
          <w:sz w:val="19"/>
          <w:szCs w:val="19"/>
        </w:rPr>
        <w:t xml:space="preserve"> (Korea, 2013–2025) +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7 pending</w:t>
      </w:r>
      <w:r>
        <w:rPr>
          <w:rFonts w:ascii="Calibri" w:cs="Calibri" w:eastAsia="Calibri" w:hAnsi="Calibri"/>
          <w:sz w:val="19"/>
          <w:szCs w:val="19"/>
        </w:rPr>
        <w:t xml:space="preserve"> (Korea, PCT, US, expanding to EU/JP/CN/IN/ID) + 3 SCI papers.</w:t>
      </w:r>
    </w:p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COMPETITION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46"/>
        <w:gridCol w:w="2747"/>
        <w:gridCol w:w="2747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Omya &amp; Imerys (Fiber-Lean)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Specialty Minerals (FulFill)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Marinebio (FCC)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Bonding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Physical mixing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Solid particle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Fiber-Mineral Bonding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Bulk + Strength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Loading-limited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Maintained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Both, together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Tissue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Targeted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Validated — only one</w:t>
            </w:r>
          </w:p>
        </w:tc>
      </w:tr>
    </w:tbl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MARKET — THREE PAPER SEGMENTS, ANNUAL PRODUCTION VOLUME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Graphic: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84M t/yr</w:t>
      </w:r>
      <w:r>
        <w:rPr>
          <w:rFonts w:ascii="Calibri" w:cs="Calibri" w:eastAsia="Calibri" w:hAnsi="Calibri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Packaging: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267M t/yr</w:t>
      </w:r>
      <w:r>
        <w:rPr>
          <w:rFonts w:ascii="Calibri" w:cs="Calibri" w:eastAsia="Calibri" w:hAnsi="Calibri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Tissue: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40–45M t/yr (newly accessible)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Pulp at $600–800/t vs FCC at $250–350/t — </w:t>
      </w:r>
      <w:r>
        <w:rPr>
          <w:rFonts w:ascii="Calibri" w:cs="Calibri" w:eastAsia="Calibri" w:hAnsi="Calibri"/>
          <w:b/>
          <w:bCs/>
          <w:color w:val="16A085"/>
          <w:sz w:val="19"/>
          <w:szCs w:val="19"/>
        </w:rPr>
        <w:t xml:space="preserve">~$350/ton savings</w:t>
      </w:r>
      <w:r>
        <w:rPr>
          <w:rFonts w:ascii="Calibri" w:cs="Calibri" w:eastAsia="Calibri" w:hAnsi="Calibri"/>
          <w:sz w:val="19"/>
          <w:szCs w:val="19"/>
        </w:rPr>
        <w:t xml:space="preserve"> makes the substitution economically forced, not just preferred.</w:t>
      </w:r>
    </w:p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BUSINESS MODEL — ROYALTY-BASED, ASSET-LIGHT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MBG licenses tech to a filler maker; filler maker produces FCC for paper mills (mills require </w:t>
      </w:r>
      <w:r>
        <w:rPr>
          <w:rFonts w:ascii="Calibri" w:cs="Calibri" w:eastAsia="Calibri" w:hAnsi="Calibri"/>
          <w:b/>
          <w:bCs/>
          <w:color w:val="16A085"/>
          <w:sz w:val="19"/>
          <w:szCs w:val="19"/>
        </w:rPr>
        <w:t xml:space="preserve">zero CAPEX</w:t>
      </w:r>
      <w:r>
        <w:rPr>
          <w:rFonts w:ascii="Calibri" w:cs="Calibri" w:eastAsia="Calibri" w:hAnsi="Calibri"/>
          <w:sz w:val="19"/>
          <w:szCs w:val="19"/>
        </w:rPr>
        <w:t xml:space="preserve">). MBG earns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3–5% royalty on ~$250–350/ton FCC = $7.5–$17.5/ton.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10–15-year supply contracts — royalties are near-pure-margin; the business self-funds after launch.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Year 1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Year 2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Volume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0.29M t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0.82M t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2.24M t</w:t>
            </w:r>
          </w:p>
        </w:tc>
      </w:tr>
      <w:tr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Royalty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$2.9M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$8.2M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085"/>
                <w:sz w:val="18"/>
                <w:szCs w:val="18"/>
              </w:rPr>
              <w:t xml:space="preserve">$22.4M</w:t>
            </w:r>
          </w:p>
        </w:tc>
      </w:tr>
    </w:tbl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THE ASK — $1M FOR 5% · $20M PRE-MONEY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4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$500K</w:t>
            </w:r>
          </w:p>
        </w:tc>
        <w:tc>
          <w:tcPr>
            <w:tcW w:type="dxa" w:w="9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Patent transfer (US + global filings, IP transition into the U.S. holdco)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$200K</w:t>
            </w:r>
          </w:p>
        </w:tc>
        <w:tc>
          <w:tcPr>
            <w:tcW w:type="dxa" w:w="9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Tissue testing (unlocking the new 40M t/yr filler market — no incumbent has this)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$300K</w:t>
            </w:r>
          </w:p>
        </w:tc>
        <w:tc>
          <w:tcPr>
            <w:tcW w:type="dxa" w:w="9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Operations (12-month runway to royalty inflection)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Why $20M pre-money: </w:t>
      </w:r>
      <w:r>
        <w:rPr>
          <w:rFonts w:ascii="Calibri" w:cs="Calibri" w:eastAsia="Calibri" w:hAnsi="Calibri"/>
          <w:sz w:val="19"/>
          <w:szCs w:val="19"/>
        </w:rPr>
        <w:t xml:space="preserve">Year-3 royalty (validated track) = </w:t>
      </w:r>
      <w:r>
        <w:rPr>
          <w:rFonts w:ascii="Calibri" w:cs="Calibri" w:eastAsia="Calibri" w:hAnsi="Calibri"/>
          <w:b/>
          <w:bCs/>
          <w:color w:val="16A085"/>
          <w:sz w:val="19"/>
          <w:szCs w:val="19"/>
        </w:rPr>
        <w:t xml:space="preserve">$22.4M</w:t>
      </w:r>
      <w:r>
        <w:rPr>
          <w:rFonts w:ascii="Calibri" w:cs="Calibri" w:eastAsia="Calibri" w:hAnsi="Calibri"/>
          <w:sz w:val="19"/>
          <w:szCs w:val="19"/>
        </w:rPr>
        <w:t xml:space="preserve"> → $20M = </w:t>
      </w:r>
      <w:r>
        <w:rPr>
          <w:rFonts w:ascii="Calibri" w:cs="Calibri" w:eastAsia="Calibri" w:hAnsi="Calibri"/>
          <w:b/>
          <w:bCs/>
          <w:color w:val="C44536"/>
          <w:sz w:val="19"/>
          <w:szCs w:val="19"/>
        </w:rPr>
        <w:t xml:space="preserve">0.9× Year-3 royalty</w:t>
      </w:r>
      <w:r>
        <w:rPr>
          <w:rFonts w:ascii="Calibri" w:cs="Calibri" w:eastAsia="Calibri" w:hAnsi="Calibri"/>
          <w:sz w:val="19"/>
          <w:szCs w:val="19"/>
        </w:rPr>
        <w:t xml:space="preserve">. Royalty businesses trade at 5–15×. This round funds the attack on the market; royalties then self-fund the business — </w:t>
      </w:r>
      <w:r>
        <w:rPr>
          <w:rFonts w:ascii="Calibri" w:cs="Calibri" w:eastAsia="Calibri" w:hAnsi="Calibri"/>
          <w:b/>
          <w:bCs/>
          <w:i/>
          <w:iCs/>
          <w:color w:val="1F3A5F"/>
          <w:sz w:val="19"/>
          <w:szCs w:val="19"/>
        </w:rPr>
        <w:t xml:space="preserve">no further dilution needed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3A5F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TEAM &amp; CONTACT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Yun-Young Heo, CEO</w:t>
      </w:r>
      <w:r>
        <w:rPr>
          <w:rFonts w:ascii="Calibri" w:cs="Calibri" w:eastAsia="Calibri" w:hAnsi="Calibri"/>
          <w:sz w:val="19"/>
          <w:szCs w:val="19"/>
        </w:rPr>
        <w:t xml:space="preserve"> — ex-Samsung Group; marketing, product, and total management.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Yung-Bum Seo, CTO</w:t>
      </w:r>
      <w:r>
        <w:rPr>
          <w:rFonts w:ascii="Calibri" w:cs="Calibri" w:eastAsia="Calibri" w:hAnsi="Calibri"/>
          <w:sz w:val="19"/>
          <w:szCs w:val="19"/>
        </w:rPr>
        <w:t xml:space="preserve"> — PhD &amp; Postdoc, State University of New York; Professor, Chungnam National University. World-first marine nanofiber developer (50+ patents). Head of FCC R&amp;D.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Yun-Woo Lee, CPO</w:t>
      </w:r>
      <w:r>
        <w:rPr>
          <w:rFonts w:ascii="Calibri" w:cs="Calibri" w:eastAsia="Calibri" w:hAnsi="Calibri"/>
          <w:sz w:val="19"/>
          <w:szCs w:val="19"/>
        </w:rPr>
        <w:t xml:space="preserve"> — MS Paper Engineering, Chungnam University; ex-Korea Govt Pulp Research Center. Co-developer (30+ patents). Production lead.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Yun-Young Heo  ·  CEO, Marinebio Group Inc.  ·  Austin, TX   </w:t>
      </w:r>
      <w:hyperlink w:history="1" r:id="rId7qbqatrkumz2ru0m-qs9m">
        <w:r>
          <w:rPr>
            <w:rStyle w:val="Hyperlink"/>
            <w:rFonts w:ascii="Calibri" w:cs="Calibri" w:eastAsia="Calibri" w:hAnsi="Calibri"/>
            <w:color w:val="0563C1"/>
            <w:sz w:val="19"/>
            <w:szCs w:val="19"/>
          </w:rPr>
          <w:t xml:space="preserve">yunyoung.heo@marinebiogroup.com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  ·   </w:t>
      </w:r>
      <w:hyperlink w:history="1" r:id="rIdkgs6kthowxgpzjdqo50wg">
        <w:r>
          <w:rPr>
            <w:rStyle w:val="Hyperlink"/>
            <w:rFonts w:ascii="Calibri" w:cs="Calibri" w:eastAsia="Calibri" w:hAnsi="Calibri"/>
            <w:color w:val="0563C1"/>
            <w:sz w:val="19"/>
            <w:szCs w:val="19"/>
          </w:rPr>
          <w:t xml:space="preserve">marinebiogroup.com</w:t>
        </w:r>
      </w:hyperlink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qbqatrkumz2ru0m-qs9m" Type="http://schemas.openxmlformats.org/officeDocument/2006/relationships/hyperlink" Target="mailto:yunyoung.heo@marinebiogroup.com" TargetMode="External"/><Relationship Id="rIdkgs6kthowxgpzjdqo50wg" Type="http://schemas.openxmlformats.org/officeDocument/2006/relationships/hyperlink" Target="https://www.marinebiogroup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Marinebio Group — Investor One-Pager (FCC)</dc:title>
  <dc:creator>Marinebio Group Inc.</dc:creator>
  <cp:lastModifiedBy>Un-named</cp:lastModifiedBy>
  <cp:revision>1</cp:revision>
  <dcterms:created xsi:type="dcterms:W3CDTF">2026-06-26T19:05:45.454Z</dcterms:created>
  <dcterms:modified xsi:type="dcterms:W3CDTF">2026-06-26T19:05:45.468Z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