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png" ContentType="image/png"/>
  <Override PartName="/word/media/rId173.png" ContentType="image/png"/>
  <Override PartName="/word/media/rId54.png" ContentType="image/png"/>
  <Override PartName="/word/media/rId487.png" ContentType="image/png"/>
  <Override PartName="/word/media/rId522.png" ContentType="image/png"/>
  <Override PartName="/word/media/rId820.png" ContentType="image/png"/>
  <Override PartName="/word/media/rId825.png" ContentType="image/png"/>
  <Override PartName="/word/media/rId830.png" ContentType="image/png"/>
  <Override PartName="/word/media/rId835.png" ContentType="image/png"/>
  <Override PartName="/word/media/rId840.png" ContentType="image/png"/>
  <Override PartName="/word/media/rId845.png" ContentType="image/png"/>
  <Override PartName="/word/media/rId850.png" ContentType="image/png"/>
  <Override PartName="/word/media/rId855.png" ContentType="image/png"/>
  <Override PartName="/word/media/rId860.png" ContentType="image/png"/>
  <Override PartName="/word/media/rId865.png" ContentType="image/png"/>
  <Override PartName="/word/media/rId870.png" ContentType="image/png"/>
  <Override PartName="/word/media/rId876.png" ContentType="image/png"/>
  <Override PartName="/word/media/rId881.png" ContentType="image/png"/>
  <Override PartName="/word/media/rId886.png" ContentType="image/png"/>
  <Override PartName="/word/media/rId891.png" ContentType="image/png"/>
  <Override PartName="/word/media/rId896.png" ContentType="image/png"/>
  <Override PartName="/word/media/rId905.png" ContentType="image/png"/>
  <Override PartName="/word/media/rId911.png" ContentType="image/png"/>
  <Override PartName="/word/media/rId917.png" ContentType="image/png"/>
  <Override PartName="/word/media/rId784.png" ContentType="image/png"/>
  <Override PartName="/word/media/rId780.png" ContentType="image/png"/>
  <Override PartName="/word/media/rId922.png" ContentType="image/png"/>
  <Override PartName="/word/media/rId934.png" ContentType="image/png"/>
  <Override PartName="/word/media/rId928.png" ContentType="image/png"/>
  <Override PartName="/word/media/rId802.png" ContentType="image/png"/>
  <Override PartName="/word/media/rId940.png" ContentType="image/png"/>
  <Override PartName="/word/media/rId623.png" ContentType="image/png"/>
  <Override PartName="/word/media/rId628.png" ContentType="image/png"/>
  <Override PartName="/word/media/rId633.png" ContentType="image/png"/>
  <Override PartName="/word/media/rId638.png" ContentType="image/png"/>
  <Override PartName="/word/media/rId644.png" ContentType="image/png"/>
  <Override PartName="/word/media/rId649.png" ContentType="image/png"/>
  <Override PartName="/word/media/rId655.png" ContentType="image/png"/>
  <Override PartName="/word/media/rId661.png" ContentType="image/png"/>
  <Override PartName="/word/media/rId667.png" ContentType="image/png"/>
  <Override PartName="/word/media/rId673.png" ContentType="image/png"/>
  <Override PartName="/word/media/rId679.png" ContentType="image/png"/>
  <Override PartName="/word/media/rId685.png" ContentType="image/png"/>
  <Override PartName="/word/media/rId690.png" ContentType="image/png"/>
  <Override PartName="/word/media/rId695.png" ContentType="image/png"/>
  <Override PartName="/word/media/rId327.png" ContentType="image/png"/>
  <Override PartName="/word/media/rId349.png" ContentType="image/png"/>
  <Override PartName="/word/media/rId408.png" ContentType="image/png"/>
  <Override PartName="/word/media/rId182.png" ContentType="image/png"/>
  <Override PartName="/word/media/rId16.svg" ContentType="image/svg+xml"/>
  <Override PartName="/word/media/rId450.png" ContentType="image/png"/>
  <Override PartName="/word/media/rId455.png" ContentType="image/png"/>
  <Override PartName="/word/media/rId443.png" ContentType="image/png"/>
  <Override PartName="/word/media/rId332.png" ContentType="image/png"/>
  <Override PartName="/word/media/rId336.png" ContentType="image/png"/>
  <Override PartName="/word/media/rId227.jpg" ContentType="image/jpeg"/>
  <Override PartName="/word/media/rId573.png" ContentType="image/png"/>
  <Override PartName="/word/media/rId589.png" ContentType="image/png"/>
  <Override PartName="/word/media/rId559.png" ContentType="image/png"/>
  <Override PartName="/word/media/rId544.png" ContentType="image/png"/>
  <Override PartName="/word/media/rId569.png" ContentType="image/png"/>
  <Override PartName="/word/media/rId602.png" ContentType="image/png"/>
  <Override PartName="/word/media/rId598.png" ContentType="image/png"/>
  <Override PartName="/word/media/rId580.png" ContentType="image/png"/>
  <Override PartName="/word/media/rId584.png" ContentType="image/png"/>
  <Override PartName="/word/media/rId564.png" ContentType="image/png"/>
  <Override PartName="/word/media/rId593.png" ContentType="image/png"/>
  <Override PartName="/word/media/rId611.png" ContentType="image/png"/>
  <Override PartName="/word/media/rId548.png" ContentType="image/png"/>
  <Override PartName="/word/media/rId552.png" ContentType="image/png"/>
  <Override PartName="/word/media/rId9.svg" ContentType="image/svg+xml"/>
  <Override PartName="/word/media/rId41.png" ContentType="image/png"/>
  <Override PartName="/word/media/rId12.png" ContentType="image/png"/>
  <Override PartName="/word/media/rId19.png" ContentType="image/png"/>
  <Override PartName="/word/media/rId47.png" ContentType="image/png"/>
  <Override PartName="/word/media/rId280.png" ContentType="image/png"/>
  <Override PartName="/word/media/rId156.png" ContentType="image/png"/>
  <Override PartName="/word/media/rId131.png" ContentType="image/png"/>
  <Override PartName="/word/media/rId135.png" ContentType="image/png"/>
  <Override PartName="/word/media/rId139.png" ContentType="image/png"/>
  <Override PartName="/word/media/rId147.png" ContentType="image/png"/>
  <Override PartName="/word/media/rId151.png" ContentType="image/png"/>
  <Override PartName="/word/media/rId143.png" ContentType="image/png"/>
  <Override PartName="/word/media/rId369.png" ContentType="image/png"/>
  <Override PartName="/word/media/rId361.png" ContentType="image/png"/>
  <Override PartName="/word/media/rId386.png" ContentType="image/png"/>
  <Override PartName="/word/media/rId381.png" ContentType="image/png"/>
  <Override PartName="/word/media/rId3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16,153 species distribution models with extinction risk assessments across US waters (9,229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6"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Compact"/>
        <w:numPr>
          <w:ilvl w:val="0"/>
          <w:numId w:val="1001"/>
        </w:numPr>
      </w:pPr>
      <w:hyperlink r:id="rId23">
        <w:r>
          <w:rPr>
            <w:rStyle w:val="Hyperlink"/>
          </w:rPr>
          <w:t xml:space="preserve">Your</w:t>
        </w:r>
        <w:r>
          <w:rPr>
            <w:rStyle w:val="Hyperlink"/>
          </w:rPr>
          <w:t xml:space="preserve"> </w:t>
        </w:r>
        <w:r>
          <w:rPr>
            <w:rStyle w:val="Hyperlink"/>
            <w:b/>
            <w:bCs/>
          </w:rPr>
          <w:t xml:space="preserve">area</w:t>
        </w:r>
      </w:hyperlink>
      <w:r>
        <w:t xml:space="preserve"> </w:t>
      </w:r>
      <w:r>
        <w:t xml:space="preserve">— outline any place in the Atlas (Places) for the same scores and a downloadable report</w:t>
      </w:r>
    </w:p>
    <w:p>
      <w:pPr>
        <w:pStyle w:val="FirstParagraph"/>
      </w:pPr>
      <w:r>
        <w:t xml:space="preserve">All three are the</w:t>
      </w:r>
      <w:r>
        <w:t xml:space="preserve"> </w:t>
      </w:r>
      <w:hyperlink r:id="rId24">
        <w:r>
          <w:rPr>
            <w:rStyle w:val="Hyperlink"/>
          </w:rPr>
          <w:t xml:space="preserve">Atlas</w:t>
        </w:r>
      </w:hyperlink>
      <w:r>
        <w:t xml:space="preserve">, which renders</w:t>
      </w:r>
      <w:r>
        <w:t xml:space="preserve"> </w:t>
      </w:r>
      <w:r>
        <w:rPr>
          <w:b/>
          <w:bCs/>
        </w:rPr>
        <w:t xml:space="preserve">any published release</w:t>
      </w:r>
      <w:r>
        <w:t xml:space="preserve">: 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one (a restricted pre-release is reached only on the review host, at</w:t>
      </w:r>
      <w:r>
        <w:t xml:space="preserve"> </w:t>
      </w:r>
      <w:r>
        <w:rPr>
          <w:rStyle w:val="VerbatimChar"/>
        </w:rPr>
        <w:t xml:space="preserve">/{version}/atlas/</w:t>
      </w:r>
      <w:r>
        <w:t xml:space="preserve">). Links to the former Scores and Species Shiny apps redirect to it.</w:t>
      </w:r>
    </w:p>
    <w:p>
      <w:pPr>
        <w:pStyle w:val="Compact"/>
        <w:numPr>
          <w:ilvl w:val="0"/>
          <w:numId w:val="1002"/>
        </w:numPr>
      </w:pPr>
      <w:hyperlink r:id="rId25">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6"/>
    <w:bookmarkStart w:id="27"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7"/>
    <w:bookmarkStart w:id="29"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8">
        <w:r>
          <w:rPr>
            <w:rStyle w:val="Hyperlink"/>
          </w:rPr>
          <w:t xml:space="preserve">https://marinesensitivity.org/docs/</w:t>
        </w:r>
      </w:hyperlink>
    </w:p>
    <w:bookmarkEnd w:id="29"/>
    <w:bookmarkStart w:id="36" w:name="acknowledgments"/>
    <w:p>
      <w:pPr>
        <w:pStyle w:val="Heading3"/>
      </w:pPr>
      <w:r>
        <w:t xml:space="preserve">Acknowledgments</w:t>
      </w:r>
    </w:p>
    <w:p>
      <w:pPr>
        <w:pStyle w:val="FirstParagraph"/>
      </w:pPr>
      <w:r>
        <w:t xml:space="preserve">This work is funded by the</w:t>
      </w:r>
      <w:r>
        <w:t xml:space="preserve"> </w:t>
      </w:r>
      <w:hyperlink r:id="rId30">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31">
        <w:r>
          <w:rPr>
            <w:rStyle w:val="Hyperlink"/>
          </w:rPr>
          <w:t xml:space="preserve">AquaMaps</w:t>
        </w:r>
      </w:hyperlink>
      <w:r>
        <w:t xml:space="preserve">,</w:t>
      </w:r>
      <w:r>
        <w:t xml:space="preserve"> </w:t>
      </w:r>
      <w:hyperlink r:id="rId32">
        <w:r>
          <w:rPr>
            <w:rStyle w:val="Hyperlink"/>
          </w:rPr>
          <w:t xml:space="preserve">BirdLife International</w:t>
        </w:r>
      </w:hyperlink>
      <w:r>
        <w:t xml:space="preserve">,</w:t>
      </w:r>
      <w:r>
        <w:t xml:space="preserve"> </w:t>
      </w:r>
      <w:hyperlink r:id="rId33">
        <w:r>
          <w:rPr>
            <w:rStyle w:val="Hyperlink"/>
          </w:rPr>
          <w:t xml:space="preserve">IUCN Red List</w:t>
        </w:r>
      </w:hyperlink>
      <w:r>
        <w:t xml:space="preserve">,</w:t>
      </w:r>
      <w:r>
        <w:t xml:space="preserve"> </w:t>
      </w:r>
      <w:hyperlink r:id="rId34">
        <w:r>
          <w:rPr>
            <w:rStyle w:val="Hyperlink"/>
          </w:rPr>
          <w:t xml:space="preserve">NOAA Fisheries</w:t>
        </w:r>
      </w:hyperlink>
      <w:r>
        <w:t xml:space="preserve">, and</w:t>
      </w:r>
      <w:r>
        <w:t xml:space="preserve"> </w:t>
      </w:r>
      <w:hyperlink r:id="rId35">
        <w:r>
          <w:rPr>
            <w:rStyle w:val="Hyperlink"/>
          </w:rPr>
          <w:t xml:space="preserve">U.S. Fish &amp; Wildlife Service</w:t>
        </w:r>
      </w:hyperlink>
      <w:r>
        <w:t xml:space="preserve">.</w:t>
      </w:r>
    </w:p>
    <w:bookmarkEnd w:id="36"/>
    <w:bookmarkEnd w:id="37"/>
    <w:bookmarkStart w:id="50"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8">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v7c</w:t>
      </w:r>
      <w:r>
        <w:t xml:space="preserve">, which integrates</w:t>
      </w:r>
      <w:r>
        <w:t xml:space="preserve"> </w:t>
      </w:r>
      <w:r>
        <w:rPr>
          <w:b/>
          <w:bCs/>
        </w:rPr>
        <w:t xml:space="preserve">16,153 valid marine species</w:t>
      </w:r>
      <w:r>
        <w:t xml:space="preserve"> </w:t>
      </w:r>
      <w:r>
        <w:t xml:space="preserve">across</w:t>
      </w:r>
      <w:r>
        <w:t xml:space="preserve"> </w:t>
      </w:r>
      <w:r>
        <w:rPr>
          <w:b/>
          <w:bCs/>
        </w:rPr>
        <w:t xml:space="preserve">8 source datasets</w:t>
      </w:r>
      <w:r>
        <w:t xml:space="preserve"> </w:t>
      </w:r>
      <w:r>
        <w:t xml:space="preserve">on a 0.05° grid (~4 km cells) covering the US Exclusive Economic Zone study area; of these,</w:t>
      </w:r>
      <w:r>
        <w:t xml:space="preserve"> </w:t>
      </w:r>
      <w:r>
        <w:rPr>
          <w:b/>
          <w:bCs/>
        </w:rPr>
        <w:t xml:space="preserve">9,229</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9">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40">
        <w:r>
          <w:rPr>
            <w:rStyle w:val="Hyperlink"/>
          </w:rPr>
          <w:t xml:space="preserve">Executive Order 14303</w:t>
        </w:r>
      </w:hyperlink>
      <w:r>
        <w:t xml:space="preserve">, we aim to provide a transparent and reproducible process that can be regularly updated as new data and methods become available.</w:t>
      </w:r>
    </w:p>
    <w:bookmarkStart w:id="49"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8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4" w:name="fig-process"/>
          <w:p>
            <w:pPr>
              <w:jc w:val="center"/>
            </w:pPr>
            <w:r>
              <w:drawing>
                <wp:inline>
                  <wp:extent cx="5334000" cy="1315720"/>
                  <wp:effectExtent b="0" l="0" r="0" t="0"/>
                  <wp:docPr descr="" title="" id="42" name="Picture"/>
                  <a:graphic>
                    <a:graphicData uri="http://schemas.openxmlformats.org/drawingml/2006/picture">
                      <pic:pic>
                        <pic:nvPicPr>
                          <pic:cNvPr descr="intro_files/figure-docx/mermaid-figure-2.png" id="43" name="Picture"/>
                          <pic:cNvPicPr>
                            <a:picLocks noChangeArrowheads="1" noChangeAspect="1"/>
                          </pic:cNvPicPr>
                        </pic:nvPicPr>
                        <pic:blipFill>
                          <a:blip r:embed="rId41"/>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4"/>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8" w:name="fig-overview"/>
          <w:p>
            <w:pPr>
              <w:pStyle w:val="Compact"/>
              <w:jc w:val="center"/>
            </w:pPr>
            <w:r>
              <w:drawing>
                <wp:inline>
                  <wp:extent cx="5334000" cy="3030681"/>
                  <wp:effectExtent b="0" l="0" r="0" t="0"/>
                  <wp:docPr descr="" title="" id="45" name="Picture"/>
                  <a:graphic>
                    <a:graphicData uri="http://schemas.openxmlformats.org/drawingml/2006/picture">
                      <pic:pic>
                        <pic:nvPicPr>
                          <pic:cNvPr descr="figures/overview-method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8"/>
        </w:tc>
      </w:tr>
    </w:tbl>
    <w:bookmarkEnd w:id="49"/>
    <w:bookmarkEnd w:id="50"/>
    <w:bookmarkStart w:id="88"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v7c</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v7c — v7.2: record-based ranges for sea turtles and the North Atlantic right whale</w:t>
            </w:r>
          </w:p>
        </w:tc>
      </w:tr>
      <w:tr>
        <w:trPr>
          <w:cantSplit/>
        </w:trPr>
        <w:tc>
          <w:tcPr>
            <w:tcMar>
              <w:top w:w="108" w:type="dxa"/>
              <w:bottom w:w="108" w:type="dxa"/>
            </w:tcMar>
          </w:tcPr>
          <w:p>
            <w:pPr>
              <w:pStyle w:val="BodyText"/>
            </w:pPr>
            <w:pPr>
              <w:spacing w:before="16"/>
            </w:pPr>
            <w:r>
              <w:t xml:space="preserve">Released 2026-10-14. This is a</w:t>
            </w:r>
            <w:r>
              <w:t xml:space="preserve"> </w:t>
            </w:r>
            <w:r>
              <w:rPr>
                <w:b/>
                <w:bCs/>
              </w:rPr>
              <w:t xml:space="preserve">pre-release</w:t>
            </w:r>
            <w:r>
              <w:t xml:space="preserve">.</w:t>
            </w:r>
          </w:p>
          <w:p>
            <w:pPr>
              <w:pStyle w:val="BodyText"/>
            </w:pPr>
            <w:pPr>
              <w:spacing w:after="16"/>
            </w:pPr>
            <w:r>
              <w:t xml:space="preserve">A pre-release is reachable only by naming it explicitly; it is never what a reader gets by default.</w:t>
            </w:r>
          </w:p>
          <w:p/>
        </w:tc>
      </w:tr>
    </w:tbl>
    <w:bookmarkStart w:id="58"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3"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rPr>
                      <w:b/>
                      <w:bCs/>
                    </w:rP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3"/>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7"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7"/>
          <w:p/>
        </w:tc>
      </w:tr>
    </w:tbl>
    <w:bookmarkEnd w:id="58"/>
    <w:bookmarkStart w:id="85"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5"/>
    <w:bookmarkStart w:id="87"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 the</w:t>
      </w:r>
      <w:r>
        <w:t xml:space="preserve"> </w:t>
      </w:r>
      <w:hyperlink r:id="rId86">
        <w:r>
          <w:rPr>
            <w:rStyle w:val="Hyperlink"/>
          </w:rPr>
          <w:t xml:space="preserve">Atlas</w:t>
        </w:r>
      </w:hyperlink>
      <w:r>
        <w:t xml:space="preserve">, substituting any published version in</w:t>
      </w:r>
      <w:r>
        <w:t xml:space="preserve"> </w:t>
      </w:r>
      <w:r>
        <w:rPr>
          <w:rStyle w:val="VerbatimChar"/>
        </w:rPr>
        <w:t xml:space="preserve">?ver=</w:t>
      </w:r>
      <w:r>
        <w:t xml:space="preserve"> </w:t>
      </w:r>
      <w:r>
        <w:t xml:space="preserve">(a restricted pre-release is reached only on the preview host, at</w:t>
      </w:r>
      <w:r>
        <w:t xml:space="preserve"> </w:t>
      </w:r>
      <w:r>
        <w:rPr>
          <w:rStyle w:val="VerbatimChar"/>
        </w:rPr>
        <w:t xml:space="preserve">/{version}/atlas/</w:t>
      </w:r>
      <w:r>
        <w:t xml:space="preserve">). The Scores and Species Shiny apps and their per-version forks are retired; their old URLs (</w:t>
      </w:r>
      <w:r>
        <w:rPr>
          <w:rStyle w:val="VerbatimChar"/>
        </w:rPr>
        <w:t xml:space="preserve">/v3/scores/</w:t>
      </w:r>
      <w:r>
        <w:t xml:space="preserve">,</w:t>
      </w:r>
      <w:r>
        <w:t xml:space="preserve"> </w:t>
      </w:r>
      <w:r>
        <w:rPr>
          <w:rStyle w:val="VerbatimChar"/>
        </w:rPr>
        <w:t xml:space="preserve">/v3/species/</w:t>
      </w:r>
      <w:r>
        <w:t xml:space="preserve">, an older</w:t>
      </w:r>
      <w:r>
        <w:t xml:space="preserve"> </w:t>
      </w:r>
      <w:r>
        <w:rPr>
          <w:rStyle w:val="VerbatimChar"/>
        </w:rPr>
        <w:t xml:space="preserve">?ver=v3</w:t>
      </w:r>
      <w:r>
        <w:t xml:space="preserve"> </w:t>
      </w:r>
      <w:r>
        <w:t xml:space="preserve">deep link) redirect to the equivalent Atlas view, so links printed in earlier reports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7"/>
    <w:bookmarkEnd w:id="88"/>
    <w:bookmarkStart w:id="109"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4"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1"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1"/>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2"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2"/>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3"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3"/>
    <w:bookmarkEnd w:id="94"/>
    <w:bookmarkStart w:id="95"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5"/>
    <w:bookmarkStart w:id="98"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6"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6"/>
    <w:bookmarkStart w:id="97"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7"/>
    <w:bookmarkEnd w:id="98"/>
    <w:bookmarkStart w:id="99"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9"/>
    <w:bookmarkStart w:id="103"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important.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3"/>
    <w:bookmarkStart w:id="106"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6"/>
    <w:bookmarkStart w:id="107"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7"/>
    <w:bookmarkStart w:id="108"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8"/>
    <w:bookmarkEnd w:id="109"/>
    <w:bookmarkStart w:id="172" w:name="sec-release-v7c"/>
    <w:p>
      <w:pPr>
        <w:pStyle w:val="Heading1"/>
      </w:pPr>
      <w:r>
        <w:t xml:space="preserve">4. v7c — sea turtles and the North Atlantic right whale where the record places them</w:t>
      </w:r>
    </w:p>
    <w:p>
      <w:pPr>
        <w:pStyle w:val="FirstParagraph"/>
      </w:pPr>
      <w:r>
        <w:t xml:space="preserve">v7c, titled</w:t>
      </w:r>
      <w:r>
        <w:t xml:space="preserve"> </w:t>
      </w:r>
      <w:r>
        <w:rPr>
          <w:b/>
          <w:bCs/>
        </w:rPr>
        <w:t xml:space="preserve">v7.2</w:t>
      </w:r>
      <w:r>
        <w:t xml:space="preserve">, is the second surgical patch of the public v7 release, built the way v7b was. It is not a new build: v7’s database is cloned, the merged models of six sea turtles and the North Atlantic right whale are edited under their existing model ids, and v7’s own scoring is re-executed verbatim. It replaces v7b as the version under review. Three rules change, and nothing else does:</w:t>
      </w:r>
    </w:p>
    <w:p>
      <w:pPr>
        <w:pStyle w:val="Compact"/>
        <w:numPr>
          <w:ilvl w:val="0"/>
          <w:numId w:val="1009"/>
        </w:numPr>
      </w:pPr>
      <w:r>
        <w:rPr>
          <w:b/>
          <w:bCs/>
        </w:rPr>
        <w:t xml:space="preserve">The turtle record rule.</w:t>
      </w:r>
      <w:r>
        <w:t xml:space="preserve"> </w:t>
      </w:r>
      <w:r>
        <w:t xml:space="preserve">A sea-turtle species is dropped from an Alaska ecoregion where it has never been recorded through any observational channel: sightings, strandings, bycatch, fishery observers, survey and opportunistic records. This replaces v7b’s suitability threshold.</w:t>
      </w:r>
    </w:p>
    <w:p>
      <w:pPr>
        <w:pStyle w:val="Compact"/>
        <w:numPr>
          <w:ilvl w:val="0"/>
          <w:numId w:val="1009"/>
        </w:numPr>
      </w:pPr>
      <w:r>
        <w:rPr>
          <w:b/>
          <w:bCs/>
        </w:rPr>
        <w:t xml:space="preserve">The right whale Gulf rule.</w:t>
      </w:r>
      <w:r>
        <w:t xml:space="preserve"> </w:t>
      </w:r>
      <w:r>
        <w:t xml:space="preserve">The North Atlantic right whale is dropped from the two Gulf of America ecoregions, which lie outside its range.</w:t>
      </w:r>
    </w:p>
    <w:p>
      <w:pPr>
        <w:pStyle w:val="Compact"/>
        <w:numPr>
          <w:ilvl w:val="0"/>
          <w:numId w:val="1009"/>
        </w:numPr>
      </w:pPr>
      <w:r>
        <w:rPr>
          <w:b/>
          <w:bCs/>
        </w:rPr>
        <w:t xml:space="preserve">The coverage floor κ</w:t>
      </w:r>
      <w:r>
        <w:t xml:space="preserve">, carried over unchanged from v7b.</w:t>
      </w:r>
    </w:p>
    <w:p>
      <w:pPr>
        <w:pStyle w:val="FirstParagraph"/>
      </w:pPr>
      <w:r>
        <w:t xml:space="preserve">Productivity, the national score and everything else planned for v10 are untouched. Every primary-productivity row of v7c equals v7’s, and a build gate checks this in every run.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important.png" id="111"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Served on the review host only</w:t>
            </w:r>
          </w:p>
        </w:tc>
      </w:tr>
      <w:tr>
        <w:trPr>
          <w:cantSplit/>
        </w:trPr>
        <w:tc>
          <w:tcPr>
            <w:tcMar>
              <w:top w:w="108" w:type="dxa"/>
              <w:bottom w:w="108" w:type="dxa"/>
            </w:tcMar>
          </w:tcPr>
          <w:p>
            <w:pPr>
              <w:pStyle w:val="BodyText"/>
            </w:pPr>
            <w:pPr>
              <w:spacing w:before="16" w:after="16"/>
            </w:pPr>
            <w:r>
              <w:t xml:space="preserve">v7c is a restricted pre-release. It is served only through the signed-in review host:</w:t>
            </w:r>
            <w:r>
              <w:t xml:space="preserve"> </w:t>
            </w:r>
            <w:r>
              <w:t xml:space="preserve">the</w:t>
            </w:r>
            <w:r>
              <w:t xml:space="preserve"> </w:t>
            </w:r>
            <w:hyperlink r:id="rId24">
              <w:r>
                <w:rPr>
                  <w:rStyle w:val="Hyperlink"/>
                </w:rPr>
                <w:t xml:space="preserve">Atlas</w:t>
              </w:r>
            </w:hyperlink>
            <w:r>
              <w:t xml:space="preserve"> </w:t>
            </w:r>
            <w:r>
              <w:t xml:space="preserve">(</w:t>
            </w:r>
            <w:hyperlink r:id="rId21">
              <w:r>
                <w:rPr>
                  <w:rStyle w:val="Hyperlink"/>
                </w:rPr>
                <w:t xml:space="preserve">Scores lens</w:t>
              </w:r>
            </w:hyperlink>
            <w:r>
              <w:t xml:space="preserve">,</w:t>
            </w:r>
            <w:r>
              <w:t xml:space="preserve"> </w:t>
            </w:r>
            <w:hyperlink r:id="rId22">
              <w:r>
                <w:rPr>
                  <w:rStyle w:val="Hyperlink"/>
                </w:rPr>
                <w:t xml:space="preserve">Species lens</w:t>
              </w:r>
            </w:hyperlink>
            <w:r>
              <w:t xml:space="preserve">) and</w:t>
            </w:r>
            <w:r>
              <w:t xml:space="preserve"> </w:t>
            </w:r>
            <w:hyperlink r:id="rId112">
              <w:r>
                <w:rPr>
                  <w:rStyle w:val="Hyperlink"/>
                </w:rPr>
                <w:t xml:space="preserve">this documentation</w:t>
              </w:r>
            </w:hyperlink>
            <w:r>
              <w:t xml:space="preserve">. It is never what a reader gets by default, and promoting it is a</w:t>
            </w:r>
            <w:r>
              <w:t xml:space="preserve"> </w:t>
            </w:r>
            <w:r>
              <w:t xml:space="preserve">separate decision.</w:t>
            </w:r>
          </w:p>
          <w:p/>
        </w:tc>
      </w:tr>
    </w:tbl>
    <w:bookmarkStart w:id="113" w:name="three-rules-each-off-in-the-control-run"/>
    <w:p>
      <w:pPr>
        <w:pStyle w:val="Heading2"/>
      </w:pPr>
      <w:r>
        <w:t xml:space="preserve">4.1 Three rules, each off in the control run</w:t>
      </w:r>
    </w:p>
    <w:p>
      <w:pPr>
        <w:pStyle w:val="FirstParagraph"/>
      </w:pPr>
      <w:r>
        <w:t xml:space="preserve">Each rule is a flag in the build notebook, and each flag’s control value is</w:t>
      </w:r>
      <w:r>
        <w:t xml:space="preserve"> </w:t>
      </w:r>
      <w:r>
        <w:rPr>
          <w:i/>
          <w:iCs/>
        </w:rPr>
        <w:t xml:space="preserve">off</w:t>
      </w:r>
      <w:r>
        <w:t xml:space="preserve">. With all three off, the same code reproduces v7 exactly: the same cells, the same values and the same scores. That gate makes every difference below attributable to one rule. The build also runs each rule on its own, so the Program-Area table further down shows what each rule moves.</w:t>
      </w:r>
    </w:p>
    <w:p>
      <w:pPr>
        <w:pStyle w:val="TableCaption"/>
      </w:pPr>
      <w:r>
        <w:t xml:space="preserve">The three v7c rules. Rules 1 and 2 are one mechanism, a taxon × ecoregion exclusion read from one evidence table; the release records that table’s digest as</w:t>
      </w:r>
      <w:r>
        <w:t xml:space="preserve"> </w:t>
      </w:r>
      <w:r>
        <w:rPr>
          <w:rStyle w:val="VerbatimChar"/>
        </w:rPr>
        <w:t xml:space="preserve">zone_exclusions_hash</w:t>
      </w:r>
      <w:r>
        <w:t xml:space="preserve">.</w:t>
      </w:r>
    </w:p>
    <w:tbl>
      <w:tblPr>
        <w:tblStyle w:val="Table"/>
        <w:tblW w:type="pct" w:w="5000"/>
        <w:tblLayout w:type="fixed"/>
        <w:tblLook w:firstRow="1" w:lastRow="0" w:firstColumn="0" w:lastColumn="0" w:noHBand="0" w:noVBand="0" w:val="0020"/>
        <w:tblCaption w:val="The three v7c rules. Rules 1 and 2 are one mechanism, a taxon × ecoregion exclusion read from one evidence table; the release records that table’s digest as zone_exclusions_hash."/>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Rule</w:t>
            </w:r>
          </w:p>
        </w:tc>
        <w:tc>
          <w:tcPr/>
          <w:p>
            <w:pPr>
              <w:pStyle w:val="Compact"/>
            </w:pPr>
            <w:r>
              <w:t xml:space="preserve">Unit</w:t>
            </w:r>
          </w:p>
        </w:tc>
        <w:tc>
          <w:tcPr/>
          <w:p>
            <w:pPr>
              <w:pStyle w:val="Compact"/>
            </w:pPr>
            <w:r>
              <w:t xml:space="preserve">Flag (control = off)</w:t>
            </w:r>
          </w:p>
        </w:tc>
        <w:tc>
          <w:tcPr/>
          <w:p>
            <w:pPr>
              <w:pStyle w:val="Compact"/>
            </w:pPr>
            <w:r>
              <w:t xml:space="preserve">Recorded in the release as</w:t>
            </w:r>
          </w:p>
        </w:tc>
      </w:tr>
      <w:tr>
        <w:tc>
          <w:tcPr/>
          <w:p>
            <w:pPr>
              <w:pStyle w:val="Compact"/>
            </w:pPr>
            <w:r>
              <w:t xml:space="preserve">1</w:t>
            </w:r>
          </w:p>
        </w:tc>
        <w:tc>
          <w:tcPr/>
          <w:p>
            <w:pPr>
              <w:pStyle w:val="Compact"/>
            </w:pPr>
            <w:r>
              <w:t xml:space="preserve">Turtle record rule</w:t>
            </w:r>
          </w:p>
        </w:tc>
        <w:tc>
          <w:tcPr/>
          <w:p>
            <w:pPr>
              <w:pStyle w:val="Compact"/>
            </w:pPr>
            <w:r>
              <w:t xml:space="preserve">sea-turtle species × ecoregion</w:t>
            </w:r>
          </w:p>
        </w:tc>
        <w:tc>
          <w:tcPr/>
          <w:p>
            <w:pPr>
              <w:pStyle w:val="Compact"/>
            </w:pPr>
            <w:r>
              <w:rPr>
                <w:rStyle w:val="VerbatimChar"/>
              </w:rPr>
              <w:t xml:space="preserve">EXCLUDE_TURTLES=0</w:t>
            </w:r>
          </w:p>
        </w:tc>
        <w:tc>
          <w:tcPr/>
          <w:p>
            <w:pPr>
              <w:pStyle w:val="Compact"/>
            </w:pPr>
            <w:r>
              <w:rPr>
                <w:rStyle w:val="VerbatimChar"/>
              </w:rPr>
              <w:t xml:space="preserve">turtle_record_rule</w:t>
            </w:r>
          </w:p>
        </w:tc>
      </w:tr>
      <w:tr>
        <w:tc>
          <w:tcPr/>
          <w:p>
            <w:pPr>
              <w:pStyle w:val="Compact"/>
            </w:pPr>
            <w:r>
              <w:t xml:space="preserve">2</w:t>
            </w:r>
          </w:p>
        </w:tc>
        <w:tc>
          <w:tcPr/>
          <w:p>
            <w:pPr>
              <w:pStyle w:val="Compact"/>
            </w:pPr>
            <w:r>
              <w:t xml:space="preserve">Right whale Gulf rule</w:t>
            </w:r>
          </w:p>
        </w:tc>
        <w:tc>
          <w:tcPr/>
          <w:p>
            <w:pPr>
              <w:pStyle w:val="Compact"/>
            </w:pPr>
            <w:r>
              <w:t xml:space="preserve">right whale × ecoregion</w:t>
            </w:r>
          </w:p>
        </w:tc>
        <w:tc>
          <w:tcPr/>
          <w:p>
            <w:pPr>
              <w:pStyle w:val="Compact"/>
            </w:pPr>
            <w:r>
              <w:rPr>
                <w:rStyle w:val="VerbatimChar"/>
              </w:rPr>
              <w:t xml:space="preserve">EXCLUDE_RIGHT_WHALE=0</w:t>
            </w:r>
          </w:p>
        </w:tc>
        <w:tc>
          <w:tcPr/>
          <w:p>
            <w:pPr>
              <w:pStyle w:val="Compact"/>
            </w:pPr>
            <w:r>
              <w:rPr>
                <w:rStyle w:val="VerbatimChar"/>
              </w:rPr>
              <w:t xml:space="preserve">right_whale_gulf_rule</w:t>
            </w:r>
          </w:p>
        </w:tc>
      </w:tr>
      <w:tr>
        <w:tc>
          <w:tcPr/>
          <w:p>
            <w:pPr>
              <w:pStyle w:val="Compact"/>
            </w:pPr>
            <w:r>
              <w:t xml:space="preserve">3</w:t>
            </w:r>
          </w:p>
        </w:tc>
        <w:tc>
          <w:tcPr/>
          <w:p>
            <w:pPr>
              <w:pStyle w:val="Compact"/>
            </w:pPr>
            <w:r>
              <w:t xml:space="preserve">Coverage floor κ</w:t>
            </w:r>
          </w:p>
        </w:tc>
        <w:tc>
          <w:tcPr/>
          <w:p>
            <w:pPr>
              <w:pStyle w:val="Compact"/>
            </w:pPr>
            <w:r>
              <w:t xml:space="preserve">Program Area × component</w:t>
            </w:r>
          </w:p>
        </w:tc>
        <w:tc>
          <w:tcPr/>
          <w:p>
            <w:pPr>
              <w:pStyle w:val="Compact"/>
            </w:pPr>
            <w:r>
              <w:rPr>
                <w:rStyle w:val="VerbatimChar"/>
              </w:rPr>
              <w:t xml:space="preserve">COVERAGE_FLOOR=0</w:t>
            </w:r>
          </w:p>
        </w:tc>
        <w:tc>
          <w:tcPr/>
          <w:p>
            <w:pPr>
              <w:pStyle w:val="Compact"/>
            </w:pPr>
            <w:r>
              <w:rPr>
                <w:rStyle w:val="VerbatimChar"/>
              </w:rPr>
              <w:t xml:space="preserve">coverage_floor_pct</w:t>
            </w:r>
          </w:p>
        </w:tc>
      </w:tr>
    </w:tbl>
    <w:p>
      <w:pPr>
        <w:pStyle w:val="BodyText"/>
      </w:pPr>
      <w:r>
        <w:t xml:space="preserve"> </w:t>
      </w:r>
    </w:p>
    <w:p>
      <w:pPr>
        <w:pStyle w:val="TableCaption"/>
      </w:pPr>
      <w:r>
        <w:t xml:space="preserve">Cells of the six merged sea-turtle models and the merged right whale model in each build run (</w:t>
      </w:r>
      <w:r>
        <w:rPr>
          <w:rStyle w:val="VerbatimChar"/>
        </w:rPr>
        <w:t xml:space="preserve">tbl_gates_v7c.csv</w:t>
      </w:r>
      <w:r>
        <w:t xml:space="preserve">). The control run reproduces v7 with zero differences; no run adds a cell, and no run moves a productivity row.</w:t>
      </w:r>
    </w:p>
    <w:tbl>
      <w:tblPr>
        <w:tblStyle w:val="Table"/>
        <w:tblW w:type="pct" w:w="5000"/>
        <w:tblLayout w:type="fixed"/>
        <w:tblLook w:firstRow="1" w:lastRow="0" w:firstColumn="0" w:lastColumn="0" w:noHBand="0" w:noVBand="0" w:val="0020"/>
        <w:tblCaption w:val="Cells of the six merged sea-turtle models and the merged right whale model in each build run (tbl_gates_v7c.csv). The control run reproduces v7 with zero differences; no run adds a cell, and no run moves a productivity row."/>
      </w:tblPr>
      <w:tblGrid>
        <w:gridCol w:w="1408"/>
        <w:gridCol w:w="762"/>
        <w:gridCol w:w="1232"/>
        <w:gridCol w:w="1056"/>
        <w:gridCol w:w="1525"/>
        <w:gridCol w:w="762"/>
        <w:gridCol w:w="1173"/>
      </w:tblGrid>
      <w:tr>
        <w:trPr>
          <w:tblHeader w:val="on"/>
        </w:trPr>
        <w:tc>
          <w:tcPr/>
          <w:p>
            <w:pPr>
              <w:pStyle w:val="Compact"/>
              <w:jc w:val="left"/>
            </w:pPr>
            <w:r>
              <w:t xml:space="preserve">Run</w:t>
            </w:r>
          </w:p>
        </w:tc>
        <w:tc>
          <w:tcPr/>
          <w:p>
            <w:pPr>
              <w:pStyle w:val="Compact"/>
              <w:jc w:val="right"/>
            </w:pPr>
            <w:r>
              <w:t xml:space="preserve">Turtle cells</w:t>
            </w:r>
          </w:p>
        </w:tc>
        <w:tc>
          <w:tcPr/>
          <w:p>
            <w:pPr>
              <w:pStyle w:val="Compact"/>
              <w:jc w:val="right"/>
            </w:pPr>
            <w:r>
              <w:t xml:space="preserve">Turtle cells removed</w:t>
            </w:r>
          </w:p>
        </w:tc>
        <w:tc>
          <w:tcPr/>
          <w:p>
            <w:pPr>
              <w:pStyle w:val="Compact"/>
              <w:jc w:val="right"/>
            </w:pPr>
            <w:r>
              <w:t xml:space="preserve">Right whale cells</w:t>
            </w:r>
          </w:p>
        </w:tc>
        <w:tc>
          <w:tcPr/>
          <w:p>
            <w:pPr>
              <w:pStyle w:val="Compact"/>
              <w:jc w:val="right"/>
            </w:pPr>
            <w:r>
              <w:t xml:space="preserve">Right whale cells removed</w:t>
            </w:r>
          </w:p>
        </w:tc>
        <w:tc>
          <w:tcPr/>
          <w:p>
            <w:pPr>
              <w:pStyle w:val="Compact"/>
              <w:jc w:val="right"/>
            </w:pPr>
            <w:r>
              <w:t xml:space="preserve">Cells gained</w:t>
            </w:r>
          </w:p>
        </w:tc>
        <w:tc>
          <w:tcPr/>
          <w:p>
            <w:pPr>
              <w:pStyle w:val="Compact"/>
              <w:jc w:val="center"/>
            </w:pPr>
            <w:r>
              <w:t xml:space="preserve">Productivity == v7</w:t>
            </w:r>
          </w:p>
        </w:tc>
      </w:tr>
      <w:tr>
        <w:tc>
          <w:tcPr/>
          <w:p>
            <w:pPr>
              <w:pStyle w:val="Compact"/>
              <w:jc w:val="left"/>
            </w:pPr>
            <w:r>
              <w:t xml:space="preserve">all rules off (control)</w:t>
            </w:r>
          </w:p>
        </w:tc>
        <w:tc>
          <w:tcPr/>
          <w:p>
            <w:pPr>
              <w:pStyle w:val="Compact"/>
              <w:jc w:val="right"/>
            </w:pPr>
            <w:r>
              <w:t xml:space="preserve">2,022,909</w:t>
            </w:r>
          </w:p>
        </w:tc>
        <w:tc>
          <w:tcPr/>
          <w:p>
            <w:pPr>
              <w:pStyle w:val="Compact"/>
              <w:jc w:val="right"/>
            </w:pPr>
            <w:r>
              <w:t xml:space="preserve">0</w:t>
            </w:r>
          </w:p>
        </w:tc>
        <w:tc>
          <w:tcPr/>
          <w:p>
            <w:pPr>
              <w:pStyle w:val="Compact"/>
              <w:jc w:val="right"/>
            </w:pPr>
            <w:r>
              <w:t xml:space="preserve">60,690</w:t>
            </w:r>
          </w:p>
        </w:tc>
        <w:tc>
          <w:tcPr/>
          <w:p>
            <w:pPr>
              <w:pStyle w:val="Compact"/>
              <w:jc w:val="right"/>
            </w:pPr>
            <w:r>
              <w:t xml:space="preserve">0</w:t>
            </w:r>
          </w:p>
        </w:tc>
        <w:tc>
          <w:tcPr/>
          <w:p>
            <w:pPr>
              <w:pStyle w:val="Compact"/>
              <w:jc w:val="right"/>
            </w:pPr>
            <w:r>
              <w:t xml:space="preserve">0</w:t>
            </w:r>
          </w:p>
        </w:tc>
        <w:tc>
          <w:tcPr/>
          <w:p>
            <w:pPr>
              <w:pStyle w:val="Compact"/>
              <w:jc w:val="center"/>
            </w:pPr>
            <w:r>
              <w:t xml:space="preserve">yes</w:t>
            </w:r>
          </w:p>
        </w:tc>
      </w:tr>
      <w:tr>
        <w:tc>
          <w:tcPr/>
          <w:p>
            <w:pPr>
              <w:pStyle w:val="Compact"/>
              <w:jc w:val="left"/>
            </w:pPr>
            <w:r>
              <w:t xml:space="preserve">record rule only</w:t>
            </w:r>
          </w:p>
        </w:tc>
        <w:tc>
          <w:tcPr/>
          <w:p>
            <w:pPr>
              <w:pStyle w:val="Compact"/>
              <w:jc w:val="right"/>
            </w:pPr>
            <w:r>
              <w:t xml:space="preserve">1,881,430</w:t>
            </w:r>
          </w:p>
        </w:tc>
        <w:tc>
          <w:tcPr/>
          <w:p>
            <w:pPr>
              <w:pStyle w:val="Compact"/>
              <w:jc w:val="right"/>
            </w:pPr>
            <w:r>
              <w:t xml:space="preserve">141,479</w:t>
            </w:r>
          </w:p>
        </w:tc>
        <w:tc>
          <w:tcPr/>
          <w:p>
            <w:pPr>
              <w:pStyle w:val="Compact"/>
              <w:jc w:val="right"/>
            </w:pPr>
            <w:r>
              <w:t xml:space="preserve">60,690</w:t>
            </w:r>
          </w:p>
        </w:tc>
        <w:tc>
          <w:tcPr/>
          <w:p>
            <w:pPr>
              <w:pStyle w:val="Compact"/>
              <w:jc w:val="right"/>
            </w:pPr>
            <w:r>
              <w:t xml:space="preserve">0</w:t>
            </w:r>
          </w:p>
        </w:tc>
        <w:tc>
          <w:tcPr/>
          <w:p>
            <w:pPr>
              <w:pStyle w:val="Compact"/>
              <w:jc w:val="right"/>
            </w:pPr>
            <w:r>
              <w:t xml:space="preserve">0</w:t>
            </w:r>
          </w:p>
        </w:tc>
        <w:tc>
          <w:tcPr/>
          <w:p>
            <w:pPr>
              <w:pStyle w:val="Compact"/>
              <w:jc w:val="center"/>
            </w:pPr>
            <w:r>
              <w:t xml:space="preserve">yes</w:t>
            </w:r>
          </w:p>
        </w:tc>
      </w:tr>
      <w:tr>
        <w:tc>
          <w:tcPr/>
          <w:p>
            <w:pPr>
              <w:pStyle w:val="Compact"/>
              <w:jc w:val="left"/>
            </w:pPr>
            <w:r>
              <w:t xml:space="preserve">right whale rule only</w:t>
            </w:r>
          </w:p>
        </w:tc>
        <w:tc>
          <w:tcPr/>
          <w:p>
            <w:pPr>
              <w:pStyle w:val="Compact"/>
              <w:jc w:val="right"/>
            </w:pPr>
            <w:r>
              <w:t xml:space="preserve">2,022,909</w:t>
            </w:r>
          </w:p>
        </w:tc>
        <w:tc>
          <w:tcPr/>
          <w:p>
            <w:pPr>
              <w:pStyle w:val="Compact"/>
              <w:jc w:val="right"/>
            </w:pPr>
            <w:r>
              <w:t xml:space="preserve">0</w:t>
            </w:r>
          </w:p>
        </w:tc>
        <w:tc>
          <w:tcPr/>
          <w:p>
            <w:pPr>
              <w:pStyle w:val="Compact"/>
              <w:jc w:val="right"/>
            </w:pPr>
            <w:r>
              <w:t xml:space="preserve">47,773</w:t>
            </w:r>
          </w:p>
        </w:tc>
        <w:tc>
          <w:tcPr/>
          <w:p>
            <w:pPr>
              <w:pStyle w:val="Compact"/>
              <w:jc w:val="right"/>
            </w:pPr>
            <w:r>
              <w:t xml:space="preserve">12,917</w:t>
            </w:r>
          </w:p>
        </w:tc>
        <w:tc>
          <w:tcPr/>
          <w:p>
            <w:pPr>
              <w:pStyle w:val="Compact"/>
              <w:jc w:val="right"/>
            </w:pPr>
            <w:r>
              <w:t xml:space="preserve">0</w:t>
            </w:r>
          </w:p>
        </w:tc>
        <w:tc>
          <w:tcPr/>
          <w:p>
            <w:pPr>
              <w:pStyle w:val="Compact"/>
              <w:jc w:val="center"/>
            </w:pPr>
            <w:r>
              <w:t xml:space="preserve">yes</w:t>
            </w:r>
          </w:p>
        </w:tc>
      </w:tr>
      <w:tr>
        <w:tc>
          <w:tcPr/>
          <w:p>
            <w:pPr>
              <w:pStyle w:val="Compact"/>
              <w:jc w:val="left"/>
            </w:pPr>
            <w:r>
              <w:t xml:space="preserve">κ only</w:t>
            </w:r>
          </w:p>
        </w:tc>
        <w:tc>
          <w:tcPr/>
          <w:p>
            <w:pPr>
              <w:pStyle w:val="Compact"/>
              <w:jc w:val="right"/>
            </w:pPr>
            <w:r>
              <w:t xml:space="preserve">2,022,909</w:t>
            </w:r>
          </w:p>
        </w:tc>
        <w:tc>
          <w:tcPr/>
          <w:p>
            <w:pPr>
              <w:pStyle w:val="Compact"/>
              <w:jc w:val="right"/>
            </w:pPr>
            <w:r>
              <w:t xml:space="preserve">0</w:t>
            </w:r>
          </w:p>
        </w:tc>
        <w:tc>
          <w:tcPr/>
          <w:p>
            <w:pPr>
              <w:pStyle w:val="Compact"/>
              <w:jc w:val="right"/>
            </w:pPr>
            <w:r>
              <w:t xml:space="preserve">60,690</w:t>
            </w:r>
          </w:p>
        </w:tc>
        <w:tc>
          <w:tcPr/>
          <w:p>
            <w:pPr>
              <w:pStyle w:val="Compact"/>
              <w:jc w:val="right"/>
            </w:pPr>
            <w:r>
              <w:t xml:space="preserve">0</w:t>
            </w:r>
          </w:p>
        </w:tc>
        <w:tc>
          <w:tcPr/>
          <w:p>
            <w:pPr>
              <w:pStyle w:val="Compact"/>
              <w:jc w:val="right"/>
            </w:pPr>
            <w:r>
              <w:t xml:space="preserve">0</w:t>
            </w:r>
          </w:p>
        </w:tc>
        <w:tc>
          <w:tcPr/>
          <w:p>
            <w:pPr>
              <w:pStyle w:val="Compact"/>
              <w:jc w:val="center"/>
            </w:pPr>
            <w:r>
              <w:t xml:space="preserve">yes</w:t>
            </w:r>
          </w:p>
        </w:tc>
      </w:tr>
      <w:tr>
        <w:tc>
          <w:tcPr/>
          <w:p>
            <w:pPr>
              <w:pStyle w:val="Compact"/>
              <w:jc w:val="left"/>
            </w:pPr>
            <w:r>
              <w:t xml:space="preserve">v7c (all three)</w:t>
            </w:r>
          </w:p>
        </w:tc>
        <w:tc>
          <w:tcPr/>
          <w:p>
            <w:pPr>
              <w:pStyle w:val="Compact"/>
              <w:jc w:val="right"/>
            </w:pPr>
            <w:r>
              <w:t xml:space="preserve">1,881,430</w:t>
            </w:r>
          </w:p>
        </w:tc>
        <w:tc>
          <w:tcPr/>
          <w:p>
            <w:pPr>
              <w:pStyle w:val="Compact"/>
              <w:jc w:val="right"/>
            </w:pPr>
            <w:r>
              <w:t xml:space="preserve">141,479</w:t>
            </w:r>
          </w:p>
        </w:tc>
        <w:tc>
          <w:tcPr/>
          <w:p>
            <w:pPr>
              <w:pStyle w:val="Compact"/>
              <w:jc w:val="right"/>
            </w:pPr>
            <w:r>
              <w:t xml:space="preserve">47,773</w:t>
            </w:r>
          </w:p>
        </w:tc>
        <w:tc>
          <w:tcPr/>
          <w:p>
            <w:pPr>
              <w:pStyle w:val="Compact"/>
              <w:jc w:val="right"/>
            </w:pPr>
            <w:r>
              <w:t xml:space="preserve">12,917</w:t>
            </w:r>
          </w:p>
        </w:tc>
        <w:tc>
          <w:tcPr/>
          <w:p>
            <w:pPr>
              <w:pStyle w:val="Compact"/>
              <w:jc w:val="right"/>
            </w:pPr>
            <w:r>
              <w:t xml:space="preserve">0</w:t>
            </w:r>
          </w:p>
        </w:tc>
        <w:tc>
          <w:tcPr/>
          <w:p>
            <w:pPr>
              <w:pStyle w:val="Compact"/>
              <w:jc w:val="center"/>
            </w:pPr>
            <w:r>
              <w:t xml:space="preserve">yes</w:t>
            </w:r>
          </w:p>
        </w:tc>
      </w:tr>
    </w:tbl>
    <w:bookmarkEnd w:id="113"/>
    <w:bookmarkStart w:id="127" w:name="the-rules-as-equations"/>
    <w:p>
      <w:pPr>
        <w:pStyle w:val="Heading2"/>
      </w:pPr>
      <w:r>
        <w:t xml:space="preserve">4.2 The rules as equations</w:t>
      </w:r>
    </w:p>
    <w:bookmarkStart w:id="115" w:name="a-cell-belongs-to-one-ecoregion"/>
    <w:p>
      <w:pPr>
        <w:pStyle w:val="Heading3"/>
      </w:pPr>
      <w:r>
        <w:t xml:space="preserve">4.2.1 A cell belongs to one ecoregion</w:t>
      </w:r>
    </w:p>
    <w:p>
      <w:pPr>
        <w:pStyle w:val="FirstParagraph"/>
      </w:pPr>
      <w:r>
        <w:t xml:space="preserve">Ecoregions are the unit of exclusion because they are the frame the score is rescaled in (</w:t>
      </w:r>
      <w:hyperlink w:anchor="eq-ecoregion-rescale">
        <w:r>
          <w:rPr>
            <w:rStyle w:val="Hyperlink"/>
          </w:rPr>
          <w:t xml:space="preserve">Equation 10.4</w:t>
        </w:r>
      </w:hyperlink>
      <w:r>
        <w:t xml:space="preserve">), and because the evidence is stated at that scale (</w:t>
      </w:r>
      <w:r>
        <w:t xml:space="preserve">“never recorded in the Bering Sea”</w:t>
      </w:r>
      <w:r>
        <w:t xml:space="preserve">;</w:t>
      </w:r>
      <w:r>
        <w:t xml:space="preserve"> </w:t>
      </w:r>
      <w:r>
        <w:t xml:space="preserve">“the Gulf is outside its range”</w:t>
      </w:r>
      <w:r>
        <w:t xml:space="preserve">). A cell that straddles two ecoregions belongs to the one covering most of it:</w:t>
      </w:r>
    </w:p>
    <w:p>
      <w:pPr>
        <w:pStyle w:val="BodyText"/>
      </w:pPr>
      <w:bookmarkStart w:id="114" w:name="eq-v7c-cell-ecoregion"/>
      <m:oMathPara>
        <m:oMathParaPr>
          <m:jc m:val="center"/>
        </m:oMathParaPr>
        <m:oMath>
          <m:r>
            <m:t>e</m:t>
          </m:r>
          <m:r>
            <m:rPr>
              <m:sty m:val="p"/>
            </m:rPr>
            <m:t>(</m:t>
          </m:r>
          <m:r>
            <m:t>c</m:t>
          </m:r>
          <m:r>
            <m:rPr>
              <m:sty m:val="p"/>
            </m:rPr>
            <m:t>)</m:t>
          </m:r>
          <m:r>
            <m:rPr>
              <m:sty m:val="p"/>
            </m:rPr>
            <m:t>=</m:t>
          </m:r>
          <m:limLow>
            <m:e>
              <m:r>
                <m:rPr>
                  <m:sty m:val="p"/>
                </m:rPr>
                <m:t>arg</m:t>
              </m:r>
              <m:r>
                <m:rPr>
                  <m:sty m:val="p"/>
                </m:rPr>
                <m:t>max</m:t>
              </m:r>
            </m:e>
            <m:lim>
              <m:r>
                <m:t>e</m:t>
              </m:r>
            </m:lim>
          </m:limLow>
          <m:r>
            <m:t> </m:t>
          </m:r>
          <m:sSub>
            <m:e>
              <m:r>
                <m:t>p</m:t>
              </m:r>
            </m:e>
            <m:sub>
              <m:r>
                <m:t>c</m:t>
              </m:r>
              <m:r>
                <m:rPr>
                  <m:sty m:val="p"/>
                </m:rPr>
                <m:t>,</m:t>
              </m:r>
              <m:r>
                <m:t>e</m:t>
              </m:r>
            </m:sub>
          </m:sSub>
          <m:r>
            <m:t>  </m:t>
          </m:r>
          <m:r>
            <m:rPr>
              <m:sty m:val="p"/>
            </m:rPr>
            <m:t>(</m:t>
          </m:r>
          <m:r>
            <m:t>4.1</m:t>
          </m:r>
          <m:r>
            <m:rPr>
              <m:sty m:val="p"/>
            </m:rPr>
            <m:t>)</m:t>
          </m:r>
        </m:oMath>
      </m:oMathPara>
      <w:bookmarkEnd w:id="114"/>
    </w:p>
    <w:p>
      <w:pPr>
        <w:pStyle w:val="FirstParagraph"/>
      </w:pPr>
      <w:r>
        <w:t xml:space="preserve">where</w:t>
      </w:r>
      <w:r>
        <w:t xml:space="preserve"> </w:t>
      </w:r>
      <m:oMath>
        <m:sSub>
          <m:e>
            <m:r>
              <m:t>p</m:t>
            </m:r>
          </m:e>
          <m:sub>
            <m:r>
              <m:t>c</m:t>
            </m:r>
            <m:r>
              <m:rPr>
                <m:sty m:val="p"/>
              </m:rPr>
              <m:t>,</m:t>
            </m:r>
            <m:r>
              <m:t>e</m:t>
            </m:r>
          </m:sub>
        </m:sSub>
      </m:oMath>
      <w:r>
        <w:t xml:space="preserve"> </w:t>
      </w:r>
      <w:r>
        <w:t xml:space="preserve">is the percentage of cell</w:t>
      </w:r>
      <w:r>
        <w:t xml:space="preserve"> </w:t>
      </w:r>
      <m:oMath>
        <m:r>
          <m:t>c</m:t>
        </m:r>
      </m:oMath>
      <w:r>
        <w:t xml:space="preserve"> </w:t>
      </w:r>
      <w:r>
        <w:t xml:space="preserve">covered by ecoregion</w:t>
      </w:r>
      <w:r>
        <w:t xml:space="preserve"> </w:t>
      </w:r>
      <m:oMath>
        <m:r>
          <m:t>e</m:t>
        </m:r>
      </m:oMath>
      <w:r>
        <w:t xml:space="preserve">. A tie goes to the ecoregion whose key sorts first, so the assignment is deterministic (</w:t>
      </w:r>
      <w:r>
        <w:rPr>
          <w:rStyle w:val="VerbatimChar"/>
        </w:rPr>
        <w:t xml:space="preserve">msens::cell_zone_major_sql()</w:t>
      </w:r>
      <w:r>
        <w:t xml:space="preserve">).</w:t>
      </w:r>
    </w:p>
    <w:bookmarkEnd w:id="115"/>
    <w:bookmarkStart w:id="117" w:name="rule-1-the-turtle-record-rule"/>
    <w:p>
      <w:pPr>
        <w:pStyle w:val="Heading3"/>
      </w:pPr>
      <w:r>
        <w:t xml:space="preserve">4.2.2 Rule 1: the turtle record rule</w:t>
      </w:r>
    </w:p>
    <w:p>
      <w:pPr>
        <w:pStyle w:val="FirstParagraph"/>
      </w:pPr>
      <w:r>
        <w:t xml:space="preserve">For species</w:t>
      </w:r>
      <w:r>
        <w:t xml:space="preserve"> </w:t>
      </w:r>
      <m:oMath>
        <m:r>
          <m:t>s</m:t>
        </m:r>
      </m:oMath>
      <w:r>
        <w:t xml:space="preserve">, Alaska ecoregion</w:t>
      </w:r>
      <w:r>
        <w:t xml:space="preserve"> </w:t>
      </w:r>
      <m:oMath>
        <m:r>
          <m:t>e</m:t>
        </m:r>
      </m:oMath>
      <w:r>
        <w:t xml:space="preserve"> </w:t>
      </w:r>
      <w:r>
        <w:t xml:space="preserve">(Gulf of Alaska, East Bering Sea, Chukchi and Beaufort Seas, High Arctic) and observational channel</w:t>
      </w:r>
      <w:r>
        <w:t xml:space="preserve"> </w:t>
      </w:r>
      <m:oMath>
        <m:r>
          <m:t>k</m:t>
        </m:r>
      </m:oMath>
      <w:r>
        <w:t xml:space="preserve">, let</w:t>
      </w:r>
      <w:r>
        <w:t xml:space="preserve"> </w:t>
      </w:r>
      <m:oMath>
        <m:sSub>
          <m:e>
            <m:r>
              <m:t>n</m:t>
            </m:r>
          </m:e>
          <m:sub>
            <m:r>
              <m:t>s</m:t>
            </m:r>
            <m:r>
              <m:rPr>
                <m:sty m:val="p"/>
              </m:rPr>
              <m:t>,</m:t>
            </m:r>
            <m:r>
              <m:t>e</m:t>
            </m:r>
            <m:r>
              <m:rPr>
                <m:sty m:val="p"/>
              </m:rPr>
              <m:t>,</m:t>
            </m:r>
            <m:r>
              <m:t>k</m:t>
            </m:r>
          </m:sub>
        </m:sSub>
      </m:oMath>
      <w:r>
        <w:t xml:space="preserve"> </w:t>
      </w:r>
      <w:r>
        <w:t xml:space="preserve">be the number of records of</w:t>
      </w:r>
      <w:r>
        <w:t xml:space="preserve"> </w:t>
      </w:r>
      <m:oMath>
        <m:r>
          <m:t>s</m:t>
        </m:r>
      </m:oMath>
      <w:r>
        <w:t xml:space="preserve"> </w:t>
      </w:r>
      <w:r>
        <w:t xml:space="preserve">in</w:t>
      </w:r>
      <w:r>
        <w:t xml:space="preserve"> </w:t>
      </w:r>
      <m:oMath>
        <m:r>
          <m:t>e</m:t>
        </m:r>
      </m:oMath>
      <w:r>
        <w:t xml:space="preserve"> </w:t>
      </w:r>
      <w:r>
        <w:t xml:space="preserve">from channel</w:t>
      </w:r>
      <w:r>
        <w:t xml:space="preserve"> </w:t>
      </w:r>
      <m:oMath>
        <m:r>
          <m:t>k</m:t>
        </m:r>
      </m:oMath>
      <w:r>
        <w:t xml:space="preserve">, and</w:t>
      </w:r>
      <w:r>
        <w:t xml:space="preserve"> </w:t>
      </w:r>
      <m:oMath>
        <m:sSub>
          <m:e>
            <m:r>
              <m:t>K</m:t>
            </m:r>
          </m:e>
          <m:sub>
            <m:r>
              <m:t>e</m:t>
            </m:r>
          </m:sub>
        </m:sSub>
      </m:oMath>
      <w:r>
        <w:t xml:space="preserve"> </w:t>
      </w:r>
      <w:r>
        <w:t xml:space="preserve">the channels that reach</w:t>
      </w:r>
      <w:r>
        <w:t xml:space="preserve"> </w:t>
      </w:r>
      <m:oMath>
        <m:r>
          <m:t>e</m:t>
        </m:r>
      </m:oMath>
      <w:r>
        <w:t xml:space="preserve">. Let</w:t>
      </w:r>
      <w:r>
        <w:t xml:space="preserve"> </w:t>
      </w:r>
      <m:oMath>
        <m:sSub>
          <m:e>
            <m:r>
              <m:t>R</m:t>
            </m:r>
          </m:e>
          <m:sub>
            <m:r>
              <m:t>s</m:t>
            </m:r>
          </m:sub>
        </m:sSub>
      </m:oMath>
      <w:r>
        <w:t xml:space="preserve"> </w:t>
      </w:r>
      <w:r>
        <w:t xml:space="preserve">be the cells of the species’ v7 merged model. The species is dropped from the ecoregion when no channel has ever recorded it there and v7 gives it range there:</w:t>
      </w:r>
    </w:p>
    <w:p>
      <w:pPr>
        <w:pStyle w:val="BodyText"/>
      </w:pPr>
      <w:bookmarkStart w:id="116" w:name="eq-v7c-record-rule"/>
      <m:oMathPara>
        <m:oMathParaPr>
          <m:jc m:val="center"/>
        </m:oMathParaPr>
        <m:oMath>
          <m:sSub>
            <m:e>
              <m:r>
                <m:rPr>
                  <m:nor/>
                  <m:sty m:val="p"/>
                </m:rPr>
                <m:t>drop</m:t>
              </m:r>
            </m:e>
            <m:sub>
              <m:r>
                <m:t>s</m:t>
              </m:r>
              <m:r>
                <m:rPr>
                  <m:sty m:val="p"/>
                </m:rPr>
                <m:t>,</m:t>
              </m:r>
              <m:r>
                <m:t>e</m:t>
              </m:r>
            </m:sub>
          </m:sSub>
          <m:r>
            <m:t> </m:t>
          </m:r>
          <m:r>
            <m:rPr>
              <m:sty m:val="p"/>
            </m:rPr>
            <m:t>=</m:t>
          </m:r>
          <m:r>
            <m:t> </m:t>
          </m:r>
          <m:r>
            <m:rPr>
              <m:scr m:val="double-struck"/>
              <m:sty m:val="p"/>
            </m:rPr>
            <m:t>1</m:t>
          </m:r>
          <m:r>
            <m:t>​</m:t>
          </m:r>
          <m:d>
            <m:dPr>
              <m:begChr m:val="["/>
              <m:sepChr m:val=""/>
              <m:endChr m:val="]"/>
              <m:grow/>
            </m:dPr>
            <m:e>
              <m:nary>
                <m:naryPr>
                  <m:chr m:val="∑"/>
                  <m:limLoc m:val="undOvr"/>
                  <m:subHide m:val="off"/>
                  <m:supHide m:val="on"/>
                </m:naryPr>
                <m:sub>
                  <m:r>
                    <m:t>k</m:t>
                  </m:r>
                  <m:r>
                    <m:rPr>
                      <m:sty m:val="p"/>
                    </m:rPr>
                    <m:t>∈</m:t>
                  </m:r>
                  <m:sSub>
                    <m:e>
                      <m:r>
                        <m:t>K</m:t>
                      </m:r>
                    </m:e>
                    <m:sub>
                      <m:r>
                        <m:t>e</m:t>
                      </m:r>
                    </m:sub>
                  </m:sSub>
                </m:sub>
                <m:sup>
                  <m:r>
                    <m:t>​</m:t>
                  </m:r>
                </m:sup>
                <m:e>
                  <m:sSub>
                    <m:e>
                      <m:r>
                        <m:t>n</m:t>
                      </m:r>
                    </m:e>
                    <m:sub>
                      <m:r>
                        <m:t>s</m:t>
                      </m:r>
                      <m:r>
                        <m:rPr>
                          <m:sty m:val="p"/>
                        </m:rPr>
                        <m:t>,</m:t>
                      </m:r>
                      <m:r>
                        <m:t>e</m:t>
                      </m:r>
                      <m:r>
                        <m:rPr>
                          <m:sty m:val="p"/>
                        </m:rPr>
                        <m:t>,</m:t>
                      </m:r>
                      <m:r>
                        <m:t>k</m:t>
                      </m:r>
                    </m:sub>
                  </m:sSub>
                </m:e>
              </m:nary>
              <m:r>
                <m:rPr>
                  <m:sty m:val="p"/>
                </m:rPr>
                <m:t>=</m:t>
              </m:r>
              <m:r>
                <m:t>0</m:t>
              </m:r>
            </m:e>
          </m:d>
          <m:r>
            <m:rPr>
              <m:sty m:val="p"/>
            </m:rPr>
            <m:t>⋅</m:t>
          </m:r>
          <m:r>
            <m:rPr>
              <m:scr m:val="double-struck"/>
              <m:sty m:val="p"/>
            </m:rPr>
            <m:t>1</m:t>
          </m:r>
          <m:r>
            <m:t>​</m:t>
          </m:r>
          <m:d>
            <m:dPr>
              <m:begChr m:val="["/>
              <m:sepChr m:val=""/>
              <m:endChr m:val="]"/>
              <m:grow/>
            </m:dPr>
            <m:e>
              <m:r>
                <m:t> </m:t>
              </m:r>
              <m:r>
                <m:rPr>
                  <m:sty m:val="p"/>
                </m:rPr>
                <m:t>|</m:t>
              </m:r>
              <m:r>
                <m:rPr>
                  <m:sty m:val="p"/>
                </m:rPr>
                <m:t>{</m:t>
              </m:r>
              <m:r>
                <m:t>c</m:t>
              </m:r>
              <m:r>
                <m:rPr>
                  <m:sty m:val="p"/>
                </m:rPr>
                <m:t>∈</m:t>
              </m:r>
              <m:sSub>
                <m:e>
                  <m:r>
                    <m:t>R</m:t>
                  </m:r>
                </m:e>
                <m:sub>
                  <m:r>
                    <m:t>s</m:t>
                  </m:r>
                </m:sub>
              </m:sSub>
              <m:r>
                <m:rPr>
                  <m:sty m:val="p"/>
                </m:rPr>
                <m:t>:</m:t>
              </m:r>
              <m:r>
                <m:t>e</m:t>
              </m:r>
              <m:r>
                <m:rPr>
                  <m:sty m:val="p"/>
                </m:rPr>
                <m:t>(</m:t>
              </m:r>
              <m:r>
                <m:t>c</m:t>
              </m:r>
              <m:r>
                <m:rPr>
                  <m:sty m:val="p"/>
                </m:rPr>
                <m:t>)</m:t>
              </m:r>
              <m:r>
                <m:rPr>
                  <m:sty m:val="p"/>
                </m:rPr>
                <m:t>=</m:t>
              </m:r>
              <m:r>
                <m:t>e</m:t>
              </m:r>
              <m:r>
                <m:rPr>
                  <m:sty m:val="p"/>
                </m:rPr>
                <m:t>}</m:t>
              </m:r>
              <m:r>
                <m:rPr>
                  <m:sty m:val="p"/>
                </m:rPr>
                <m:t>|</m:t>
              </m:r>
              <m:r>
                <m:rPr>
                  <m:sty m:val="p"/>
                </m:rPr>
                <m:t>≥</m:t>
              </m:r>
              <m:r>
                <m:t>1</m:t>
              </m:r>
              <m:r>
                <m:t> </m:t>
              </m:r>
            </m:e>
          </m:d>
          <m:r>
            <m:t>  </m:t>
          </m:r>
          <m:r>
            <m:rPr>
              <m:sty m:val="p"/>
            </m:rPr>
            <m:t>(</m:t>
          </m:r>
          <m:r>
            <m:t>4.2</m:t>
          </m:r>
          <m:r>
            <m:rPr>
              <m:sty m:val="p"/>
            </m:rPr>
            <m:t>)</m:t>
          </m:r>
        </m:oMath>
      </m:oMathPara>
      <w:bookmarkEnd w:id="116"/>
    </w:p>
    <w:p>
      <w:pPr>
        <w:pStyle w:val="FirstParagraph"/>
      </w:pPr>
      <w:r>
        <w:t xml:space="preserve">The evidence table is built over the four Alaska ecoregions only; v7c does not apply the rule elsewhere. A channel that does not reach an ecoregion is left out of the sum rather than counted as a zero. A channel that reaches it and finds nothing counts as a zero. The rule is a yes/no question over all channels together; the channels are reported separately below so that what each can and cannot see stays visible.</w:t>
      </w:r>
    </w:p>
    <w:bookmarkEnd w:id="117"/>
    <w:bookmarkStart w:id="119" w:name="rule-2-the-right-whale-gulf-rule"/>
    <w:p>
      <w:pPr>
        <w:pStyle w:val="Heading3"/>
      </w:pPr>
      <w:r>
        <w:t xml:space="preserve">4.2.3 Rule 2: the right whale Gulf rule</w:t>
      </w:r>
    </w:p>
    <w:p>
      <w:pPr>
        <w:pStyle w:val="FirstParagraph"/>
      </w:pPr>
      <w:bookmarkStart w:id="118" w:name="eq-v7c-right-whale"/>
      <m:oMathPara>
        <m:oMathParaPr>
          <m:jc m:val="center"/>
        </m:oMathParaPr>
        <m:oMath>
          <m:sSub>
            <m:e>
              <m:r>
                <m:rPr>
                  <m:nor/>
                  <m:sty m:val="p"/>
                </m:rPr>
                <m:t>drop</m:t>
              </m:r>
            </m:e>
            <m:sub>
              <m:r>
                <m:rPr>
                  <m:nor/>
                  <m:sty m:val="i"/>
                </m:rPr>
                <m:t>E. glacialis</m:t>
              </m:r>
              <m:r>
                <m:rPr>
                  <m:sty m:val="p"/>
                </m:rPr>
                <m:t>,</m:t>
              </m:r>
              <m:r>
                <m:t> </m:t>
              </m:r>
              <m:r>
                <m:t>e</m:t>
              </m:r>
            </m:sub>
          </m:sSub>
          <m:r>
            <m:rPr>
              <m:sty m:val="p"/>
            </m:rPr>
            <m:t>=</m:t>
          </m:r>
          <m:r>
            <m:t>1</m:t>
          </m:r>
          <m:r>
            <m:t> </m:t>
          </m:r>
          <m:r>
            <m:rPr>
              <m:nor/>
              <m:sty m:val="p"/>
            </m:rPr>
            <m:t>for </m:t>
          </m:r>
          <m:r>
            <m:t>e</m:t>
          </m:r>
          <m:r>
            <m:rPr>
              <m:sty m:val="p"/>
            </m:rPr>
            <m:t>∈</m:t>
          </m:r>
          <m:r>
            <m:rPr>
              <m:sty m:val="p"/>
            </m:rPr>
            <m:t>{</m:t>
          </m:r>
          <m:r>
            <m:rPr>
              <m:nor/>
              <m:sty m:val="p"/>
            </m:rPr>
            <m:t>EGOA</m:t>
          </m:r>
          <m:r>
            <m:rPr>
              <m:sty m:val="p"/>
            </m:rPr>
            <m:t>,</m:t>
          </m:r>
          <m:r>
            <m:t> </m:t>
          </m:r>
          <m:r>
            <m:rPr>
              <m:nor/>
              <m:sty m:val="p"/>
            </m:rPr>
            <m:t>WCGOA</m:t>
          </m:r>
          <m:r>
            <m:rPr>
              <m:sty m:val="p"/>
            </m:rPr>
            <m:t>}</m:t>
          </m:r>
          <m:r>
            <m:t>  </m:t>
          </m:r>
          <m:r>
            <m:rPr>
              <m:sty m:val="p"/>
            </m:rPr>
            <m:t>(</m:t>
          </m:r>
          <m:r>
            <m:t>4.3</m:t>
          </m:r>
          <m:r>
            <m:rPr>
              <m:sty m:val="p"/>
            </m:rPr>
            <m:t>)</m:t>
          </m:r>
        </m:oMath>
      </m:oMathPara>
      <w:bookmarkEnd w:id="118"/>
    </w:p>
    <w:p>
      <w:pPr>
        <w:pStyle w:val="FirstParagraph"/>
      </w:pPr>
      <w:r>
        <w:t xml:space="preserve">The evidence is of a different kind from rule 1: the species has a handful of Gulf records, all vagrants, against thousands in the Atlantic, and none of the independent range sources places it in the Gulf (see</w:t>
      </w:r>
      <w:r>
        <w:t xml:space="preserve"> </w:t>
      </w:r>
      <w:hyperlink w:anchor="sec-v7c-right-whale">
        <w:r>
          <w:rPr>
            <w:rStyle w:val="Hyperlink"/>
          </w:rPr>
          <w:t xml:space="preserve">The right whale</w:t>
        </w:r>
      </w:hyperlink>
      <w:r>
        <w:t xml:space="preserve">).</w:t>
      </w:r>
    </w:p>
    <w:bookmarkEnd w:id="119"/>
    <w:bookmarkStart w:id="121" w:name="X990ee6f26d48dfba298b37c3d55fbc1d204e8f1"/>
    <w:p>
      <w:pPr>
        <w:pStyle w:val="Heading3"/>
      </w:pPr>
      <w:r>
        <w:t xml:space="preserve">4.2.4 Applying a drop: critical habitat is never excluded</w:t>
      </w:r>
    </w:p>
    <w:p>
      <w:pPr>
        <w:pStyle w:val="FirstParagraph"/>
      </w:pPr>
      <w:r>
        <w:t xml:space="preserve">Both rules edit the merged model the same way (</w:t>
      </w:r>
      <w:r>
        <w:rPr>
          <w:rStyle w:val="VerbatimChar"/>
        </w:rPr>
        <w:t xml:space="preserve">msens::zone_exclude_sql()</w:t>
      </w:r>
      <w:r>
        <w:t xml:space="preserve">):</w:t>
      </w:r>
    </w:p>
    <w:p>
      <w:pPr>
        <w:pStyle w:val="BodyText"/>
      </w:pPr>
      <w:bookmarkStart w:id="120" w:name="eq-v7c-apply"/>
      <m:oMathPara>
        <m:oMathParaPr>
          <m:jc m:val="center"/>
        </m:oMathParaPr>
        <m:oMath>
          <m:sSubSup>
            <m:e>
              <m:r>
                <m:t>v</m:t>
              </m:r>
            </m:e>
            <m:sub>
              <m:r>
                <m:t>s</m:t>
              </m:r>
              <m:r>
                <m:rPr>
                  <m:sty m:val="p"/>
                </m:rPr>
                <m:t>,</m:t>
              </m:r>
              <m:r>
                <m:t>c</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absent</m:t>
                    </m:r>
                  </m:e>
                  <m:e>
                    <m:r>
                      <m:rPr>
                        <m:nor/>
                        <m:sty m:val="p"/>
                      </m:rPr>
                      <m:t>if </m:t>
                    </m:r>
                    <m:sSub>
                      <m:e>
                        <m:r>
                          <m:rPr>
                            <m:nor/>
                            <m:sty m:val="p"/>
                          </m:rPr>
                          <m:t>drop</m:t>
                        </m:r>
                      </m:e>
                      <m:sub>
                        <m:r>
                          <m:t>s</m:t>
                        </m:r>
                        <m:r>
                          <m:rPr>
                            <m:sty m:val="p"/>
                          </m:rPr>
                          <m:t>,</m:t>
                        </m:r>
                        <m:r>
                          <m:t>e</m:t>
                        </m:r>
                        <m:r>
                          <m:rPr>
                            <m:sty m:val="p"/>
                          </m:rPr>
                          <m:t>(</m:t>
                        </m:r>
                        <m:r>
                          <m:t>c</m:t>
                        </m:r>
                        <m:r>
                          <m:rPr>
                            <m:sty m:val="p"/>
                          </m:rPr>
                          <m:t>)</m:t>
                        </m:r>
                      </m:sub>
                    </m:sSub>
                    <m:r>
                      <m:rPr>
                        <m:sty m:val="p"/>
                      </m:rPr>
                      <m:t>=</m:t>
                    </m:r>
                    <m:r>
                      <m:t>1</m:t>
                    </m:r>
                    <m:r>
                      <m:rPr>
                        <m:nor/>
                        <m:sty m:val="p"/>
                      </m:rPr>
                      <m:t> and </m:t>
                    </m:r>
                    <m:r>
                      <m:t>c</m:t>
                    </m:r>
                    <m:r>
                      <m:rPr>
                        <m:sty m:val="p"/>
                      </m:rPr>
                      <m:t>∉</m:t>
                    </m:r>
                    <m:sSub>
                      <m:e>
                        <m:r>
                          <m:t>H</m:t>
                        </m:r>
                      </m:e>
                      <m:sub>
                        <m:r>
                          <m:t>s</m:t>
                        </m:r>
                      </m:sub>
                    </m:sSub>
                  </m:e>
                </m:mr>
                <m:mr>
                  <m:e>
                    <m:sSub>
                      <m:e>
                        <m:r>
                          <m:t>v</m:t>
                        </m:r>
                      </m:e>
                      <m:sub>
                        <m:r>
                          <m:t>s</m:t>
                        </m:r>
                        <m:r>
                          <m:rPr>
                            <m:sty m:val="p"/>
                          </m:rPr>
                          <m:t>,</m:t>
                        </m:r>
                        <m:r>
                          <m:t>c</m:t>
                        </m:r>
                      </m:sub>
                    </m:sSub>
                  </m:e>
                  <m:e>
                    <m:r>
                      <m:rPr>
                        <m:nor/>
                        <m:sty m:val="p"/>
                      </m:rPr>
                      <m:t>otherwise</m:t>
                    </m:r>
                  </m:e>
                </m:mr>
              </m:m>
            </m:e>
          </m:d>
          <m:r>
            <m:t>  </m:t>
          </m:r>
          <m:r>
            <m:rPr>
              <m:sty m:val="p"/>
            </m:rPr>
            <m:t>(</m:t>
          </m:r>
          <m:r>
            <m:t>4.4</m:t>
          </m:r>
          <m:r>
            <m:rPr>
              <m:sty m:val="p"/>
            </m:rPr>
            <m:t>)</m:t>
          </m:r>
        </m:oMath>
      </m:oMathPara>
      <w:bookmarkEnd w:id="120"/>
    </w:p>
    <w:p>
      <w:pPr>
        <w:pStyle w:val="FirstParagraph"/>
      </w:pPr>
      <w:r>
        <w:t xml:space="preserve">where</w:t>
      </w:r>
      <w:r>
        <w:t xml:space="preserve"> </w:t>
      </w:r>
      <m:oMath>
        <m:sSub>
          <m:e>
            <m:r>
              <m:t>v</m:t>
            </m:r>
          </m:e>
          <m:sub>
            <m:r>
              <m:t>s</m:t>
            </m:r>
            <m:r>
              <m:rPr>
                <m:sty m:val="p"/>
              </m:rPr>
              <m:t>,</m:t>
            </m:r>
            <m:r>
              <m:t>c</m:t>
            </m:r>
          </m:sub>
        </m:sSub>
      </m:oMath>
      <w:r>
        <w:t xml:space="preserve"> </w:t>
      </w:r>
      <w:r>
        <w:t xml:space="preserve">is the v7 merged value and</w:t>
      </w:r>
      <w:r>
        <w:t xml:space="preserve"> </w:t>
      </w:r>
      <m:oMath>
        <m:sSub>
          <m:e>
            <m:r>
              <m:t>H</m:t>
            </m:r>
          </m:e>
          <m:sub>
            <m:r>
              <m:t>s</m:t>
            </m:r>
          </m:sub>
        </m:sSub>
      </m:oMath>
      <w:r>
        <w:t xml:space="preserve"> </w:t>
      </w:r>
      <w:r>
        <w:t xml:space="preserve">the cells the species holds under a designated critical-habitat dataset. A dropped cell is removed from the model, not set to zero, and every kept cell keeps its v7 value exactly. No v7 critical habitat for these species lies in an excluded ecoregion, so the guard is asserted by the build rather than exercised (</w:t>
      </w:r>
      <w:r>
        <w:rPr>
          <w:rStyle w:val="VerbatimChar"/>
        </w:rPr>
        <w:t xml:space="preserve">n_ch_lost</w:t>
      </w:r>
      <w:r>
        <w:t xml:space="preserve"> </w:t>
      </w:r>
      <w:r>
        <w:t xml:space="preserve">= 0 in</w:t>
      </w:r>
      <w:r>
        <w:t xml:space="preserve"> </w:t>
      </w:r>
      <w:r>
        <w:rPr>
          <w:rStyle w:val="VerbatimChar"/>
        </w:rPr>
        <w:t xml:space="preserve">build_v7c.json</w:t>
      </w:r>
      <w:r>
        <w:t xml:space="preserve">).</w:t>
      </w:r>
    </w:p>
    <w:bookmarkEnd w:id="121"/>
    <w:bookmarkStart w:id="123" w:name="rule-3-the-coverage-floor-κ"/>
    <w:p>
      <w:pPr>
        <w:pStyle w:val="Heading3"/>
      </w:pPr>
      <w:r>
        <w:t xml:space="preserve">4.2.5 Rule 3: the coverage floor κ</w:t>
      </w:r>
    </w:p>
    <w:p>
      <w:pPr>
        <w:pStyle w:val="FirstParagraph"/>
      </w:pPr>
      <w:r>
        <w:t xml:space="preserve">Unchanged from v7b. A component (a species category, or primary productivity) is reportable for a Program Area only where its scored cells cover enough of the area:</w:t>
      </w:r>
    </w:p>
    <w:p>
      <w:pPr>
        <w:pStyle w:val="BodyText"/>
      </w:pPr>
      <w:bookmarkStart w:id="122" w:name="eq-v7c-coverage"/>
      <m:oMathPara>
        <m:oMathParaPr>
          <m:jc m:val="center"/>
        </m:oMathParaPr>
        <m:oMath>
          <m:sSub>
            <m:e>
              <m:r>
                <m:rPr>
                  <m:nor/>
                  <m:sty m:val="p"/>
                </m:rPr>
                <m:t>coverage</m:t>
              </m:r>
            </m:e>
            <m:sub>
              <m:r>
                <m:t>z</m:t>
              </m:r>
              <m:r>
                <m:rPr>
                  <m:sty m:val="p"/>
                </m:rPr>
                <m:t>,</m:t>
              </m:r>
              <m:r>
                <m:t>g</m:t>
              </m:r>
            </m:sub>
          </m:sSub>
          <m:r>
            <m:rPr>
              <m:sty m:val="p"/>
            </m:rPr>
            <m:t>=</m:t>
          </m:r>
          <m:f>
            <m:fPr>
              <m:type m:val="bar"/>
            </m:fPr>
            <m:num>
              <m:nary>
                <m:naryPr>
                  <m:chr m:val="∑"/>
                  <m:limLoc m:val="undOvr"/>
                  <m:subHide m:val="off"/>
                  <m:supHide m:val="on"/>
                </m:naryPr>
                <m:sub>
                  <m:r>
                    <m:t>c</m:t>
                  </m:r>
                  <m:r>
                    <m:rPr>
                      <m:sty m:val="p"/>
                    </m:rPr>
                    <m:t>∈</m:t>
                  </m:r>
                  <m:r>
                    <m:t>z</m:t>
                  </m:r>
                  <m:r>
                    <m:rPr>
                      <m:sty m:val="p"/>
                    </m:rPr>
                    <m:t>,</m:t>
                  </m:r>
                  <m:r>
                    <m:t> </m:t>
                  </m:r>
                  <m:r>
                    <m:rPr>
                      <m:nor/>
                      <m:sty m:val="p"/>
                    </m:rPr>
                    <m:t>scored</m:t>
                  </m:r>
                </m:sub>
                <m:sup>
                  <m:r>
                    <m:t>​</m:t>
                  </m:r>
                </m:sup>
                <m:e>
                  <m:sSub>
                    <m:e>
                      <m:r>
                        <m:t>w</m:t>
                      </m:r>
                    </m:e>
                    <m:sub>
                      <m:r>
                        <m:t>c</m:t>
                      </m:r>
                    </m:sub>
                  </m:sSub>
                </m:e>
              </m:nary>
            </m:num>
            <m:den>
              <m:nary>
                <m:naryPr>
                  <m:chr m:val="∑"/>
                  <m:limLoc m:val="undOvr"/>
                  <m:subHide m:val="off"/>
                  <m:supHide m:val="on"/>
                </m:naryPr>
                <m:sub>
                  <m:r>
                    <m:t>c</m:t>
                  </m:r>
                  <m:r>
                    <m:rPr>
                      <m:sty m:val="p"/>
                    </m:rPr>
                    <m:t>∈</m:t>
                  </m:r>
                  <m:r>
                    <m:t>z</m:t>
                  </m:r>
                </m:sub>
                <m:sup>
                  <m:r>
                    <m:t>​</m:t>
                  </m:r>
                </m:sup>
                <m:e>
                  <m:sSub>
                    <m:e>
                      <m:r>
                        <m:t>w</m:t>
                      </m:r>
                    </m:e>
                    <m:sub>
                      <m:r>
                        <m:t>c</m:t>
                      </m:r>
                    </m:sub>
                  </m:sSub>
                </m:e>
              </m:nary>
            </m:den>
          </m:f>
          <m:r>
            <m:t> </m:t>
          </m:r>
          <m:r>
            <m:rPr>
              <m:sty m:val="p"/>
            </m:rPr>
            <m:t>,</m:t>
          </m:r>
          <m:r>
            <m:t>  </m:t>
          </m:r>
          <m:sSub>
            <m:e>
              <m:r>
                <m:rPr>
                  <m:nor/>
                  <m:sty m:val="p"/>
                </m:rPr>
                <m:t>reportable</m:t>
              </m:r>
            </m:e>
            <m:sub>
              <m:r>
                <m:t>z</m:t>
              </m:r>
              <m:r>
                <m:rPr>
                  <m:sty m:val="p"/>
                </m:rPr>
                <m:t>,</m:t>
              </m:r>
              <m:r>
                <m:t>g</m:t>
              </m:r>
            </m:sub>
          </m:sSub>
          <m:r>
            <m:rPr>
              <m:sty m:val="p"/>
            </m:rPr>
            <m:t>⇔</m:t>
          </m:r>
          <m:sSub>
            <m:e>
              <m:r>
                <m:rPr>
                  <m:nor/>
                  <m:sty m:val="p"/>
                </m:rPr>
                <m:t>coverage</m:t>
              </m:r>
            </m:e>
            <m:sub>
              <m:r>
                <m:t>z</m:t>
              </m:r>
              <m:r>
                <m:rPr>
                  <m:sty m:val="p"/>
                </m:rPr>
                <m:t>,</m:t>
              </m:r>
              <m:r>
                <m:t>g</m:t>
              </m:r>
            </m:sub>
          </m:sSub>
          <m:r>
            <m:rPr>
              <m:sty m:val="p"/>
            </m:rPr>
            <m:t>≥</m:t>
          </m:r>
          <m:r>
            <m:t>κ</m:t>
          </m:r>
          <m:r>
            <m:t>  </m:t>
          </m:r>
          <m:r>
            <m:rPr>
              <m:sty m:val="p"/>
            </m:rPr>
            <m:t>(</m:t>
          </m:r>
          <m:r>
            <m:t>4.5</m:t>
          </m:r>
          <m:r>
            <m:rPr>
              <m:sty m:val="p"/>
            </m:rPr>
            <m:t>)</m:t>
          </m:r>
        </m:oMath>
      </m:oMathPara>
      <w:bookmarkEnd w:id="122"/>
    </w:p>
    <w:p>
      <w:pPr>
        <w:pStyle w:val="FirstParagraph"/>
      </w:pPr>
      <w:r>
        <w:t xml:space="preserve">with</w:t>
      </w:r>
      <w:r>
        <w:t xml:space="preserve"> </w:t>
      </w:r>
      <m:oMath>
        <m:sSub>
          <m:e>
            <m:r>
              <m:t>w</m:t>
            </m:r>
          </m:e>
          <m:sub>
            <m:r>
              <m:t>c</m:t>
            </m:r>
          </m:sub>
        </m:sSub>
      </m:oMath>
      <w:r>
        <w:t xml:space="preserve"> </w:t>
      </w:r>
      <w:r>
        <w:t xml:space="preserve">the share of cell</w:t>
      </w:r>
      <w:r>
        <w:t xml:space="preserve"> </w:t>
      </w:r>
      <m:oMath>
        <m:r>
          <m:t>c</m:t>
        </m:r>
      </m:oMath>
      <w:r>
        <w:t xml:space="preserve"> </w:t>
      </w:r>
      <w:r>
        <w:t xml:space="preserve">inside Program Area</w:t>
      </w:r>
      <w:r>
        <w:t xml:space="preserve"> </w:t>
      </w:r>
      <m:oMath>
        <m:r>
          <m:t>z</m:t>
        </m:r>
      </m:oMath>
      <w:r>
        <w:t xml:space="preserve"> </w:t>
      </w:r>
      <w:r>
        <w:t xml:space="preserve">and</w:t>
      </w:r>
      <w:r>
        <w:t xml:space="preserve"> </w:t>
      </w:r>
      <m:oMath>
        <m:r>
          <m:t>κ</m:t>
        </m:r>
      </m:oMath>
      <w:r>
        <w:t xml:space="preserve"> </w:t>
      </w:r>
      <w:r>
        <w:t xml:space="preserve">= 5 %. Below the floor the component is not reportable: it is left out of the composite, never published as a zero.</w:t>
      </w:r>
    </w:p>
    <w:bookmarkEnd w:id="123"/>
    <w:bookmarkStart w:id="126" w:name="why-a-drop-and-not-a-weight"/>
    <w:p>
      <w:pPr>
        <w:pStyle w:val="Heading3"/>
      </w:pPr>
      <w:r>
        <w:t xml:space="preserve">4.2.6 Why a drop, and not a weight</w:t>
      </w:r>
    </w:p>
    <w:p>
      <w:pPr>
        <w:pStyle w:val="FirstParagraph"/>
      </w:pPr>
      <w:r>
        <w:t xml:space="preserve">An alternative was worked through first: keep a turtle where it has been recorded rarely, but down-weight it by how rarely. The weight is the encounter rate per unit of looking, relative to a reference coast (California, Oregon and Washington), divided by what the distribution model already says about the same contrast (the encounter-rate notebook,</w:t>
      </w:r>
      <w:r>
        <w:t xml:space="preserve"> </w:t>
      </w:r>
      <w:hyperlink w:anchor="sec-v7c-links">
        <w:r>
          <w:rPr>
            <w:rStyle w:val="Hyperlink"/>
          </w:rPr>
          <w:t xml:space="preserve">Section 4.3.6</w:t>
        </w:r>
      </w:hyperlink>
      <w:r>
        <w:t xml:space="preserve">):</w:t>
      </w:r>
    </w:p>
    <w:p>
      <w:pPr>
        <w:pStyle w:val="BodyText"/>
      </w:pPr>
      <w:bookmarkStart w:id="124" w:name="eq-v7c-weight"/>
      <m:oMathPara>
        <m:oMathParaPr>
          <m:jc m:val="center"/>
        </m:oMathParaPr>
        <m:oMath>
          <m:sSub>
            <m:e>
              <m:r>
                <m:t>w</m:t>
              </m:r>
            </m:e>
            <m:sub>
              <m:r>
                <m:t>s</m:t>
              </m:r>
              <m:r>
                <m:rPr>
                  <m:sty m:val="p"/>
                </m:rPr>
                <m:t>,</m:t>
              </m:r>
              <m:r>
                <m:t>e</m:t>
              </m:r>
            </m:sub>
          </m:sSub>
          <m:r>
            <m:rPr>
              <m:sty m:val="p"/>
            </m:rPr>
            <m:t>=</m:t>
          </m:r>
          <m:r>
            <m:rPr>
              <m:sty m:val="p"/>
            </m:rPr>
            <m:t>min</m:t>
          </m:r>
          <m:d>
            <m:dPr>
              <m:begChr m:val="("/>
              <m:sepChr m:val=""/>
              <m:endChr m:val=")"/>
              <m:grow/>
            </m:dPr>
            <m:e>
              <m:r>
                <m:t>1</m:t>
              </m:r>
              <m:r>
                <m:rPr>
                  <m:sty m:val="p"/>
                </m:rPr>
                <m:t>,</m:t>
              </m:r>
              <m:r>
                <m:t> </m:t>
              </m:r>
              <m:f>
                <m:fPr>
                  <m:type m:val="bar"/>
                </m:fPr>
                <m:num>
                  <m:sSub>
                    <m:e>
                      <m:r>
                        <m:t>λ</m:t>
                      </m:r>
                    </m:e>
                    <m:sub>
                      <m:r>
                        <m:t>s</m:t>
                      </m:r>
                      <m:r>
                        <m:rPr>
                          <m:sty m:val="p"/>
                        </m:rPr>
                        <m:t>,</m:t>
                      </m:r>
                      <m:r>
                        <m:t>e</m:t>
                      </m:r>
                    </m:sub>
                  </m:sSub>
                  <m:r>
                    <m:rPr>
                      <m:sty m:val="p"/>
                    </m:rPr>
                    <m:t>/</m:t>
                  </m:r>
                  <m:sSub>
                    <m:e>
                      <m:r>
                        <m:t>λ</m:t>
                      </m:r>
                    </m:e>
                    <m:sub>
                      <m:r>
                        <m:t>s</m:t>
                      </m:r>
                      <m:r>
                        <m:rPr>
                          <m:sty m:val="p"/>
                        </m:rPr>
                        <m:t>,</m:t>
                      </m:r>
                      <m:r>
                        <m:rPr>
                          <m:nor/>
                          <m:sty m:val="p"/>
                        </m:rPr>
                        <m:t>ref</m:t>
                      </m:r>
                    </m:sub>
                  </m:sSub>
                </m:num>
                <m:den>
                  <m:sSub>
                    <m:e>
                      <m:acc>
                        <m:accPr>
                          <m:chr m:val="‾"/>
                        </m:accPr>
                        <m:e>
                          <m:r>
                            <m:t>S</m:t>
                          </m:r>
                        </m:e>
                      </m:acc>
                    </m:e>
                    <m:sub>
                      <m:r>
                        <m:t>s</m:t>
                      </m:r>
                      <m:r>
                        <m:rPr>
                          <m:sty m:val="p"/>
                        </m:rPr>
                        <m:t>,</m:t>
                      </m:r>
                      <m:r>
                        <m:t>e</m:t>
                      </m:r>
                    </m:sub>
                  </m:sSub>
                  <m:r>
                    <m:rPr>
                      <m:sty m:val="p"/>
                    </m:rPr>
                    <m:t>/</m:t>
                  </m:r>
                  <m:sSub>
                    <m:e>
                      <m:acc>
                        <m:accPr>
                          <m:chr m:val="‾"/>
                        </m:accPr>
                        <m:e>
                          <m:r>
                            <m:t>S</m:t>
                          </m:r>
                        </m:e>
                      </m:acc>
                    </m:e>
                    <m:sub>
                      <m:r>
                        <m:t>s</m:t>
                      </m:r>
                      <m:r>
                        <m:rPr>
                          <m:sty m:val="p"/>
                        </m:rPr>
                        <m:t>,</m:t>
                      </m:r>
                      <m:r>
                        <m:rPr>
                          <m:nor/>
                          <m:sty m:val="p"/>
                        </m:rPr>
                        <m:t>ref</m:t>
                      </m:r>
                    </m:sub>
                  </m:sSub>
                </m:den>
              </m:f>
            </m:e>
          </m:d>
          <m:r>
            <m:t>  </m:t>
          </m:r>
          <m:r>
            <m:rPr>
              <m:sty m:val="p"/>
            </m:rPr>
            <m:t>(</m:t>
          </m:r>
          <m:r>
            <m:t>4.6</m:t>
          </m:r>
          <m:r>
            <m:rPr>
              <m:sty m:val="p"/>
            </m:rPr>
            <m:t>)</m:t>
          </m:r>
        </m:oMath>
      </m:oMathPara>
      <w:bookmarkEnd w:id="124"/>
    </w:p>
    <w:p>
      <w:pPr>
        <w:pStyle w:val="FirstParagraph"/>
      </w:pPr>
      <w:r>
        <w:t xml:space="preserve">where</w:t>
      </w:r>
      <w:r>
        <w:t xml:space="preserve"> </w:t>
      </w:r>
      <m:oMath>
        <m:r>
          <m:t>λ</m:t>
        </m:r>
      </m:oMath>
      <w:r>
        <w:t xml:space="preserve"> </w:t>
      </w:r>
      <w:r>
        <w:t xml:space="preserve">is turtles found per unit of looking and</w:t>
      </w:r>
      <w:r>
        <w:t xml:space="preserve"> </w:t>
      </w:r>
      <m:oMath>
        <m:acc>
          <m:accPr>
            <m:chr m:val="‾"/>
          </m:accPr>
          <m:e>
            <m:r>
              <m:t>S</m:t>
            </m:r>
          </m:e>
        </m:acc>
      </m:oMath>
      <w:r>
        <w:t xml:space="preserve"> </w:t>
      </w:r>
      <w:r>
        <w:t xml:space="preserve">is mean modeled suitability per cell. v7c does not use it, because a weight cannot reach the score:</w:t>
      </w:r>
    </w:p>
    <w:p>
      <w:pPr>
        <w:pStyle w:val="Compact"/>
        <w:numPr>
          <w:ilvl w:val="0"/>
          <w:numId w:val="1010"/>
        </w:numPr>
      </w:pPr>
      <w:r>
        <w:rPr>
          <w:b/>
          <w:bCs/>
        </w:rPr>
        <w:t xml:space="preserve">The ecoregional rescale cancels it.</w:t>
      </w:r>
      <w:r>
        <w:t xml:space="preserve"> </w:t>
      </w:r>
      <w:r>
        <w:t xml:space="preserve">Each component is rescaled to 0–100 within its ecoregion (</w:t>
      </w:r>
      <w:hyperlink w:anchor="eq-ecoregion-rescale">
        <w:r>
          <w:rPr>
            <w:rStyle w:val="Hyperlink"/>
          </w:rPr>
          <w:t xml:space="preserve">Equation 10.4</w:t>
        </w:r>
      </w:hyperlink>
      <w:r>
        <w:t xml:space="preserve">). A weight</w:t>
      </w:r>
      <w:r>
        <w:t xml:space="preserve"> </w:t>
      </w:r>
      <m:oMath>
        <m:r>
          <m:t>w</m:t>
        </m:r>
      </m:oMath>
      <w:r>
        <w:t xml:space="preserve"> </w:t>
      </w:r>
      <w:r>
        <w:t xml:space="preserve">shared by every turtle cell of an ecoregion scales the cell scores and both endpoints alike, so it divides out, apart from rounding to whole numbers (next point):</w:t>
      </w:r>
    </w:p>
    <w:p>
      <w:pPr>
        <w:pStyle w:val="Compact"/>
      </w:pPr>
      <w:bookmarkStart w:id="125" w:name="eq-v7c-cancel"/>
      <m:oMathPara>
        <m:oMathParaPr>
          <m:jc m:val="center"/>
        </m:oMathParaPr>
        <m:oMath>
          <m:f>
            <m:fPr>
              <m:type m:val="bar"/>
            </m:fPr>
            <m:num>
              <m:r>
                <m:t>w</m:t>
              </m:r>
              <m:r>
                <m:t> </m:t>
              </m:r>
              <m:sSub>
                <m:e>
                  <m:r>
                    <m:t>x</m:t>
                  </m:r>
                </m:e>
                <m:sub>
                  <m:r>
                    <m:t>c</m:t>
                  </m:r>
                </m:sub>
              </m:sSub>
              <m:r>
                <m:rPr>
                  <m:sty m:val="p"/>
                </m:rPr>
                <m:t>−</m:t>
              </m:r>
              <m:r>
                <m:t>w</m:t>
              </m:r>
              <m:r>
                <m:t> </m:t>
              </m:r>
              <m:sSub>
                <m:e>
                  <m:r>
                    <m:t>x</m:t>
                  </m:r>
                </m:e>
                <m:sub>
                  <m:r>
                    <m:rPr>
                      <m:sty m:val="p"/>
                    </m:rPr>
                    <m:t>min</m:t>
                  </m:r>
                </m:sub>
              </m:sSub>
            </m:num>
            <m:den>
              <m:r>
                <m:t>w</m:t>
              </m:r>
              <m:r>
                <m:t> </m:t>
              </m:r>
              <m:sSub>
                <m:e>
                  <m:r>
                    <m:t>x</m:t>
                  </m:r>
                </m:e>
                <m:sub>
                  <m:r>
                    <m:rPr>
                      <m:sty m:val="p"/>
                    </m:rPr>
                    <m:t>max</m:t>
                  </m:r>
                </m:sub>
              </m:sSub>
              <m:r>
                <m:rPr>
                  <m:sty m:val="p"/>
                </m:rPr>
                <m:t>−</m:t>
              </m:r>
              <m:r>
                <m:t>w</m:t>
              </m:r>
              <m:r>
                <m:t> </m:t>
              </m:r>
              <m:sSub>
                <m:e>
                  <m:r>
                    <m:t>x</m:t>
                  </m:r>
                </m:e>
                <m:sub>
                  <m:r>
                    <m:rPr>
                      <m:sty m:val="p"/>
                    </m:rPr>
                    <m:t>min</m:t>
                  </m:r>
                </m:sub>
              </m:sSub>
            </m:den>
          </m:f>
          <m:r>
            <m:rPr>
              <m:sty m:val="p"/>
            </m:rPr>
            <m:t>=</m:t>
          </m:r>
          <m:f>
            <m:fPr>
              <m:type m:val="bar"/>
            </m:fPr>
            <m:num>
              <m:sSub>
                <m:e>
                  <m:r>
                    <m:t>x</m:t>
                  </m:r>
                </m:e>
                <m:sub>
                  <m:r>
                    <m:t>c</m:t>
                  </m:r>
                </m:sub>
              </m:sSub>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r>
            <m:t>  </m:t>
          </m:r>
          <m:r>
            <m:rPr>
              <m:sty m:val="p"/>
            </m:rPr>
            <m:t>(</m:t>
          </m:r>
          <m:r>
            <m:t>4.7</m:t>
          </m:r>
          <m:r>
            <m:rPr>
              <m:sty m:val="p"/>
            </m:rPr>
            <m:t>)</m:t>
          </m:r>
        </m:oMath>
      </m:oMathPara>
      <w:bookmarkEnd w:id="125"/>
    </w:p>
    <w:p>
      <w:pPr>
        <w:pStyle w:val="Compact"/>
        <w:numPr>
          <w:ilvl w:val="0"/>
          <w:numId w:val="1000"/>
        </w:numPr>
      </w:pPr>
      <w:r>
        <w:t xml:space="preserve">A weight that differs between species changes only the mix of species within the ecoregion.</w:t>
      </w:r>
    </w:p>
    <w:p>
      <w:pPr>
        <w:pStyle w:val="Compact"/>
        <w:numPr>
          <w:ilvl w:val="0"/>
          <w:numId w:val="1010"/>
        </w:numPr>
      </w:pPr>
      <w:r>
        <w:rPr>
          <w:b/>
          <w:bCs/>
        </w:rPr>
        <w:t xml:space="preserve">The integer floor keeps every cell.</w:t>
      </w:r>
      <w:r>
        <w:t xml:space="preserve"> </w:t>
      </w:r>
      <w:r>
        <w:t xml:space="preserve">The scoring database stores merged values as integers floored at 1,</w:t>
      </w:r>
      <w:r>
        <w:t xml:space="preserve"> </w:t>
      </w:r>
      <m:oMath>
        <m:sSup>
          <m:e>
            <m:r>
              <m:t>v</m:t>
            </m:r>
          </m:e>
          <m:sup>
            <m:r>
              <m:rPr>
                <m:sty m:val="p"/>
              </m:rPr>
              <m:t>′</m:t>
            </m:r>
          </m:sup>
        </m:sSup>
        <m:r>
          <m:rPr>
            <m:sty m:val="p"/>
          </m:rPr>
          <m:t>=</m:t>
        </m:r>
        <m:r>
          <m:rPr>
            <m:sty m:val="p"/>
          </m:rPr>
          <m:t>max</m:t>
        </m:r>
        <m:r>
          <m:rPr>
            <m:sty m:val="p"/>
          </m:rPr>
          <m:t>(</m:t>
        </m:r>
        <m:r>
          <m:t>1</m:t>
        </m:r>
        <m:r>
          <m:rPr>
            <m:sty m:val="p"/>
          </m:rPr>
          <m:t>,</m:t>
        </m:r>
        <m:r>
          <m:rPr>
            <m:sty m:val="p"/>
          </m:rPr>
          <m:t>r</m:t>
        </m:r>
        <m:r>
          <m:rPr>
            <m:sty m:val="p"/>
          </m:rPr>
          <m:t>o</m:t>
        </m:r>
        <m:r>
          <m:rPr>
            <m:sty m:val="p"/>
          </m:rPr>
          <m:t>u</m:t>
        </m:r>
        <m:r>
          <m:rPr>
            <m:sty m:val="p"/>
          </m:rPr>
          <m:t>n</m:t>
        </m:r>
        <m:r>
          <m:rPr>
            <m:sty m:val="p"/>
          </m:rPr>
          <m:t>d</m:t>
        </m:r>
        <m:r>
          <m:rPr>
            <m:sty m:val="p"/>
          </m:rPr>
          <m:t>(</m:t>
        </m:r>
        <m:r>
          <m:t>w</m:t>
        </m:r>
        <m:r>
          <m:t> </m:t>
        </m:r>
        <m:r>
          <m:t>v</m:t>
        </m:r>
        <m:r>
          <m:rPr>
            <m:sty m:val="p"/>
          </m:rPr>
          <m:t>)</m:t>
        </m:r>
        <m:r>
          <m:rPr>
            <m:sty m:val="p"/>
          </m:rPr>
          <m:t>)</m:t>
        </m:r>
      </m:oMath>
      <w:r>
        <w:t xml:space="preserve">. Even a weight near 0 (the posterior never reaches exactly 0 for a species with no records) leaves the species in every cell at a value of 1. That is a flat surface the rescale treats like any other, and it still counts in the composite.</w:t>
      </w:r>
    </w:p>
    <w:p>
      <w:pPr>
        <w:pStyle w:val="FirstParagraph"/>
      </w:pPr>
      <w:r>
        <w:t xml:space="preserve">A weight can therefore at most reshuffle species within an ecoregion; taking a species out of an ecoregion’s score takes a drop. Where a species</w:t>
      </w:r>
      <w:r>
        <w:t xml:space="preserve"> </w:t>
      </w:r>
      <w:r>
        <w:rPr>
          <w:i/>
          <w:iCs/>
        </w:rPr>
        <w:t xml:space="preserve">has</w:t>
      </w:r>
      <w:r>
        <w:t xml:space="preserve"> </w:t>
      </w:r>
      <w:r>
        <w:t xml:space="preserve">been recorded, v7c keeps it at its v7 value. In the Gulf of Alaska the two fair comparisons disagree: the strandings line puts the weight at 1 for all four recorded species, while the iNaturalist line, which covers only the years since about 2008, would down-weight them strongly. The Alaska Region’s records since 2003 (request 1 below) would settle which holds today.</w:t>
      </w:r>
    </w:p>
    <w:bookmarkEnd w:id="126"/>
    <w:bookmarkEnd w:id="127"/>
    <w:bookmarkStart w:id="166" w:name="the-evidence"/>
    <w:p>
      <w:pPr>
        <w:pStyle w:val="Heading2"/>
      </w:pPr>
      <w:r>
        <w:t xml:space="preserve">4.3 The evidence</w:t>
      </w:r>
    </w:p>
    <w:p>
      <w:pPr>
        <w:pStyle w:val="FirstParagraph"/>
      </w:pPr>
      <w:r>
        <w:t xml:space="preserve">The evidence notebook gathers every observational channel that could be obtained, counts records per species × ecoregion × channel, and writes the exclusion table this release applies. The build asserts that the exclusions it applies are exactly that table’s rows.</w:t>
      </w:r>
    </w:p>
    <w:bookmarkStart w:id="128" w:name="the-channels"/>
    <w:p>
      <w:pPr>
        <w:pStyle w:val="Heading3"/>
      </w:pPr>
      <w:r>
        <w:t xml:space="preserve">4.3.1 The channels</w:t>
      </w:r>
    </w:p>
    <w:p>
      <w:pPr>
        <w:pStyle w:val="TableCaption"/>
      </w:pPr>
      <w:r>
        <w:t xml:space="preserve">Every observational channel used or cited (</w:t>
      </w:r>
      <w:r>
        <w:rPr>
          <w:rStyle w:val="VerbatimChar"/>
        </w:rPr>
        <w:t xml:space="preserve">sources.csv</w:t>
      </w:r>
      <w:r>
        <w:t xml:space="preserve">).</w:t>
      </w:r>
      <w:r>
        <w:t xml:space="preserve"> </w:t>
      </w:r>
      <w:r>
        <w:rPr>
          <w:i/>
          <w:iCs/>
        </w:rPr>
        <w:t xml:space="preserve">used</w:t>
      </w:r>
      <w:r>
        <w:t xml:space="preserve">: counted per species × ecoregion;</w:t>
      </w:r>
      <w:r>
        <w:t xml:space="preserve"> </w:t>
      </w:r>
      <w:r>
        <w:rPr>
          <w:i/>
          <w:iCs/>
        </w:rPr>
        <w:t xml:space="preserve">cited</w:t>
      </w:r>
      <w:r>
        <w:t xml:space="preserve">: a published figure quoted from the report. The channels overlap — one record can be in OBIS, GBIF and a NOAA file at once — so they are never summed into a total, only asked the record rule’s yes/no question.</w:t>
      </w:r>
    </w:p>
    <w:tbl>
      <w:tblPr>
        <w:tblStyle w:val="Table"/>
        <w:tblW w:type="pct" w:w="5000"/>
        <w:tblLayout w:type="fixed"/>
        <w:tblLook w:firstRow="1" w:lastRow="0" w:firstColumn="0" w:lastColumn="0" w:noHBand="0" w:noVBand="0" w:val="0020"/>
        <w:tblCaption w:val="Every observational channel used or cited (sources.csv). used: counted per species × ecoregion; cited: a published figure quoted from the report. The channels overlap — one record can be in OBIS, GBIF and a NOAA file at once — so they are never summed into a total, only asked the record rule’s yes/no question."/>
      </w:tblPr>
      <w:tblGrid>
        <w:gridCol w:w="710"/>
        <w:gridCol w:w="3795"/>
        <w:gridCol w:w="883"/>
        <w:gridCol w:w="277"/>
        <w:gridCol w:w="1455"/>
        <w:gridCol w:w="693"/>
        <w:gridCol w:w="103"/>
      </w:tblGrid>
      <w:tr>
        <w:trPr>
          <w:tblHeader w:val="on"/>
        </w:trPr>
        <w:tc>
          <w:tcPr/>
          <w:p>
            <w:pPr>
              <w:pStyle w:val="Compact"/>
              <w:jc w:val="left"/>
            </w:pPr>
            <w:r>
              <w:t xml:space="preserve">Channel</w:t>
            </w:r>
          </w:p>
        </w:tc>
        <w:tc>
          <w:tcPr/>
          <w:p>
            <w:pPr>
              <w:pStyle w:val="Compact"/>
              <w:jc w:val="left"/>
            </w:pPr>
            <w:r>
              <w:t xml:space="preserve">Records</w:t>
            </w:r>
          </w:p>
        </w:tc>
        <w:tc>
          <w:tcPr/>
          <w:p>
            <w:pPr>
              <w:pStyle w:val="Compact"/>
              <w:jc w:val="left"/>
            </w:pPr>
            <w:r>
              <w:t xml:space="preserve">Coverage</w:t>
            </w:r>
          </w:p>
        </w:tc>
        <w:tc>
          <w:tcPr/>
          <w:p>
            <w:pPr>
              <w:pStyle w:val="Compact"/>
              <w:jc w:val="left"/>
            </w:pPr>
            <w:r>
              <w:t xml:space="preserve">Years</w:t>
            </w:r>
          </w:p>
        </w:tc>
        <w:tc>
          <w:tcPr/>
          <w:p>
            <w:pPr>
              <w:pStyle w:val="Compact"/>
              <w:jc w:val="left"/>
            </w:pPr>
            <w:r>
              <w:t xml:space="preserve">Looking (effort proxy)</w:t>
            </w:r>
          </w:p>
        </w:tc>
        <w:tc>
          <w:tcPr/>
          <w:p>
            <w:pPr>
              <w:pStyle w:val="Compact"/>
              <w:jc w:val="left"/>
            </w:pPr>
            <w:r>
              <w:t xml:space="preserve">Source</w:t>
            </w:r>
          </w:p>
        </w:tc>
        <w:tc>
          <w:tcPr/>
          <w:p>
            <w:pPr>
              <w:pStyle w:val="Compact"/>
              <w:jc w:val="left"/>
            </w:pPr>
            <w:r>
              <w:t xml:space="preserve">Use</w:t>
            </w:r>
          </w:p>
        </w:tc>
      </w:tr>
      <w:tr>
        <w:tc>
          <w:tcPr/>
          <w:p>
            <w:pPr>
              <w:pStyle w:val="Compact"/>
              <w:jc w:val="left"/>
            </w:pPr>
            <w:r>
              <w:t xml:space="preserve">noaa_ak_sighting / _stranding / _bycatch</w:t>
            </w:r>
          </w:p>
        </w:tc>
        <w:tc>
          <w:tcPr/>
          <w:p>
            <w:pPr>
              <w:pStyle w:val="Compact"/>
              <w:jc w:val="left"/>
            </w:pPr>
            <w:r>
              <w:t xml:space="preserve">Alaska sea turtle records typed by how found (sighting at sea, stranding, netted)</w:t>
            </w:r>
          </w:p>
        </w:tc>
        <w:tc>
          <w:tcPr/>
          <w:p>
            <w:pPr>
              <w:pStyle w:val="Compact"/>
              <w:jc w:val="left"/>
            </w:pPr>
            <w:r>
              <w:t xml:space="preserve">Alaska (all located records in the Gulf of Alaska)</w:t>
            </w:r>
          </w:p>
        </w:tc>
        <w:tc>
          <w:tcPr/>
          <w:p>
            <w:pPr>
              <w:pStyle w:val="Compact"/>
              <w:jc w:val="left"/>
            </w:pPr>
            <w:r>
              <w:t xml:space="preserve">1963–2020</w:t>
            </w:r>
          </w:p>
        </w:tc>
        <w:tc>
          <w:tcPr/>
          <w:p>
            <w:pPr>
              <w:pStyle w:val="Compact"/>
              <w:jc w:val="left"/>
            </w:pPr>
            <w:r>
              <w:t xml:space="preserve">marine mammal strandings, Alaska Region: 188 a year 2006–2017</w:t>
            </w:r>
          </w:p>
        </w:tc>
        <w:tc>
          <w:tcPr/>
          <w:p>
            <w:pPr>
              <w:pStyle w:val="Compact"/>
              <w:jc w:val="left"/>
            </w:pPr>
            <w:r>
              <w:t xml:space="preserve">(NOAA Fisheries Alaska Region 2026; Hodge and Wing 2000)</w:t>
            </w:r>
          </w:p>
        </w:tc>
        <w:tc>
          <w:tcPr/>
          <w:p>
            <w:pPr>
              <w:pStyle w:val="Compact"/>
              <w:jc w:val="left"/>
            </w:pPr>
            <w:r>
              <w:t xml:space="preserve">used</w:t>
            </w:r>
          </w:p>
        </w:tc>
      </w:tr>
      <w:tr>
        <w:tc>
          <w:tcPr/>
          <w:p>
            <w:pPr>
              <w:pStyle w:val="Compact"/>
              <w:jc w:val="left"/>
            </w:pPr>
            <w:r>
              <w:t xml:space="preserve">obis_all / obis_survey</w:t>
            </w:r>
          </w:p>
        </w:tc>
        <w:tc>
          <w:tcPr/>
          <w:p>
            <w:pPr>
              <w:pStyle w:val="Compact"/>
              <w:jc w:val="left"/>
            </w:pPr>
            <w:r>
              <w:t xml:space="preserve">OBIS presence records (surveys = no telemetry, machine observation or photo-ID)</w:t>
            </w:r>
          </w:p>
        </w:tc>
        <w:tc>
          <w:tcPr/>
          <w:p>
            <w:pPr>
              <w:pStyle w:val="Compact"/>
              <w:jc w:val="left"/>
            </w:pPr>
            <w:r>
              <w:t xml:space="preserve">global</w:t>
            </w:r>
          </w:p>
        </w:tc>
        <w:tc>
          <w:tcPr/>
          <w:p>
            <w:pPr>
              <w:pStyle w:val="Compact"/>
              <w:jc w:val="left"/>
            </w:pPr>
            <w:r>
              <w:t xml:space="preserve">1850s–2024</w:t>
            </w:r>
          </w:p>
        </w:tc>
        <w:tc>
          <w:tcPr/>
          <w:p>
            <w:pPr>
              <w:pStyle w:val="Compact"/>
              <w:jc w:val="left"/>
            </w:pPr>
            <w:r>
              <w:t xml:space="preserve">OBIS marine mammal records; turtle-recording datasets’ block-years</w:t>
            </w:r>
          </w:p>
        </w:tc>
        <w:tc>
          <w:tcPr/>
          <w:p>
            <w:pPr>
              <w:pStyle w:val="Compact"/>
              <w:jc w:val="left"/>
            </w:pPr>
            <w:r>
              <w:t xml:space="preserve">(OBIS 2025b)</w:t>
            </w:r>
          </w:p>
        </w:tc>
        <w:tc>
          <w:tcPr/>
          <w:p>
            <w:pPr>
              <w:pStyle w:val="Compact"/>
              <w:jc w:val="left"/>
            </w:pPr>
            <w:r>
              <w:t xml:space="preserve">used</w:t>
            </w:r>
          </w:p>
        </w:tc>
      </w:tr>
      <w:tr>
        <w:tc>
          <w:tcPr/>
          <w:p>
            <w:pPr>
              <w:pStyle w:val="Compact"/>
              <w:jc w:val="left"/>
            </w:pPr>
            <w:r>
              <w:t xml:space="preserve">gbif</w:t>
            </w:r>
          </w:p>
        </w:tc>
        <w:tc>
          <w:tcPr/>
          <w:p>
            <w:pPr>
              <w:pStyle w:val="Compact"/>
              <w:jc w:val="left"/>
            </w:pPr>
            <w:r>
              <w:t xml:space="preserve">GBIF presence records, occurrence API counts per ecoregion (0.1° buffer)</w:t>
            </w:r>
          </w:p>
        </w:tc>
        <w:tc>
          <w:tcPr/>
          <w:p>
            <w:pPr>
              <w:pStyle w:val="Compact"/>
              <w:jc w:val="left"/>
            </w:pPr>
            <w:r>
              <w:t xml:space="preserve">global</w:t>
            </w:r>
          </w:p>
        </w:tc>
        <w:tc>
          <w:tcPr/>
          <w:p>
            <w:pPr>
              <w:pStyle w:val="Compact"/>
              <w:jc w:val="left"/>
            </w:pPr>
            <w:r>
              <w:t xml:space="preserve">to 2026</w:t>
            </w:r>
          </w:p>
        </w:tc>
        <w:tc>
          <w:tcPr/>
          <w:p>
            <w:pPr>
              <w:pStyle w:val="Compact"/>
              <w:jc w:val="left"/>
            </w:pPr>
            <w:r>
              <w:t xml:space="preserve">GBIF marine mammal records</w:t>
            </w:r>
          </w:p>
        </w:tc>
        <w:tc>
          <w:tcPr/>
          <w:p>
            <w:pPr>
              <w:pStyle w:val="Compact"/>
              <w:jc w:val="left"/>
            </w:pPr>
            <w:r>
              <w:t xml:space="preserve">(GBIF.org 2026)</w:t>
            </w:r>
          </w:p>
        </w:tc>
        <w:tc>
          <w:tcPr/>
          <w:p>
            <w:pPr>
              <w:pStyle w:val="Compact"/>
              <w:jc w:val="left"/>
            </w:pPr>
            <w:r>
              <w:t xml:space="preserve">used</w:t>
            </w:r>
          </w:p>
        </w:tc>
      </w:tr>
      <w:tr>
        <w:tc>
          <w:tcPr/>
          <w:p>
            <w:pPr>
              <w:pStyle w:val="Compact"/>
              <w:jc w:val="left"/>
            </w:pPr>
            <w:r>
              <w:t xml:space="preserve">inat</w:t>
            </w:r>
          </w:p>
        </w:tc>
        <w:tc>
          <w:tcPr/>
          <w:p>
            <w:pPr>
              <w:pStyle w:val="Compact"/>
              <w:jc w:val="left"/>
            </w:pPr>
            <w:r>
              <w:t xml:space="preserve">iNaturalist research-grade observations via GBIF</w:t>
            </w:r>
          </w:p>
        </w:tc>
        <w:tc>
          <w:tcPr/>
          <w:p>
            <w:pPr>
              <w:pStyle w:val="Compact"/>
              <w:jc w:val="left"/>
            </w:pPr>
            <w:r>
              <w:t xml:space="preserve">global</w:t>
            </w:r>
          </w:p>
        </w:tc>
        <w:tc>
          <w:tcPr/>
          <w:p>
            <w:pPr>
              <w:pStyle w:val="Compact"/>
              <w:jc w:val="left"/>
            </w:pPr>
            <w:r>
              <w:t xml:space="preserve">about 2008–2026</w:t>
            </w:r>
          </w:p>
        </w:tc>
        <w:tc>
          <w:tcPr/>
          <w:p>
            <w:pPr>
              <w:pStyle w:val="Compact"/>
              <w:jc w:val="left"/>
            </w:pPr>
            <w:r>
              <w:t xml:space="preserve">iNaturalist marine mammal observations</w:t>
            </w:r>
          </w:p>
        </w:tc>
        <w:tc>
          <w:tcPr/>
          <w:p>
            <w:pPr>
              <w:pStyle w:val="Compact"/>
              <w:jc w:val="left"/>
            </w:pPr>
            <w:r>
              <w:t xml:space="preserve">(</w:t>
            </w:r>
            <w:r>
              <w:t xml:space="preserve">iNaturalist contributors and iNaturalist</w:t>
            </w:r>
            <w:r>
              <w:t xml:space="preserve"> </w:t>
            </w:r>
            <w:r>
              <w:t xml:space="preserve">2026)</w:t>
            </w:r>
          </w:p>
        </w:tc>
        <w:tc>
          <w:tcPr/>
          <w:p>
            <w:pPr>
              <w:pStyle w:val="Compact"/>
              <w:jc w:val="left"/>
            </w:pPr>
            <w:r>
              <w:t xml:space="preserve">used</w:t>
            </w:r>
          </w:p>
        </w:tc>
      </w:tr>
      <w:tr>
        <w:tc>
          <w:tcPr/>
          <w:p>
            <w:pPr>
              <w:pStyle w:val="Compact"/>
              <w:jc w:val="left"/>
            </w:pPr>
            <w:r>
              <w:t xml:space="preserve">speciesgrids</w:t>
            </w:r>
          </w:p>
        </w:tc>
        <w:tc>
          <w:tcPr/>
          <w:p>
            <w:pPr>
              <w:pStyle w:val="Compact"/>
              <w:jc w:val="left"/>
            </w:pPr>
            <w:r>
              <w:t xml:space="preserve">OBIS + GBIF records merged onto the 0.05° grid (cells)</w:t>
            </w:r>
          </w:p>
        </w:tc>
        <w:tc>
          <w:tcPr/>
          <w:p>
            <w:pPr>
              <w:pStyle w:val="Compact"/>
              <w:jc w:val="left"/>
            </w:pPr>
            <w:r>
              <w:t xml:space="preserve">global</w:t>
            </w:r>
          </w:p>
        </w:tc>
        <w:tc>
          <w:tcPr/>
          <w:p>
            <w:pPr>
              <w:pStyle w:val="Compact"/>
              <w:jc w:val="left"/>
            </w:pPr>
            <w:r>
              <w:t xml:space="preserve">undated</w:t>
            </w:r>
          </w:p>
        </w:tc>
        <w:tc>
          <w:tcPr/>
          <w:p>
            <w:pPr>
              <w:pStyle w:val="Compact"/>
              <w:jc w:val="left"/>
            </w:pPr>
            <w:r>
              <w:t xml:space="preserve">0.05° cells with a marine mammal record</w:t>
            </w:r>
          </w:p>
        </w:tc>
        <w:tc>
          <w:tcPr/>
          <w:p>
            <w:pPr>
              <w:pStyle w:val="Compact"/>
              <w:jc w:val="left"/>
            </w:pPr>
            <w:r>
              <w:t xml:space="preserve">(Provoost 2026)</w:t>
            </w:r>
          </w:p>
        </w:tc>
        <w:tc>
          <w:tcPr/>
          <w:p>
            <w:pPr>
              <w:pStyle w:val="Compact"/>
              <w:jc w:val="left"/>
            </w:pPr>
            <w:r>
              <w:t xml:space="preserve">used</w:t>
            </w:r>
          </w:p>
        </w:tc>
      </w:tr>
      <w:tr>
        <w:tc>
          <w:tcPr/>
          <w:p>
            <w:pPr>
              <w:pStyle w:val="Compact"/>
              <w:jc w:val="left"/>
            </w:pPr>
            <w:r>
              <w:t xml:space="preserve">wdfw_wa</w:t>
            </w:r>
          </w:p>
        </w:tc>
        <w:tc>
          <w:tcPr/>
          <w:p>
            <w:pPr>
              <w:pStyle w:val="Compact"/>
              <w:jc w:val="left"/>
            </w:pPr>
            <w:r>
              <w:t xml:space="preserve">every Washington sea turtle record (stranding, bycatch, at sea, aerial), Appendix A</w:t>
            </w:r>
          </w:p>
        </w:tc>
        <w:tc>
          <w:tcPr/>
          <w:p>
            <w:pPr>
              <w:pStyle w:val="Compact"/>
              <w:jc w:val="left"/>
            </w:pPr>
            <w:r>
              <w:t xml:space="preserve">Washington</w:t>
            </w:r>
          </w:p>
        </w:tc>
        <w:tc>
          <w:tcPr/>
          <w:p>
            <w:pPr>
              <w:pStyle w:val="Compact"/>
              <w:jc w:val="left"/>
            </w:pPr>
            <w:r>
              <w:t xml:space="preserve">1950–2013</w:t>
            </w:r>
          </w:p>
        </w:tc>
        <w:tc>
          <w:tcPr/>
          <w:p>
            <w:pPr>
              <w:pStyle w:val="Compact"/>
              <w:jc w:val="left"/>
            </w:pPr>
            <w:r>
              <w:t xml:space="preserve">marine mammal strandings, Washington: 578 a year 2007–2016</w:t>
            </w:r>
          </w:p>
        </w:tc>
        <w:tc>
          <w:tcPr/>
          <w:p>
            <w:pPr>
              <w:pStyle w:val="Compact"/>
              <w:jc w:val="left"/>
            </w:pPr>
            <w:r>
              <w:t xml:space="preserve">(Sato 2017)</w:t>
            </w:r>
          </w:p>
        </w:tc>
        <w:tc>
          <w:tcPr/>
          <w:p>
            <w:pPr>
              <w:pStyle w:val="Compact"/>
              <w:jc w:val="left"/>
            </w:pPr>
            <w:r>
              <w:t xml:space="preserve">used</w:t>
            </w:r>
          </w:p>
        </w:tc>
      </w:tr>
      <w:tr>
        <w:tc>
          <w:tcPr/>
          <w:p>
            <w:pPr>
              <w:pStyle w:val="Compact"/>
              <w:jc w:val="left"/>
            </w:pPr>
            <w:r>
              <w:t xml:space="preserve">stssn</w:t>
            </w:r>
          </w:p>
        </w:tc>
        <w:tc>
          <w:tcPr/>
          <w:p>
            <w:pPr>
              <w:pStyle w:val="Compact"/>
              <w:jc w:val="left"/>
            </w:pPr>
            <w:r>
              <w:t xml:space="preserve">sea turtle strandings by state, species and encounter type (preliminary data application)</w:t>
            </w:r>
          </w:p>
        </w:tc>
        <w:tc>
          <w:tcPr/>
          <w:p>
            <w:pPr>
              <w:pStyle w:val="Compact"/>
              <w:jc w:val="left"/>
            </w:pPr>
            <w:r>
              <w:t xml:space="preserve">Gulf (TX–FL) and Atlantic (FL–ME)</w:t>
            </w:r>
          </w:p>
        </w:tc>
        <w:tc>
          <w:tcPr/>
          <w:p>
            <w:pPr>
              <w:pStyle w:val="Compact"/>
              <w:jc w:val="left"/>
            </w:pPr>
            <w:r>
              <w:t xml:space="preserve">2016–2025</w:t>
            </w:r>
          </w:p>
        </w:tc>
        <w:tc>
          <w:tcPr/>
          <w:p>
            <w:pPr>
              <w:pStyle w:val="Compact"/>
              <w:jc w:val="left"/>
            </w:pPr>
            <w:r>
              <w:t xml:space="preserve">marine mammal strandings, Gulf: 375 a year 2000–2014 (Litz 2015)</w:t>
            </w:r>
          </w:p>
        </w:tc>
        <w:tc>
          <w:tcPr/>
          <w:p>
            <w:pPr>
              <w:pStyle w:val="Compact"/>
              <w:jc w:val="left"/>
            </w:pPr>
            <w:r>
              <w:t xml:space="preserve">(NOAA Fisheries Southeast Fisheries Science Center 2026)</w:t>
            </w:r>
          </w:p>
        </w:tc>
        <w:tc>
          <w:tcPr/>
          <w:p>
            <w:pPr>
              <w:pStyle w:val="Compact"/>
              <w:jc w:val="left"/>
            </w:pPr>
            <w:r>
              <w:t xml:space="preserve">used</w:t>
            </w:r>
          </w:p>
        </w:tc>
      </w:tr>
      <w:tr>
        <w:tc>
          <w:tcPr/>
          <w:p>
            <w:pPr>
              <w:pStyle w:val="Compact"/>
              <w:jc w:val="left"/>
            </w:pPr>
            <w:r>
              <w:t xml:space="preserve">wc_groundfish_observer</w:t>
            </w:r>
          </w:p>
        </w:tc>
        <w:tc>
          <w:tcPr/>
          <w:p>
            <w:pPr>
              <w:pStyle w:val="Compact"/>
              <w:jc w:val="left"/>
            </w:pPr>
            <w:r>
              <w:t xml:space="preserve">West Coast Groundfish Observer Program: 1 leatherback killed (2008, open-access pot) and 4 seen (2005, 2007, 2011, 2014); the only observed leatherback take</w:t>
            </w:r>
          </w:p>
        </w:tc>
        <w:tc>
          <w:tcPr/>
          <w:p>
            <w:pPr>
              <w:pStyle w:val="Compact"/>
              <w:jc w:val="left"/>
            </w:pPr>
            <w:r>
              <w:t xml:space="preserve">CA/OR/WA</w:t>
            </w:r>
          </w:p>
        </w:tc>
        <w:tc>
          <w:tcPr/>
          <w:p>
            <w:pPr>
              <w:pStyle w:val="Compact"/>
              <w:jc w:val="left"/>
            </w:pPr>
            <w:r>
              <w:t xml:space="preserve">2002–2019</w:t>
            </w:r>
          </w:p>
        </w:tc>
        <w:tc>
          <w:tcPr/>
          <w:p>
            <w:pPr>
              <w:pStyle w:val="Compact"/>
              <w:jc w:val="left"/>
            </w:pPr>
            <w:r>
              <w:t xml:space="preserve">observer coverage 3–12 % (open-access fixed gear) to 100 % (catch shares)</w:t>
            </w:r>
          </w:p>
        </w:tc>
        <w:tc>
          <w:tcPr/>
          <w:p>
            <w:pPr>
              <w:pStyle w:val="Compact"/>
              <w:jc w:val="left"/>
            </w:pPr>
            <w:r>
              <w:t xml:space="preserve">(Benson et al. 2026)</w:t>
            </w:r>
          </w:p>
        </w:tc>
        <w:tc>
          <w:tcPr/>
          <w:p>
            <w:pPr>
              <w:pStyle w:val="Compact"/>
              <w:jc w:val="left"/>
            </w:pPr>
            <w:r>
              <w:t xml:space="preserve">cited</w:t>
            </w:r>
          </w:p>
        </w:tc>
      </w:tr>
      <w:tr>
        <w:tc>
          <w:tcPr/>
          <w:p>
            <w:pPr>
              <w:pStyle w:val="Compact"/>
              <w:jc w:val="left"/>
            </w:pPr>
            <w:r>
              <w:t xml:space="preserve">wc_leatherback_strandings</w:t>
            </w:r>
          </w:p>
        </w:tc>
        <w:tc>
          <w:tcPr/>
          <w:p>
            <w:pPr>
              <w:pStyle w:val="Compact"/>
              <w:jc w:val="left"/>
            </w:pPr>
            <w:r>
              <w:t xml:space="preserve">leatherback strandings: AK 7, WA 9, OR 1, CA 113; none in Alaska since 1993</w:t>
            </w:r>
          </w:p>
        </w:tc>
        <w:tc>
          <w:tcPr/>
          <w:p>
            <w:pPr>
              <w:pStyle w:val="Compact"/>
              <w:jc w:val="left"/>
            </w:pPr>
            <w:r>
              <w:t xml:space="preserve">AK, WA, OR, CA</w:t>
            </w:r>
          </w:p>
        </w:tc>
        <w:tc>
          <w:tcPr/>
          <w:p>
            <w:pPr>
              <w:pStyle w:val="Compact"/>
              <w:jc w:val="left"/>
            </w:pPr>
            <w:r>
              <w:t xml:space="preserve">1963–2020</w:t>
            </w:r>
          </w:p>
        </w:tc>
        <w:tc>
          <w:tcPr/>
          <w:p>
            <w:pPr>
              <w:pStyle w:val="Compact"/>
            </w:pPr>
          </w:p>
        </w:tc>
        <w:tc>
          <w:tcPr/>
          <w:p>
            <w:pPr>
              <w:pStyle w:val="Compact"/>
              <w:jc w:val="left"/>
            </w:pPr>
            <w:r>
              <w:t xml:space="preserve">(Benson et al. 2026)</w:t>
            </w:r>
          </w:p>
        </w:tc>
        <w:tc>
          <w:tcPr/>
          <w:p>
            <w:pPr>
              <w:pStyle w:val="Compact"/>
              <w:jc w:val="left"/>
            </w:pPr>
            <w:r>
              <w:t xml:space="preserve">cited</w:t>
            </w:r>
          </w:p>
        </w:tc>
      </w:tr>
      <w:tr>
        <w:tc>
          <w:tcPr/>
          <w:p>
            <w:pPr>
              <w:pStyle w:val="Compact"/>
              <w:jc w:val="left"/>
            </w:pPr>
            <w:r>
              <w:t xml:space="preserve">ak_fishery_observer</w:t>
            </w:r>
          </w:p>
        </w:tc>
        <w:tc>
          <w:tcPr/>
          <w:p>
            <w:pPr>
              <w:pStyle w:val="Compact"/>
              <w:jc w:val="left"/>
            </w:pPr>
            <w:r>
              <w:t xml:space="preserve">‘No sea turtles were observed caught in 2014 or 2015 in Alaska Region fisheries under federal or joint federal/international management authority’</w:t>
            </w:r>
            <w:r>
              <w:t xml:space="preserve"> </w:t>
            </w:r>
            <w:r>
              <w:t xml:space="preserve">(§5.6)</w:t>
            </w:r>
          </w:p>
        </w:tc>
        <w:tc>
          <w:tcPr/>
          <w:p>
            <w:pPr>
              <w:pStyle w:val="Compact"/>
              <w:jc w:val="left"/>
            </w:pPr>
            <w:r>
              <w:t xml:space="preserve">Bering Sea–Aleutians, Gulf of Alaska</w:t>
            </w:r>
          </w:p>
        </w:tc>
        <w:tc>
          <w:tcPr/>
          <w:p>
            <w:pPr>
              <w:pStyle w:val="Compact"/>
              <w:jc w:val="left"/>
            </w:pPr>
            <w:r>
              <w:t xml:space="preserve">2014–2015</w:t>
            </w:r>
          </w:p>
        </w:tc>
        <w:tc>
          <w:tcPr/>
          <w:p>
            <w:pPr>
              <w:pStyle w:val="Compact"/>
              <w:jc w:val="left"/>
            </w:pPr>
            <w:r>
              <w:t xml:space="preserve">North Pacific Observer Program coverage of federal groundfish and halibut fisheries</w:t>
            </w:r>
          </w:p>
        </w:tc>
        <w:tc>
          <w:tcPr/>
          <w:p>
            <w:pPr>
              <w:pStyle w:val="Compact"/>
              <w:jc w:val="left"/>
            </w:pPr>
            <w:r>
              <w:t xml:space="preserve">(Benaka et al. 2019)</w:t>
            </w:r>
          </w:p>
        </w:tc>
        <w:tc>
          <w:tcPr/>
          <w:p>
            <w:pPr>
              <w:pStyle w:val="Compact"/>
              <w:jc w:val="left"/>
            </w:pPr>
            <w:r>
              <w:t xml:space="preserve">cited</w:t>
            </w:r>
          </w:p>
        </w:tc>
      </w:tr>
      <w:tr>
        <w:tc>
          <w:tcPr/>
          <w:p>
            <w:pPr>
              <w:pStyle w:val="Compact"/>
              <w:jc w:val="left"/>
            </w:pPr>
            <w:r>
              <w:t xml:space="preserve">hi_longline_observer</w:t>
            </w:r>
          </w:p>
        </w:tc>
        <w:tc>
          <w:tcPr/>
          <w:p>
            <w:pPr>
              <w:pStyle w:val="Compact"/>
              <w:jc w:val="left"/>
            </w:pPr>
            <w:r>
              <w:t xml:space="preserve">Hawaii shallow-set longline, 100 % observer coverage: 46 sea turtle interactions in 2025 (35 loggerhead, 10 leatherback, 1 unidentified hardshell); the fleet fishes mostly outside the EEZ, so not placed in an ecoregion</w:t>
            </w:r>
          </w:p>
        </w:tc>
        <w:tc>
          <w:tcPr/>
          <w:p>
            <w:pPr>
              <w:pStyle w:val="Compact"/>
              <w:jc w:val="left"/>
            </w:pPr>
            <w:r>
              <w:t xml:space="preserve">Hawaii-based fleet, mostly high seas</w:t>
            </w:r>
          </w:p>
        </w:tc>
        <w:tc>
          <w:tcPr/>
          <w:p>
            <w:pPr>
              <w:pStyle w:val="Compact"/>
              <w:jc w:val="left"/>
            </w:pPr>
            <w:r>
              <w:t xml:space="preserve">2025</w:t>
            </w:r>
          </w:p>
        </w:tc>
        <w:tc>
          <w:tcPr/>
          <w:p>
            <w:pPr>
              <w:pStyle w:val="Compact"/>
              <w:jc w:val="left"/>
            </w:pPr>
            <w:r>
              <w:t xml:space="preserve">59 observed departures</w:t>
            </w:r>
          </w:p>
        </w:tc>
        <w:tc>
          <w:tcPr/>
          <w:p>
            <w:pPr>
              <w:pStyle w:val="Compact"/>
              <w:jc w:val="left"/>
            </w:pPr>
            <w:r>
              <w:t xml:space="preserve">(NOAA Fisheries Pacific Islands Regional Office 2026)</w:t>
            </w:r>
          </w:p>
        </w:tc>
        <w:tc>
          <w:tcPr/>
          <w:p>
            <w:pPr>
              <w:pStyle w:val="Compact"/>
              <w:jc w:val="left"/>
            </w:pPr>
            <w:r>
              <w:t xml:space="preserve">cited</w:t>
            </w:r>
          </w:p>
        </w:tc>
      </w:tr>
      <w:tr>
        <w:tc>
          <w:tcPr/>
          <w:p>
            <w:pPr>
              <w:pStyle w:val="Compact"/>
              <w:jc w:val="left"/>
            </w:pPr>
            <w:r>
              <w:t xml:space="preserve">right whale — noaa_2006_release</w:t>
            </w:r>
          </w:p>
        </w:tc>
        <w:tc>
          <w:tcPr/>
          <w:p>
            <w:pPr>
              <w:pStyle w:val="Compact"/>
              <w:jc w:val="left"/>
            </w:pPr>
            <w:r>
              <w:t xml:space="preserve">confirmed Gulf right whale sightings: 1963 Longboat Key, 2004 Panama City, 2006 mother and calf off Corpus Christi</w:t>
            </w:r>
          </w:p>
        </w:tc>
        <w:tc>
          <w:tcPr/>
          <w:p>
            <w:pPr>
              <w:pStyle w:val="Compact"/>
              <w:jc w:val="left"/>
            </w:pPr>
            <w:r>
              <w:t xml:space="preserve">Gulf of America</w:t>
            </w:r>
          </w:p>
        </w:tc>
        <w:tc>
          <w:tcPr/>
          <w:p>
            <w:pPr>
              <w:pStyle w:val="Compact"/>
              <w:jc w:val="left"/>
            </w:pPr>
            <w:r>
              <w:t xml:space="preserve">1963–2006</w:t>
            </w:r>
          </w:p>
        </w:tc>
        <w:tc>
          <w:tcPr/>
          <w:p>
            <w:pPr>
              <w:pStyle w:val="Compact"/>
            </w:pPr>
          </w:p>
        </w:tc>
        <w:tc>
          <w:tcPr/>
          <w:p>
            <w:pPr>
              <w:pStyle w:val="Compact"/>
              <w:jc w:val="left"/>
            </w:pPr>
            <w:r>
              <w:t xml:space="preserve">(NOAA Fisheries Service Southeast Regional Office and Florida Fish and Wildlife Conservation Commission 2006; Ward-Geiger et al. 2011)</w:t>
            </w:r>
          </w:p>
        </w:tc>
        <w:tc>
          <w:tcPr/>
          <w:p>
            <w:pPr>
              <w:pStyle w:val="Compact"/>
              <w:jc w:val="left"/>
            </w:pPr>
            <w:r>
              <w:t xml:space="preserve">cited</w:t>
            </w:r>
          </w:p>
        </w:tc>
      </w:tr>
      <w:tr>
        <w:tc>
          <w:tcPr/>
          <w:p>
            <w:pPr>
              <w:pStyle w:val="Compact"/>
              <w:jc w:val="left"/>
            </w:pPr>
            <w:r>
              <w:t xml:space="preserve">right whale — density model</w:t>
            </w:r>
          </w:p>
        </w:tc>
        <w:tc>
          <w:tcPr/>
          <w:p>
            <w:pPr>
              <w:pStyle w:val="Compact"/>
              <w:jc w:val="left"/>
            </w:pPr>
            <w:r>
              <w:t xml:space="preserve">habitat-based density models from line-transect surveys; the right whale is modelled in the Atlantic only</w:t>
            </w:r>
          </w:p>
        </w:tc>
        <w:tc>
          <w:tcPr/>
          <w:p>
            <w:pPr>
              <w:pStyle w:val="Compact"/>
              <w:jc w:val="left"/>
            </w:pPr>
            <w:r>
              <w:t xml:space="preserve">US Atlantic and Gulf</w:t>
            </w:r>
          </w:p>
        </w:tc>
        <w:tc>
          <w:tcPr/>
          <w:p>
            <w:pPr>
              <w:pStyle w:val="Compact"/>
              <w:jc w:val="left"/>
            </w:pPr>
            <w:r>
              <w:t xml:space="preserve">1992–2014</w:t>
            </w:r>
          </w:p>
        </w:tc>
        <w:tc>
          <w:tcPr/>
          <w:p>
            <w:pPr>
              <w:pStyle w:val="Compact"/>
              <w:jc w:val="left"/>
            </w:pPr>
            <w:r>
              <w:t xml:space="preserve">aerial and shipboard line-transect effort</w:t>
            </w:r>
          </w:p>
        </w:tc>
        <w:tc>
          <w:tcPr/>
          <w:p>
            <w:pPr>
              <w:pStyle w:val="Compact"/>
              <w:jc w:val="left"/>
            </w:pPr>
            <w:r>
              <w:t xml:space="preserve">(Roberts et al. 2016)</w:t>
            </w:r>
          </w:p>
        </w:tc>
        <w:tc>
          <w:tcPr/>
          <w:p>
            <w:pPr>
              <w:pStyle w:val="Compact"/>
              <w:jc w:val="left"/>
            </w:pPr>
            <w:r>
              <w:t xml:space="preserve">cited</w:t>
            </w:r>
          </w:p>
        </w:tc>
      </w:tr>
      <w:tr>
        <w:tc>
          <w:tcPr/>
          <w:p>
            <w:pPr>
              <w:pStyle w:val="Compact"/>
              <w:jc w:val="left"/>
            </w:pPr>
            <w:r>
              <w:t xml:space="preserve">right whale — obis_sdm_p10</w:t>
            </w:r>
          </w:p>
        </w:tc>
        <w:tc>
          <w:tcPr/>
          <w:p>
            <w:pPr>
              <w:pStyle w:val="Compact"/>
              <w:jc w:val="left"/>
            </w:pPr>
            <w:r>
              <w:t xml:space="preserve">OBIS published SDM ensemble cells at or above the 10th-percentile training presence threshold</w:t>
            </w:r>
          </w:p>
        </w:tc>
        <w:tc>
          <w:tcPr/>
          <w:p>
            <w:pPr>
              <w:pStyle w:val="Compact"/>
              <w:jc w:val="left"/>
            </w:pPr>
            <w:r>
              <w:t xml:space="preserve">global</w:t>
            </w:r>
          </w:p>
        </w:tc>
        <w:tc>
          <w:tcPr/>
          <w:p>
            <w:pPr>
              <w:pStyle w:val="Compact"/>
            </w:pPr>
          </w:p>
        </w:tc>
        <w:tc>
          <w:tcPr/>
          <w:p>
            <w:pPr>
              <w:pStyle w:val="Compact"/>
            </w:pPr>
          </w:p>
        </w:tc>
        <w:tc>
          <w:tcPr/>
          <w:p>
            <w:pPr>
              <w:pStyle w:val="Compact"/>
              <w:jc w:val="left"/>
            </w:pPr>
            <w:r>
              <w:t xml:space="preserve">(OBIS 2025a)</w:t>
            </w:r>
          </w:p>
        </w:tc>
        <w:tc>
          <w:tcPr/>
          <w:p>
            <w:pPr>
              <w:pStyle w:val="Compact"/>
              <w:jc w:val="left"/>
            </w:pPr>
            <w:r>
              <w:t xml:space="preserve">used</w:t>
            </w:r>
          </w:p>
        </w:tc>
      </w:tr>
    </w:tbl>
    <w:bookmarkEnd w:id="128"/>
    <w:bookmarkStart w:id="129" w:name="looking-against-finding"/>
    <w:p>
      <w:pPr>
        <w:pStyle w:val="Heading3"/>
      </w:pPr>
      <w:r>
        <w:t xml:space="preserve">4.3.2 Looking against finding</w:t>
      </w:r>
    </w:p>
    <w:p>
      <w:pPr>
        <w:pStyle w:val="FirstParagraph"/>
      </w:pPr>
      <w:r>
        <w:t xml:space="preserve">A zero means something only where somebody was looking. For each region and channel, the table gives the looking (that channel’s effort proxy), the turtles found (any sea turtle species), and turtles per 1,000 units of looking.</w:t>
      </w:r>
    </w:p>
    <w:p>
      <w:pPr>
        <w:pStyle w:val="TableCaption"/>
      </w:pPr>
      <w:r>
        <w:t xml:space="preserve">Looking against finding (</w:t>
      </w:r>
      <w:r>
        <w:rPr>
          <w:rStyle w:val="VerbatimChar"/>
        </w:rPr>
        <w:t xml:space="preserve">looking_vs_finding.csv</w:t>
      </w:r>
      <w:r>
        <w:t xml:space="preserve">): turtles found / looking (turtles per 1,000 units of looking), by region. Lines A–D pair turtles and effort from the same reporting channel; the OBIS, GBIF and iNaturalist rows count whole ecoregions. — = the channel does not reach the region.</w:t>
      </w:r>
    </w:p>
    <w:tbl>
      <w:tblPr>
        <w:tblStyle w:val="Table"/>
        <w:tblW w:type="pct" w:w="5000"/>
        <w:tblLayout w:type="fixed"/>
        <w:tblLook w:firstRow="1" w:lastRow="0" w:firstColumn="0" w:lastColumn="0" w:noHBand="0" w:noVBand="0" w:val="0020"/>
        <w:tblCaption w:val="Looking against finding (looking_vs_finding.csv): turtles found / looking (turtles per 1,000 units of looking), by region. Lines A–D pair turtles and effort from the same reporting channel; the OBIS, GBIF and iNaturalist rows count whole ecoregions. — = the channel does not reach the region."/>
      </w:tblPr>
      <w:tblGrid>
        <w:gridCol w:w="1412"/>
        <w:gridCol w:w="3210"/>
        <w:gridCol w:w="642"/>
        <w:gridCol w:w="813"/>
        <w:gridCol w:w="856"/>
        <w:gridCol w:w="984"/>
      </w:tblGrid>
      <w:tr>
        <w:trPr>
          <w:tblHeader w:val="on"/>
        </w:trPr>
        <w:tc>
          <w:tcPr/>
          <w:p>
            <w:pPr>
              <w:pStyle w:val="Compact"/>
              <w:jc w:val="left"/>
            </w:pPr>
            <w:r>
              <w:t xml:space="preserve">Channel</w:t>
            </w:r>
          </w:p>
        </w:tc>
        <w:tc>
          <w:tcPr/>
          <w:p>
            <w:pPr>
              <w:pStyle w:val="Compact"/>
              <w:jc w:val="left"/>
            </w:pPr>
            <w:r>
              <w:t xml:space="preserve">Looking</w:t>
            </w:r>
          </w:p>
        </w:tc>
        <w:tc>
          <w:tcPr/>
          <w:p>
            <w:pPr>
              <w:pStyle w:val="Compact"/>
              <w:jc w:val="right"/>
            </w:pPr>
            <w:r>
              <w:t xml:space="preserve">Bering–Arctic</w:t>
            </w:r>
          </w:p>
        </w:tc>
        <w:tc>
          <w:tcPr/>
          <w:p>
            <w:pPr>
              <w:pStyle w:val="Compact"/>
              <w:jc w:val="right"/>
            </w:pPr>
            <w:r>
              <w:t xml:space="preserve">Gulf of Alaska</w:t>
            </w:r>
          </w:p>
        </w:tc>
        <w:tc>
          <w:tcPr/>
          <w:p>
            <w:pPr>
              <w:pStyle w:val="Compact"/>
              <w:jc w:val="right"/>
            </w:pPr>
            <w:r>
              <w:t xml:space="preserve">Pacific CA/OR/WA</w:t>
            </w:r>
          </w:p>
        </w:tc>
        <w:tc>
          <w:tcPr/>
          <w:p>
            <w:pPr>
              <w:pStyle w:val="Compact"/>
              <w:jc w:val="right"/>
            </w:pPr>
            <w:r>
              <w:t xml:space="preserve">Gulf of America</w:t>
            </w:r>
          </w:p>
        </w:tc>
      </w:tr>
      <w:tr>
        <w:tc>
          <w:tcPr/>
          <w:p>
            <w:pPr>
              <w:pStyle w:val="Compact"/>
              <w:jc w:val="left"/>
            </w:pPr>
            <w:r>
              <w:t xml:space="preserve">A. surveys</w:t>
            </w:r>
          </w:p>
        </w:tc>
        <w:tc>
          <w:tcPr/>
          <w:p>
            <w:pPr>
              <w:pStyle w:val="Compact"/>
              <w:jc w:val="left"/>
            </w:pPr>
            <w:r>
              <w:t xml:space="preserve">OBIS turtle-recording surveys: 0.5° block-years searched</w:t>
            </w:r>
          </w:p>
        </w:tc>
        <w:tc>
          <w:tcPr/>
          <w:p>
            <w:pPr>
              <w:pStyle w:val="Compact"/>
              <w:jc w:val="right"/>
            </w:pPr>
            <w:r>
              <w:t xml:space="preserve">0 / 62 (0)</w:t>
            </w:r>
          </w:p>
        </w:tc>
        <w:tc>
          <w:tcPr/>
          <w:p>
            <w:pPr>
              <w:pStyle w:val="Compact"/>
              <w:jc w:val="right"/>
            </w:pPr>
            <w:r>
              <w:t xml:space="preserve">0 / 58 (0)</w:t>
            </w:r>
          </w:p>
        </w:tc>
        <w:tc>
          <w:tcPr/>
          <w:p>
            <w:pPr>
              <w:pStyle w:val="Compact"/>
              <w:jc w:val="right"/>
            </w:pPr>
            <w:r>
              <w:t xml:space="preserve">67 / 3,020 (22)</w:t>
            </w:r>
          </w:p>
        </w:tc>
        <w:tc>
          <w:tcPr/>
          <w:p>
            <w:pPr>
              <w:pStyle w:val="Compact"/>
              <w:jc w:val="right"/>
            </w:pPr>
            <w:r>
              <w:t xml:space="preserve">715 / 1,745 (410)</w:t>
            </w:r>
          </w:p>
        </w:tc>
      </w:tr>
      <w:tr>
        <w:tc>
          <w:tcPr/>
          <w:p>
            <w:pPr>
              <w:pStyle w:val="Compact"/>
              <w:jc w:val="left"/>
            </w:pPr>
            <w:r>
              <w:t xml:space="preserve">B. all records</w:t>
            </w:r>
          </w:p>
        </w:tc>
        <w:tc>
          <w:tcPr/>
          <w:p>
            <w:pPr>
              <w:pStyle w:val="Compact"/>
              <w:jc w:val="left"/>
            </w:pPr>
            <w:r>
              <w:t xml:space="preserve">OBIS + GBIF: 0.05° cells with a marine mammal record</w:t>
            </w:r>
          </w:p>
        </w:tc>
        <w:tc>
          <w:tcPr/>
          <w:p>
            <w:pPr>
              <w:pStyle w:val="Compact"/>
              <w:jc w:val="right"/>
            </w:pPr>
            <w:r>
              <w:t xml:space="preserve">0 / 13,317 (0)</w:t>
            </w:r>
          </w:p>
        </w:tc>
        <w:tc>
          <w:tcPr/>
          <w:p>
            <w:pPr>
              <w:pStyle w:val="Compact"/>
              <w:jc w:val="right"/>
            </w:pPr>
            <w:r>
              <w:t xml:space="preserve">0 / 3,683 (0)</w:t>
            </w:r>
          </w:p>
        </w:tc>
        <w:tc>
          <w:tcPr/>
          <w:p>
            <w:pPr>
              <w:pStyle w:val="Compact"/>
              <w:jc w:val="right"/>
            </w:pPr>
            <w:r>
              <w:t xml:space="preserve">211 / 8,988 (23)</w:t>
            </w:r>
          </w:p>
        </w:tc>
        <w:tc>
          <w:tcPr/>
          <w:p>
            <w:pPr>
              <w:pStyle w:val="Compact"/>
              <w:jc w:val="right"/>
            </w:pPr>
            <w:r>
              <w:t xml:space="preserve">2,069 / 5,649 (370)</w:t>
            </w:r>
          </w:p>
        </w:tc>
      </w:tr>
      <w:tr>
        <w:tc>
          <w:tcPr/>
          <w:p>
            <w:pPr>
              <w:pStyle w:val="Compact"/>
              <w:jc w:val="left"/>
            </w:pPr>
            <w:r>
              <w:t xml:space="preserve">C. public reports</w:t>
            </w:r>
          </w:p>
        </w:tc>
        <w:tc>
          <w:tcPr/>
          <w:p>
            <w:pPr>
              <w:pStyle w:val="Compact"/>
              <w:jc w:val="left"/>
            </w:pPr>
            <w:r>
              <w:t xml:space="preserve">iNaturalist (1° coastal buffer): marine mammal + turtle observations</w:t>
            </w:r>
          </w:p>
        </w:tc>
        <w:tc>
          <w:tcPr/>
          <w:p>
            <w:pPr>
              <w:pStyle w:val="Compact"/>
              <w:jc w:val="right"/>
            </w:pPr>
            <w:r>
              <w:t xml:space="preserve">—</w:t>
            </w:r>
          </w:p>
        </w:tc>
        <w:tc>
          <w:tcPr/>
          <w:p>
            <w:pPr>
              <w:pStyle w:val="Compact"/>
              <w:jc w:val="right"/>
            </w:pPr>
            <w:r>
              <w:t xml:space="preserve">0 / 8,125 (0)</w:t>
            </w:r>
          </w:p>
        </w:tc>
        <w:tc>
          <w:tcPr/>
          <w:p>
            <w:pPr>
              <w:pStyle w:val="Compact"/>
              <w:jc w:val="right"/>
            </w:pPr>
            <w:r>
              <w:t xml:space="preserve">495 / 76,849 (6.4)</w:t>
            </w:r>
          </w:p>
        </w:tc>
        <w:tc>
          <w:tcPr/>
          <w:p>
            <w:pPr>
              <w:pStyle w:val="Compact"/>
              <w:jc w:val="right"/>
            </w:pPr>
            <w:r>
              <w:t xml:space="preserve">2,039 / 6,308 (320)</w:t>
            </w:r>
          </w:p>
        </w:tc>
      </w:tr>
      <w:tr>
        <w:tc>
          <w:tcPr/>
          <w:p>
            <w:pPr>
              <w:pStyle w:val="Compact"/>
              <w:jc w:val="left"/>
            </w:pPr>
            <w:r>
              <w:t xml:space="preserve">D. strandings</w:t>
            </w:r>
          </w:p>
        </w:tc>
        <w:tc>
          <w:tcPr/>
          <w:p>
            <w:pPr>
              <w:pStyle w:val="Compact"/>
              <w:jc w:val="left"/>
            </w:pPr>
            <w:r>
              <w:t xml:space="preserve">marine mammal strandings, same coast (Washington for the Pacific)</w:t>
            </w:r>
          </w:p>
        </w:tc>
        <w:tc>
          <w:tcPr/>
          <w:p>
            <w:pPr>
              <w:pStyle w:val="Compact"/>
              <w:jc w:val="right"/>
            </w:pPr>
            <w:r>
              <w:t xml:space="preserve">—</w:t>
            </w:r>
          </w:p>
        </w:tc>
        <w:tc>
          <w:tcPr/>
          <w:p>
            <w:pPr>
              <w:pStyle w:val="Compact"/>
              <w:jc w:val="right"/>
            </w:pPr>
            <w:r>
              <w:t xml:space="preserve">17 / 4,324 (3.9)</w:t>
            </w:r>
          </w:p>
        </w:tc>
        <w:tc>
          <w:tcPr/>
          <w:p>
            <w:pPr>
              <w:pStyle w:val="Compact"/>
              <w:jc w:val="right"/>
            </w:pPr>
            <w:r>
              <w:t xml:space="preserve">32 / 13,294 (2.4)</w:t>
            </w:r>
          </w:p>
        </w:tc>
        <w:tc>
          <w:tcPr/>
          <w:p>
            <w:pPr>
              <w:pStyle w:val="Compact"/>
              <w:jc w:val="right"/>
            </w:pPr>
            <w:r>
              <w:t xml:space="preserve">32,325 / 3,750 (8,600)</w:t>
            </w:r>
          </w:p>
        </w:tc>
      </w:tr>
      <w:tr>
        <w:tc>
          <w:tcPr/>
          <w:p>
            <w:pPr>
              <w:pStyle w:val="Compact"/>
              <w:jc w:val="left"/>
            </w:pPr>
            <w:r>
              <w:t xml:space="preserve">OBIS, all</w:t>
            </w:r>
          </w:p>
        </w:tc>
        <w:tc>
          <w:tcPr/>
          <w:p>
            <w:pPr>
              <w:pStyle w:val="Compact"/>
              <w:jc w:val="left"/>
            </w:pPr>
            <w:r>
              <w:t xml:space="preserve">OBIS marine mammal records</w:t>
            </w:r>
          </w:p>
        </w:tc>
        <w:tc>
          <w:tcPr/>
          <w:p>
            <w:pPr>
              <w:pStyle w:val="Compact"/>
              <w:jc w:val="right"/>
            </w:pPr>
            <w:r>
              <w:t xml:space="preserve">0 / 38,477 (0)</w:t>
            </w:r>
          </w:p>
        </w:tc>
        <w:tc>
          <w:tcPr/>
          <w:p>
            <w:pPr>
              <w:pStyle w:val="Compact"/>
              <w:jc w:val="right"/>
            </w:pPr>
            <w:r>
              <w:t xml:space="preserve">0 / 13,103 (0)</w:t>
            </w:r>
          </w:p>
        </w:tc>
        <w:tc>
          <w:tcPr/>
          <w:p>
            <w:pPr>
              <w:pStyle w:val="Compact"/>
              <w:jc w:val="right"/>
            </w:pPr>
            <w:r>
              <w:t xml:space="preserve">235 / 77,523 (3)</w:t>
            </w:r>
          </w:p>
        </w:tc>
        <w:tc>
          <w:tcPr/>
          <w:p>
            <w:pPr>
              <w:pStyle w:val="Compact"/>
              <w:jc w:val="right"/>
            </w:pPr>
            <w:r>
              <w:t xml:space="preserve">5,430 / 12,375 (440)</w:t>
            </w:r>
          </w:p>
        </w:tc>
      </w:tr>
      <w:tr>
        <w:tc>
          <w:tcPr/>
          <w:p>
            <w:pPr>
              <w:pStyle w:val="Compact"/>
              <w:jc w:val="left"/>
            </w:pPr>
            <w:r>
              <w:t xml:space="preserve">GBIF, all</w:t>
            </w:r>
          </w:p>
        </w:tc>
        <w:tc>
          <w:tcPr/>
          <w:p>
            <w:pPr>
              <w:pStyle w:val="Compact"/>
              <w:jc w:val="left"/>
            </w:pPr>
            <w:r>
              <w:t xml:space="preserve">GBIF marine mammal records (0.1° ecoregion buffer)</w:t>
            </w:r>
          </w:p>
        </w:tc>
        <w:tc>
          <w:tcPr/>
          <w:p>
            <w:pPr>
              <w:pStyle w:val="Compact"/>
              <w:jc w:val="right"/>
            </w:pPr>
            <w:r>
              <w:t xml:space="preserve">0 / 78,534 (0)</w:t>
            </w:r>
          </w:p>
        </w:tc>
        <w:tc>
          <w:tcPr/>
          <w:p>
            <w:pPr>
              <w:pStyle w:val="Compact"/>
              <w:jc w:val="right"/>
            </w:pPr>
            <w:r>
              <w:t xml:space="preserve">1 / 32,359 (0.031)</w:t>
            </w:r>
          </w:p>
        </w:tc>
        <w:tc>
          <w:tcPr/>
          <w:p>
            <w:pPr>
              <w:pStyle w:val="Compact"/>
              <w:jc w:val="right"/>
            </w:pPr>
            <w:r>
              <w:t xml:space="preserve">671 / 198,387 (3.4)</w:t>
            </w:r>
          </w:p>
        </w:tc>
        <w:tc>
          <w:tcPr/>
          <w:p>
            <w:pPr>
              <w:pStyle w:val="Compact"/>
              <w:jc w:val="right"/>
            </w:pPr>
            <w:r>
              <w:t xml:space="preserve">4,962 / 16,051 (310)</w:t>
            </w:r>
          </w:p>
        </w:tc>
      </w:tr>
      <w:tr>
        <w:tc>
          <w:tcPr/>
          <w:p>
            <w:pPr>
              <w:pStyle w:val="Compact"/>
              <w:jc w:val="left"/>
            </w:pPr>
            <w:r>
              <w:t xml:space="preserve">iNaturalist</w:t>
            </w:r>
          </w:p>
        </w:tc>
        <w:tc>
          <w:tcPr/>
          <w:p>
            <w:pPr>
              <w:pStyle w:val="Compact"/>
              <w:jc w:val="left"/>
            </w:pPr>
            <w:r>
              <w:t xml:space="preserve">iNaturalist marine mammal observations (0.1° ecoregion buffer)</w:t>
            </w:r>
          </w:p>
        </w:tc>
        <w:tc>
          <w:tcPr/>
          <w:p>
            <w:pPr>
              <w:pStyle w:val="Compact"/>
              <w:jc w:val="right"/>
            </w:pPr>
            <w:r>
              <w:t xml:space="preserve">0 / 708 (0)</w:t>
            </w:r>
          </w:p>
        </w:tc>
        <w:tc>
          <w:tcPr/>
          <w:p>
            <w:pPr>
              <w:pStyle w:val="Compact"/>
              <w:jc w:val="right"/>
            </w:pPr>
            <w:r>
              <w:t xml:space="preserve">0 / 1,509 (0)</w:t>
            </w:r>
          </w:p>
        </w:tc>
        <w:tc>
          <w:tcPr/>
          <w:p>
            <w:pPr>
              <w:pStyle w:val="Compact"/>
              <w:jc w:val="right"/>
            </w:pPr>
            <w:r>
              <w:t xml:space="preserve">399 / 59,842 (6.7)</w:t>
            </w:r>
          </w:p>
        </w:tc>
        <w:tc>
          <w:tcPr/>
          <w:p>
            <w:pPr>
              <w:pStyle w:val="Compact"/>
              <w:jc w:val="right"/>
            </w:pPr>
            <w:r>
              <w:t xml:space="preserve">365 / 834 (440)</w:t>
            </w:r>
          </w:p>
        </w:tc>
      </w:tr>
      <w:tr>
        <w:tc>
          <w:tcPr/>
          <w:p>
            <w:pPr>
              <w:pStyle w:val="Compact"/>
              <w:jc w:val="left"/>
            </w:pPr>
            <w:r>
              <w:t xml:space="preserve">Alaska fishery observers 2014–15</w:t>
            </w:r>
          </w:p>
        </w:tc>
        <w:tc>
          <w:tcPr/>
          <w:p>
            <w:pPr>
              <w:pStyle w:val="Compact"/>
              <w:jc w:val="left"/>
            </w:pPr>
            <w:r>
              <w:t xml:space="preserve">observed federal groundfish hauls, Bering Sea–Aleutians and Gulf of Alaska</w:t>
            </w:r>
          </w:p>
        </w:tc>
        <w:tc>
          <w:tcPr/>
          <w:p>
            <w:pPr>
              <w:pStyle w:val="Compact"/>
              <w:jc w:val="right"/>
            </w:pPr>
            <w:r>
              <w:t xml:space="preserve">0 turtles</w:t>
            </w:r>
          </w:p>
        </w:tc>
        <w:tc>
          <w:tcPr/>
          <w:p>
            <w:pPr>
              <w:pStyle w:val="Compact"/>
              <w:jc w:val="right"/>
            </w:pPr>
            <w:r>
              <w:t xml:space="preserve">0 turtles</w:t>
            </w:r>
          </w:p>
        </w:tc>
        <w:tc>
          <w:tcPr/>
          <w:p>
            <w:pPr>
              <w:pStyle w:val="Compact"/>
              <w:jc w:val="right"/>
            </w:pPr>
            <w:r>
              <w:t xml:space="preserve">—</w:t>
            </w:r>
          </w:p>
        </w:tc>
        <w:tc>
          <w:tcPr/>
          <w:p>
            <w:pPr>
              <w:pStyle w:val="Compact"/>
              <w:jc w:val="right"/>
            </w:pPr>
            <w:r>
              <w:t xml:space="preserve">—</w:t>
            </w:r>
          </w:p>
        </w:tc>
      </w:tr>
    </w:tbl>
    <w:p>
      <w:pPr>
        <w:pStyle w:val="BodyText"/>
      </w:pPr>
      <w:r>
        <w:t xml:space="preserve">The Bering Sea to Arctic is the one region with a large amount of looking and no turtle on any channel. The Gulf of America shows what a turtle coast looks like on the same measures. Fishery observers in Alaska reported no sea turtle caught in federally managed fisheries in 2014 or 2015</w:t>
      </w:r>
      <w:r>
        <w:t xml:space="preserve"> </w:t>
      </w:r>
      <w:r>
        <w:t xml:space="preserve">(Benaka et al. 2019)</w:t>
      </w:r>
      <w:r>
        <w:t xml:space="preserve">; that line has no effort count of its own.</w:t>
      </w:r>
    </w:p>
    <w:bookmarkEnd w:id="129"/>
    <w:bookmarkStart w:id="130" w:name="records-per-species-in-alaska"/>
    <w:p>
      <w:pPr>
        <w:pStyle w:val="Heading3"/>
      </w:pPr>
      <w:r>
        <w:t xml:space="preserve">4.3.3 Records per species in Alaska</w:t>
      </w:r>
    </w:p>
    <w:p>
      <w:pPr>
        <w:pStyle w:val="TableCaption"/>
      </w:pPr>
      <w:r>
        <w:t xml:space="preserve">Sea-turtle records per Alaska ecoregion and channel (</w:t>
      </w:r>
      <w:r>
        <w:rPr>
          <w:rStyle w:val="VerbatimChar"/>
        </w:rPr>
        <w:t xml:space="preserve">records_species_ecoregion.csv</w:t>
      </w:r>
      <w:r>
        <w:t xml:space="preserve">). A blank cell is a channel that does not reach that ecoregion or species; a 0 is a channel that reaches it and found nothing.</w:t>
      </w:r>
      <w:r>
        <w:t xml:space="preserve"> </w:t>
      </w:r>
      <w:r>
        <w:rPr>
          <w:i/>
          <w:iCs/>
        </w:rPr>
        <w:t xml:space="preserve">no v7 range</w:t>
      </w:r>
      <w:r>
        <w:t xml:space="preserve">: never recorded, but v7 gives the species no range there, so there is nothing to drop. The seven West Coast leatherback strandings in Alaska are the same animals as the NOAA Alaska file’s, so the columns must not be added across.</w:t>
      </w:r>
    </w:p>
    <w:tbl>
      <w:tblPr>
        <w:tblStyle w:val="Table"/>
        <w:tblW w:type="pct" w:w="5000"/>
        <w:tblLayout w:type="fixed"/>
        <w:tblLook w:firstRow="1" w:lastRow="0" w:firstColumn="0" w:lastColumn="0" w:noHBand="0" w:noVBand="0" w:val="0020"/>
        <w:tblCaption w:val="Sea-turtle records per Alaska ecoregion and channel (records_species_ecoregion.csv). A blank cell is a channel that does not reach that ecoregion or species; a 0 is a channel that reaches it and found nothing. no v7 range: never recorded, but v7 gives the species no range there, so there is nothing to drop. The seven West Coast leatherback strandings in Alaska are the same animals as the NOAA Alaska file’s, so the columns must not be added across."/>
      </w:tblPr>
      <w:tblGrid>
        <w:gridCol w:w="1146"/>
        <w:gridCol w:w="501"/>
        <w:gridCol w:w="609"/>
        <w:gridCol w:w="645"/>
        <w:gridCol w:w="573"/>
        <w:gridCol w:w="752"/>
        <w:gridCol w:w="179"/>
        <w:gridCol w:w="465"/>
        <w:gridCol w:w="179"/>
        <w:gridCol w:w="430"/>
        <w:gridCol w:w="645"/>
        <w:gridCol w:w="1218"/>
        <w:gridCol w:w="573"/>
      </w:tblGrid>
      <w:tr>
        <w:trPr>
          <w:tblHeader w:val="on"/>
        </w:trPr>
        <w:tc>
          <w:tcPr/>
          <w:p>
            <w:pPr>
              <w:pStyle w:val="Compact"/>
              <w:jc w:val="left"/>
            </w:pPr>
            <w:r>
              <w:t xml:space="preserve">Ecoregion</w:t>
            </w:r>
          </w:p>
        </w:tc>
        <w:tc>
          <w:tcPr/>
          <w:p>
            <w:pPr>
              <w:pStyle w:val="Compact"/>
              <w:jc w:val="left"/>
            </w:pPr>
            <w:r>
              <w:t xml:space="preserve">Species</w:t>
            </w:r>
          </w:p>
        </w:tc>
        <w:tc>
          <w:tcPr/>
          <w:p>
            <w:pPr>
              <w:pStyle w:val="Compact"/>
              <w:jc w:val="right"/>
            </w:pPr>
            <w:r>
              <w:t xml:space="preserve">NOAA AK sighting</w:t>
            </w:r>
          </w:p>
        </w:tc>
        <w:tc>
          <w:tcPr/>
          <w:p>
            <w:pPr>
              <w:pStyle w:val="Compact"/>
              <w:jc w:val="right"/>
            </w:pPr>
            <w:r>
              <w:t xml:space="preserve">NOAA AK stranding</w:t>
            </w:r>
          </w:p>
        </w:tc>
        <w:tc>
          <w:tcPr/>
          <w:p>
            <w:pPr>
              <w:pStyle w:val="Compact"/>
              <w:jc w:val="right"/>
            </w:pPr>
            <w:r>
              <w:t xml:space="preserve">NOAA AK bycatch</w:t>
            </w:r>
          </w:p>
        </w:tc>
        <w:tc>
          <w:tcPr/>
          <w:p>
            <w:pPr>
              <w:pStyle w:val="Compact"/>
              <w:jc w:val="right"/>
            </w:pPr>
            <w:r>
              <w:t xml:space="preserve">AK fishery observers</w:t>
            </w:r>
          </w:p>
        </w:tc>
        <w:tc>
          <w:tcPr/>
          <w:p>
            <w:pPr>
              <w:pStyle w:val="Compact"/>
              <w:jc w:val="right"/>
            </w:pPr>
            <w:r>
              <w:t xml:space="preserve">OBIS</w:t>
            </w:r>
          </w:p>
        </w:tc>
        <w:tc>
          <w:tcPr/>
          <w:p>
            <w:pPr>
              <w:pStyle w:val="Compact"/>
              <w:jc w:val="right"/>
            </w:pPr>
            <w:r>
              <w:t xml:space="preserve">OBIS surveys</w:t>
            </w:r>
          </w:p>
        </w:tc>
        <w:tc>
          <w:tcPr/>
          <w:p>
            <w:pPr>
              <w:pStyle w:val="Compact"/>
              <w:jc w:val="right"/>
            </w:pPr>
            <w:r>
              <w:t xml:space="preserve">GBIF</w:t>
            </w:r>
          </w:p>
        </w:tc>
        <w:tc>
          <w:tcPr/>
          <w:p>
            <w:pPr>
              <w:pStyle w:val="Compact"/>
              <w:jc w:val="right"/>
            </w:pPr>
            <w:r>
              <w:t xml:space="preserve">iNaturalist</w:t>
            </w:r>
          </w:p>
        </w:tc>
        <w:tc>
          <w:tcPr/>
          <w:p>
            <w:pPr>
              <w:pStyle w:val="Compact"/>
              <w:jc w:val="right"/>
            </w:pPr>
            <w:r>
              <w:t xml:space="preserve">OBIS + GBIF cells</w:t>
            </w:r>
          </w:p>
        </w:tc>
        <w:tc>
          <w:tcPr/>
          <w:p>
            <w:pPr>
              <w:pStyle w:val="Compact"/>
              <w:jc w:val="right"/>
            </w:pPr>
            <w:r>
              <w:t xml:space="preserve">West Coast leatherback strandings</w:t>
            </w:r>
          </w:p>
        </w:tc>
        <w:tc>
          <w:tcPr/>
          <w:p>
            <w:pPr>
              <w:pStyle w:val="Compact"/>
              <w:jc w:val="left"/>
            </w:pPr>
            <w:r>
              <w:t xml:space="preserve">In v7c</w:t>
            </w:r>
          </w:p>
        </w:tc>
      </w:tr>
      <w:tr>
        <w:tc>
          <w:tcPr/>
          <w:p>
            <w:pPr>
              <w:pStyle w:val="Compact"/>
              <w:jc w:val="left"/>
            </w:pPr>
            <w:r>
              <w:t xml:space="preserve">Gulf of Alaska (GOA)</w:t>
            </w:r>
          </w:p>
        </w:tc>
        <w:tc>
          <w:tcPr/>
          <w:p>
            <w:pPr>
              <w:pStyle w:val="Compact"/>
              <w:jc w:val="left"/>
            </w:pPr>
            <w:r>
              <w:t xml:space="preserve">Loggerhead</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kept (recorded)</w:t>
            </w:r>
          </w:p>
        </w:tc>
      </w:tr>
      <w:tr>
        <w:tc>
          <w:tcPr/>
          <w:p>
            <w:pPr>
              <w:pStyle w:val="Compact"/>
              <w:jc w:val="left"/>
            </w:pPr>
            <w:r>
              <w:t xml:space="preserve">Gulf of Alaska (GOA)</w:t>
            </w:r>
          </w:p>
        </w:tc>
        <w:tc>
          <w:tcPr/>
          <w:p>
            <w:pPr>
              <w:pStyle w:val="Compact"/>
              <w:jc w:val="left"/>
            </w:pPr>
            <w:r>
              <w:t xml:space="preserve">Green</w:t>
            </w:r>
          </w:p>
        </w:tc>
        <w:tc>
          <w:tcPr/>
          <w:p>
            <w:pPr>
              <w:pStyle w:val="Compact"/>
              <w:jc w:val="right"/>
            </w:pPr>
            <w:r>
              <w:t xml:space="preserve">4</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kept (recorded)</w:t>
            </w:r>
          </w:p>
        </w:tc>
      </w:tr>
      <w:tr>
        <w:tc>
          <w:tcPr/>
          <w:p>
            <w:pPr>
              <w:pStyle w:val="Compact"/>
              <w:jc w:val="left"/>
            </w:pPr>
            <w:r>
              <w:t xml:space="preserve">Gulf of Alaska (GOA)</w:t>
            </w:r>
          </w:p>
        </w:tc>
        <w:tc>
          <w:tcPr/>
          <w:p>
            <w:pPr>
              <w:pStyle w:val="Compact"/>
              <w:jc w:val="left"/>
            </w:pPr>
            <w:r>
              <w:t xml:space="preserve">Hawksbill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Gulf of Alaska (GOA)</w:t>
            </w:r>
          </w:p>
        </w:tc>
        <w:tc>
          <w:tcPr/>
          <w:p>
            <w:pPr>
              <w:pStyle w:val="Compact"/>
              <w:jc w:val="left"/>
            </w:pPr>
            <w:r>
              <w:t xml:space="preserve">Leatherback</w:t>
            </w:r>
          </w:p>
        </w:tc>
        <w:tc>
          <w:tcPr/>
          <w:p>
            <w:pPr>
              <w:pStyle w:val="Compact"/>
              <w:jc w:val="right"/>
            </w:pPr>
            <w:r>
              <w:t xml:space="preserve">11</w:t>
            </w:r>
          </w:p>
        </w:tc>
        <w:tc>
          <w:tcPr/>
          <w:p>
            <w:pPr>
              <w:pStyle w:val="Compact"/>
              <w:jc w:val="right"/>
            </w:pPr>
            <w:r>
              <w:t xml:space="preserve">2</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left"/>
            </w:pPr>
            <w:r>
              <w:t xml:space="preserve">kept (recorded)</w:t>
            </w:r>
          </w:p>
        </w:tc>
      </w:tr>
      <w:tr>
        <w:tc>
          <w:tcPr/>
          <w:p>
            <w:pPr>
              <w:pStyle w:val="Compact"/>
              <w:jc w:val="left"/>
            </w:pPr>
            <w:r>
              <w:t xml:space="preserve">Gulf of Alaska (GOA)</w:t>
            </w:r>
          </w:p>
        </w:tc>
        <w:tc>
          <w:tcPr/>
          <w:p>
            <w:pPr>
              <w:pStyle w:val="Compact"/>
              <w:jc w:val="left"/>
            </w:pPr>
            <w:r>
              <w:t xml:space="preserve">Kemp’s ridley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Gulf of Alaska (GOA)</w:t>
            </w:r>
          </w:p>
        </w:tc>
        <w:tc>
          <w:tcPr/>
          <w:p>
            <w:pPr>
              <w:pStyle w:val="Compact"/>
              <w:jc w:val="left"/>
            </w:pPr>
            <w:r>
              <w:t xml:space="preserve">Olive ridley</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kept (recorded)</w:t>
            </w:r>
          </w:p>
        </w:tc>
      </w:tr>
      <w:tr>
        <w:tc>
          <w:tcPr/>
          <w:p>
            <w:pPr>
              <w:pStyle w:val="Compact"/>
              <w:jc w:val="left"/>
            </w:pPr>
            <w:r>
              <w:t xml:space="preserve">East Bering Sea (EBS)</w:t>
            </w:r>
          </w:p>
        </w:tc>
        <w:tc>
          <w:tcPr/>
          <w:p>
            <w:pPr>
              <w:pStyle w:val="Compact"/>
              <w:jc w:val="left"/>
            </w:pPr>
            <w:r>
              <w:t xml:space="preserve">Loggerhead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rPr>
                <w:b/>
                <w:bCs/>
              </w:rPr>
              <w:t xml:space="preserve">dropped</w:t>
            </w:r>
          </w:p>
        </w:tc>
      </w:tr>
      <w:tr>
        <w:tc>
          <w:tcPr/>
          <w:p>
            <w:pPr>
              <w:pStyle w:val="Compact"/>
              <w:jc w:val="left"/>
            </w:pPr>
            <w:r>
              <w:t xml:space="preserve">East Bering Sea (EBS)</w:t>
            </w:r>
          </w:p>
        </w:tc>
        <w:tc>
          <w:tcPr/>
          <w:p>
            <w:pPr>
              <w:pStyle w:val="Compact"/>
              <w:jc w:val="left"/>
            </w:pPr>
            <w:r>
              <w:t xml:space="preserve">Green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rPr>
                <w:b/>
                <w:bCs/>
              </w:rPr>
              <w:t xml:space="preserve">dropped</w:t>
            </w:r>
          </w:p>
        </w:tc>
      </w:tr>
      <w:tr>
        <w:tc>
          <w:tcPr/>
          <w:p>
            <w:pPr>
              <w:pStyle w:val="Compact"/>
              <w:jc w:val="left"/>
            </w:pPr>
            <w:r>
              <w:t xml:space="preserve">East Bering Sea (EBS)</w:t>
            </w:r>
          </w:p>
        </w:tc>
        <w:tc>
          <w:tcPr/>
          <w:p>
            <w:pPr>
              <w:pStyle w:val="Compact"/>
              <w:jc w:val="left"/>
            </w:pPr>
            <w:r>
              <w:t xml:space="preserve">Hawksbill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East Bering Sea (EBS)</w:t>
            </w:r>
          </w:p>
        </w:tc>
        <w:tc>
          <w:tcPr/>
          <w:p>
            <w:pPr>
              <w:pStyle w:val="Compact"/>
              <w:jc w:val="left"/>
            </w:pPr>
            <w:r>
              <w:t xml:space="preserve">Leatherback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rPr>
                <w:b/>
                <w:bCs/>
              </w:rPr>
              <w:t xml:space="preserve">dropped</w:t>
            </w:r>
          </w:p>
        </w:tc>
      </w:tr>
      <w:tr>
        <w:tc>
          <w:tcPr/>
          <w:p>
            <w:pPr>
              <w:pStyle w:val="Compact"/>
              <w:jc w:val="left"/>
            </w:pPr>
            <w:r>
              <w:t xml:space="preserve">East Bering Sea (EBS)</w:t>
            </w:r>
          </w:p>
        </w:tc>
        <w:tc>
          <w:tcPr/>
          <w:p>
            <w:pPr>
              <w:pStyle w:val="Compact"/>
              <w:jc w:val="left"/>
            </w:pPr>
            <w:r>
              <w:t xml:space="preserve">Kemp’s ridley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East Bering Sea (EBS)</w:t>
            </w:r>
          </w:p>
        </w:tc>
        <w:tc>
          <w:tcPr/>
          <w:p>
            <w:pPr>
              <w:pStyle w:val="Compact"/>
              <w:jc w:val="left"/>
            </w:pPr>
            <w:r>
              <w:t xml:space="preserve">Olive ridley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rPr>
                <w:b/>
                <w:bCs/>
              </w:rPr>
              <w:t xml:space="preserve">dropped</w:t>
            </w:r>
          </w:p>
        </w:tc>
      </w:tr>
      <w:tr>
        <w:tc>
          <w:tcPr/>
          <w:p>
            <w:pPr>
              <w:pStyle w:val="Compact"/>
              <w:jc w:val="left"/>
            </w:pPr>
            <w:r>
              <w:t xml:space="preserve">Chukchi and Beaufort Seas (CBS)</w:t>
            </w:r>
          </w:p>
        </w:tc>
        <w:tc>
          <w:tcPr/>
          <w:p>
            <w:pPr>
              <w:pStyle w:val="Compact"/>
              <w:jc w:val="left"/>
            </w:pPr>
            <w:r>
              <w:t xml:space="preserve">Loggerhead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Chukchi and Beaufort Seas (CBS)</w:t>
            </w:r>
          </w:p>
        </w:tc>
        <w:tc>
          <w:tcPr/>
          <w:p>
            <w:pPr>
              <w:pStyle w:val="Compact"/>
              <w:jc w:val="left"/>
            </w:pPr>
            <w:r>
              <w:t xml:space="preserve">Green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Chukchi and Beaufort Seas (CBS)</w:t>
            </w:r>
          </w:p>
        </w:tc>
        <w:tc>
          <w:tcPr/>
          <w:p>
            <w:pPr>
              <w:pStyle w:val="Compact"/>
              <w:jc w:val="left"/>
            </w:pPr>
            <w:r>
              <w:t xml:space="preserve">Hawksbill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Chukchi and Beaufort Seas (CBS)</w:t>
            </w:r>
          </w:p>
        </w:tc>
        <w:tc>
          <w:tcPr/>
          <w:p>
            <w:pPr>
              <w:pStyle w:val="Compact"/>
              <w:jc w:val="left"/>
            </w:pPr>
            <w:r>
              <w:t xml:space="preserve">Leatherback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Chukchi and Beaufort Seas (CBS)</w:t>
            </w:r>
          </w:p>
        </w:tc>
        <w:tc>
          <w:tcPr/>
          <w:p>
            <w:pPr>
              <w:pStyle w:val="Compact"/>
              <w:jc w:val="left"/>
            </w:pPr>
            <w:r>
              <w:t xml:space="preserve">Kemp’s ridley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Chukchi and Beaufort Seas (CBS)</w:t>
            </w:r>
          </w:p>
        </w:tc>
        <w:tc>
          <w:tcPr/>
          <w:p>
            <w:pPr>
              <w:pStyle w:val="Compact"/>
              <w:jc w:val="left"/>
            </w:pPr>
            <w:r>
              <w:t xml:space="preserve">Olive ridley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High Arctic (HAR)</w:t>
            </w:r>
          </w:p>
        </w:tc>
        <w:tc>
          <w:tcPr/>
          <w:p>
            <w:pPr>
              <w:pStyle w:val="Compact"/>
              <w:jc w:val="left"/>
            </w:pPr>
            <w:r>
              <w:t xml:space="preserve">Loggerhead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High Arctic (HAR)</w:t>
            </w:r>
          </w:p>
        </w:tc>
        <w:tc>
          <w:tcPr/>
          <w:p>
            <w:pPr>
              <w:pStyle w:val="Compact"/>
              <w:jc w:val="left"/>
            </w:pPr>
            <w:r>
              <w:t xml:space="preserve">Green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High Arctic (HAR)</w:t>
            </w:r>
          </w:p>
        </w:tc>
        <w:tc>
          <w:tcPr/>
          <w:p>
            <w:pPr>
              <w:pStyle w:val="Compact"/>
              <w:jc w:val="left"/>
            </w:pPr>
            <w:r>
              <w:t xml:space="preserve">Hawksbill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High Arctic (HAR)</w:t>
            </w:r>
          </w:p>
        </w:tc>
        <w:tc>
          <w:tcPr/>
          <w:p>
            <w:pPr>
              <w:pStyle w:val="Compact"/>
              <w:jc w:val="left"/>
            </w:pPr>
            <w:r>
              <w:t xml:space="preserve">Leatherback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High Arctic (HAR)</w:t>
            </w:r>
          </w:p>
        </w:tc>
        <w:tc>
          <w:tcPr/>
          <w:p>
            <w:pPr>
              <w:pStyle w:val="Compact"/>
              <w:jc w:val="left"/>
            </w:pPr>
            <w:r>
              <w:t xml:space="preserve">Kemp’s ridley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r>
        <w:tc>
          <w:tcPr/>
          <w:p>
            <w:pPr>
              <w:pStyle w:val="Compact"/>
              <w:jc w:val="left"/>
            </w:pPr>
            <w:r>
              <w:t xml:space="preserve">High Arctic (HAR)</w:t>
            </w:r>
          </w:p>
        </w:tc>
        <w:tc>
          <w:tcPr/>
          <w:p>
            <w:pPr>
              <w:pStyle w:val="Compact"/>
              <w:jc w:val="left"/>
            </w:pPr>
            <w:r>
              <w:t xml:space="preserve">Olive ridley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left"/>
            </w:pPr>
            <w:r>
              <w:t xml:space="preserve">no v7 range</w:t>
            </w:r>
          </w:p>
        </w:tc>
      </w:tr>
    </w:tbl>
    <w:p>
      <w:pPr>
        <w:pStyle w:val="BodyText"/>
      </w:pPr>
      <w:r>
        <w:t xml:space="preserve">Every turtle record in Alaska is in the Gulf of Alaska, and it holds at least one record for each of loggerhead, green, leatherback and olive ridley, which therefore keep their v7 values there. The East Bering Sea, where v7 gave those four species range, has no record of any of them on any channel. The Chukchi and Beaufort Seas and the High Arctic have no record either, but v7 gives no turtle range there. Hawksbill and Kemp’s ridley have never been recorded in Alaska and have no v7 range in Alaska, the Washington/Oregon coast or California. The records summarize six decades of reports</w:t>
      </w:r>
      <w:r>
        <w:t xml:space="preserve"> </w:t>
      </w:r>
      <w:r>
        <w:t xml:space="preserve">(NOAA Fisheries Alaska Region 2026; Hodge and Wing 2000)</w:t>
      </w:r>
      <w:r>
        <w:t xml:space="preserve">.</w:t>
      </w:r>
    </w:p>
    <w:bookmarkEnd w:id="130"/>
    <w:bookmarkStart w:id="155" w:name="records-against-each-species-range"/>
    <w:p>
      <w:pPr>
        <w:pStyle w:val="Heading3"/>
      </w:pPr>
      <w:r>
        <w:t xml:space="preserve">4.3.4 Records against each species’ range</w:t>
      </w:r>
    </w:p>
    <w:p>
      <w:pPr>
        <w:pStyle w:val="FirstParagraph"/>
      </w:pPr>
      <w:r>
        <w:t xml:space="preserve">Each map shows the species’ v7 merged range (green where v7c keeps it, orange where it drops it) and every record that has a location: the NOAA Alaska file and OBIS at their coordinates, and OBIS + GBIF cells (which include the iNaturalist records) at cell centres. The left panel frames Alaska and the North Pacific, the right all US waters on the v7 grid; records outside the frame are cut. Each map’s subtitle sums the records over all channels for the Bering–Arctic and the Gulf of Alaska.</w:t>
      </w:r>
    </w:p>
    <w:p>
      <w:pPr>
        <w:pStyle w:val="Heading4"/>
      </w:pPr>
      <w:r>
        <w:t xml:space="preserve">Loggerhead</w:t>
      </w:r>
    </w:p>
    <w:tbl>
      <w:tblPr>
        <w:tblStyle w:val="Table"/>
        <w:tblW w:type="pct" w:w="5000"/>
        <w:tblLayout w:type="fixed"/>
        <w:tblLook w:firstRow="0" w:lastRow="0" w:firstColumn="0" w:lastColumn="0" w:noHBand="0" w:noVBand="0" w:val="0000"/>
      </w:tblPr>
      <w:tblGrid>
        <w:gridCol w:w="7920"/>
      </w:tblGrid>
      <w:tr>
        <w:tc>
          <w:tcPr/>
          <w:bookmarkStart w:id="134" w:name="fig-v7c-turtle-cc"/>
          <w:p>
            <w:pPr>
              <w:pStyle w:val="Compact"/>
              <w:jc w:val="center"/>
            </w:pPr>
            <w:r>
              <w:drawing>
                <wp:inline>
                  <wp:extent cx="5334000" cy="2889249"/>
                  <wp:effectExtent b="0" l="0" r="0" t="0"/>
                  <wp:docPr descr="" title="" id="132" name="Picture"/>
                  <a:graphic>
                    <a:graphicData uri="http://schemas.openxmlformats.org/drawingml/2006/picture">
                      <pic:pic>
                        <pic:nvPicPr>
                          <pic:cNvPr descr="releases/../figures/v7c/turtle_cc_records.png" id="133" name="Picture"/>
                          <pic:cNvPicPr>
                            <a:picLocks noChangeArrowheads="1" noChangeAspect="1"/>
                          </pic:cNvPicPr>
                        </pic:nvPicPr>
                        <pic:blipFill>
                          <a:blip r:embed="rId131"/>
                          <a:stretch>
                            <a:fillRect/>
                          </a:stretch>
                        </pic:blipFill>
                        <pic:spPr bwMode="auto">
                          <a:xfrm>
                            <a:off x="0" y="0"/>
                            <a:ext cx="5334000" cy="2889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Loggerhead (</w:t>
            </w:r>
            <w:r>
              <w:rPr>
                <w:i/>
                <w:iCs/>
              </w:rPr>
              <w:t xml:space="preserve">Caretta caretta</w:t>
            </w:r>
            <w:r>
              <w:t xml:space="preserve">): v7 merged range, with the East Bering Sea dropped in v7c (orange), and every located record by channel.</w:t>
            </w:r>
          </w:p>
          <w:bookmarkEnd w:id="134"/>
        </w:tc>
      </w:tr>
    </w:tbl>
    <w:p>
      <w:pPr>
        <w:pStyle w:val="Heading4"/>
      </w:pPr>
      <w:r>
        <w:t xml:space="preserve">Green</w:t>
      </w:r>
    </w:p>
    <w:tbl>
      <w:tblPr>
        <w:tblStyle w:val="Table"/>
        <w:tblW w:type="pct" w:w="5000"/>
        <w:tblLayout w:type="fixed"/>
        <w:tblLook w:firstRow="0" w:lastRow="0" w:firstColumn="0" w:lastColumn="0" w:noHBand="0" w:noVBand="0" w:val="0000"/>
      </w:tblPr>
      <w:tblGrid>
        <w:gridCol w:w="7920"/>
      </w:tblGrid>
      <w:tr>
        <w:tc>
          <w:tcPr/>
          <w:bookmarkStart w:id="138" w:name="fig-v7c-turtle-cm"/>
          <w:p>
            <w:pPr>
              <w:pStyle w:val="Compact"/>
              <w:jc w:val="center"/>
            </w:pPr>
            <w:r>
              <w:drawing>
                <wp:inline>
                  <wp:extent cx="5334000" cy="2889249"/>
                  <wp:effectExtent b="0" l="0" r="0" t="0"/>
                  <wp:docPr descr="" title="" id="136" name="Picture"/>
                  <a:graphic>
                    <a:graphicData uri="http://schemas.openxmlformats.org/drawingml/2006/picture">
                      <pic:pic>
                        <pic:nvPicPr>
                          <pic:cNvPr descr="releases/../figures/v7c/turtle_cm_records.png" id="137" name="Picture"/>
                          <pic:cNvPicPr>
                            <a:picLocks noChangeArrowheads="1" noChangeAspect="1"/>
                          </pic:cNvPicPr>
                        </pic:nvPicPr>
                        <pic:blipFill>
                          <a:blip r:embed="rId135"/>
                          <a:stretch>
                            <a:fillRect/>
                          </a:stretch>
                        </pic:blipFill>
                        <pic:spPr bwMode="auto">
                          <a:xfrm>
                            <a:off x="0" y="0"/>
                            <a:ext cx="5334000" cy="2889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Green turtle (</w:t>
            </w:r>
            <w:r>
              <w:rPr>
                <w:i/>
                <w:iCs/>
              </w:rPr>
              <w:t xml:space="preserve">Chelonia mydas</w:t>
            </w:r>
            <w:r>
              <w:t xml:space="preserve">): v7 merged range, with the East Bering Sea dropped in v7c (orange), and every located record by channel.</w:t>
            </w:r>
          </w:p>
          <w:bookmarkEnd w:id="138"/>
        </w:tc>
      </w:tr>
    </w:tbl>
    <w:p>
      <w:pPr>
        <w:pStyle w:val="Heading4"/>
      </w:pPr>
      <w:r>
        <w:t xml:space="preserve">Leatherback</w:t>
      </w:r>
    </w:p>
    <w:tbl>
      <w:tblPr>
        <w:tblStyle w:val="Table"/>
        <w:tblW w:type="pct" w:w="5000"/>
        <w:tblLayout w:type="fixed"/>
        <w:tblLook w:firstRow="0" w:lastRow="0" w:firstColumn="0" w:lastColumn="0" w:noHBand="0" w:noVBand="0" w:val="0000"/>
      </w:tblPr>
      <w:tblGrid>
        <w:gridCol w:w="7920"/>
      </w:tblGrid>
      <w:tr>
        <w:tc>
          <w:tcPr/>
          <w:bookmarkStart w:id="142" w:name="fig-v7c-turtle-dc"/>
          <w:p>
            <w:pPr>
              <w:pStyle w:val="Compact"/>
              <w:jc w:val="center"/>
            </w:pPr>
            <w:r>
              <w:drawing>
                <wp:inline>
                  <wp:extent cx="5334000" cy="2889249"/>
                  <wp:effectExtent b="0" l="0" r="0" t="0"/>
                  <wp:docPr descr="" title="" id="140" name="Picture"/>
                  <a:graphic>
                    <a:graphicData uri="http://schemas.openxmlformats.org/drawingml/2006/picture">
                      <pic:pic>
                        <pic:nvPicPr>
                          <pic:cNvPr descr="releases/../figures/v7c/turtle_dc_records.png" id="141" name="Picture"/>
                          <pic:cNvPicPr>
                            <a:picLocks noChangeArrowheads="1" noChangeAspect="1"/>
                          </pic:cNvPicPr>
                        </pic:nvPicPr>
                        <pic:blipFill>
                          <a:blip r:embed="rId139"/>
                          <a:stretch>
                            <a:fillRect/>
                          </a:stretch>
                        </pic:blipFill>
                        <pic:spPr bwMode="auto">
                          <a:xfrm>
                            <a:off x="0" y="0"/>
                            <a:ext cx="5334000" cy="2889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Leatherback (</w:t>
            </w:r>
            <w:r>
              <w:rPr>
                <w:i/>
                <w:iCs/>
              </w:rPr>
              <w:t xml:space="preserve">Dermochelys coriacea</w:t>
            </w:r>
            <w:r>
              <w:t xml:space="preserve">): v7 merged range, with the East Bering Sea dropped in v7c (orange), and every located record by channel.</w:t>
            </w:r>
          </w:p>
          <w:bookmarkEnd w:id="142"/>
        </w:tc>
      </w:tr>
    </w:tbl>
    <w:p>
      <w:pPr>
        <w:pStyle w:val="Heading4"/>
      </w:pPr>
      <w:r>
        <w:t xml:space="preserve">Olive ridley</w:t>
      </w:r>
    </w:p>
    <w:tbl>
      <w:tblPr>
        <w:tblStyle w:val="Table"/>
        <w:tblW w:type="pct" w:w="5000"/>
        <w:tblLayout w:type="fixed"/>
        <w:tblLook w:firstRow="0" w:lastRow="0" w:firstColumn="0" w:lastColumn="0" w:noHBand="0" w:noVBand="0" w:val="0000"/>
      </w:tblPr>
      <w:tblGrid>
        <w:gridCol w:w="7920"/>
      </w:tblGrid>
      <w:tr>
        <w:tc>
          <w:tcPr/>
          <w:bookmarkStart w:id="146" w:name="fig-v7c-turtle-lo"/>
          <w:p>
            <w:pPr>
              <w:pStyle w:val="Compact"/>
              <w:jc w:val="center"/>
            </w:pPr>
            <w:r>
              <w:drawing>
                <wp:inline>
                  <wp:extent cx="5334000" cy="2889249"/>
                  <wp:effectExtent b="0" l="0" r="0" t="0"/>
                  <wp:docPr descr="" title="" id="144" name="Picture"/>
                  <a:graphic>
                    <a:graphicData uri="http://schemas.openxmlformats.org/drawingml/2006/picture">
                      <pic:pic>
                        <pic:nvPicPr>
                          <pic:cNvPr descr="releases/../figures/v7c/turtle_lo_records.png" id="145" name="Picture"/>
                          <pic:cNvPicPr>
                            <a:picLocks noChangeArrowheads="1" noChangeAspect="1"/>
                          </pic:cNvPicPr>
                        </pic:nvPicPr>
                        <pic:blipFill>
                          <a:blip r:embed="rId143"/>
                          <a:stretch>
                            <a:fillRect/>
                          </a:stretch>
                        </pic:blipFill>
                        <pic:spPr bwMode="auto">
                          <a:xfrm>
                            <a:off x="0" y="0"/>
                            <a:ext cx="5334000" cy="2889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4.4: Olive ridley (</w:t>
            </w:r>
            <w:r>
              <w:rPr>
                <w:i/>
                <w:iCs/>
              </w:rPr>
              <w:t xml:space="preserve">Lepidochelys olivacea</w:t>
            </w:r>
            <w:r>
              <w:t xml:space="preserve">): v7 merged range, with the East Bering Sea dropped in v7c (orange), and every located record by channel.</w:t>
            </w:r>
          </w:p>
          <w:bookmarkEnd w:id="146"/>
        </w:tc>
      </w:tr>
    </w:tbl>
    <w:p>
      <w:pPr>
        <w:pStyle w:val="Heading4"/>
      </w:pPr>
      <w:r>
        <w:t xml:space="preserve">Hawksbill</w:t>
      </w:r>
    </w:p>
    <w:tbl>
      <w:tblPr>
        <w:tblStyle w:val="Table"/>
        <w:tblW w:type="pct" w:w="5000"/>
        <w:tblLayout w:type="fixed"/>
        <w:tblLook w:firstRow="0" w:lastRow="0" w:firstColumn="0" w:lastColumn="0" w:noHBand="0" w:noVBand="0" w:val="0000"/>
      </w:tblPr>
      <w:tblGrid>
        <w:gridCol w:w="7920"/>
      </w:tblGrid>
      <w:tr>
        <w:tc>
          <w:tcPr/>
          <w:bookmarkStart w:id="150" w:name="fig-v7c-turtle-ei"/>
          <w:p>
            <w:pPr>
              <w:pStyle w:val="Compact"/>
              <w:jc w:val="center"/>
            </w:pPr>
            <w:r>
              <w:drawing>
                <wp:inline>
                  <wp:extent cx="5334000" cy="2889249"/>
                  <wp:effectExtent b="0" l="0" r="0" t="0"/>
                  <wp:docPr descr="" title="" id="148" name="Picture"/>
                  <a:graphic>
                    <a:graphicData uri="http://schemas.openxmlformats.org/drawingml/2006/picture">
                      <pic:pic>
                        <pic:nvPicPr>
                          <pic:cNvPr descr="releases/../figures/v7c/turtle_ei_records.png" id="149" name="Picture"/>
                          <pic:cNvPicPr>
                            <a:picLocks noChangeArrowheads="1" noChangeAspect="1"/>
                          </pic:cNvPicPr>
                        </pic:nvPicPr>
                        <pic:blipFill>
                          <a:blip r:embed="rId147"/>
                          <a:stretch>
                            <a:fillRect/>
                          </a:stretch>
                        </pic:blipFill>
                        <pic:spPr bwMode="auto">
                          <a:xfrm>
                            <a:off x="0" y="0"/>
                            <a:ext cx="5334000" cy="2889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4.5: Hawksbill (</w:t>
            </w:r>
            <w:r>
              <w:rPr>
                <w:i/>
                <w:iCs/>
              </w:rPr>
              <w:t xml:space="preserve">Eretmochelys imbricata</w:t>
            </w:r>
            <w:r>
              <w:t xml:space="preserve">): v7 merged range and every located record. v7 gives it no range in Alaska, so v7c drops nothing.</w:t>
            </w:r>
          </w:p>
          <w:bookmarkEnd w:id="150"/>
        </w:tc>
      </w:tr>
    </w:tbl>
    <w:p>
      <w:pPr>
        <w:pStyle w:val="Heading4"/>
      </w:pPr>
      <w:r>
        <w:t xml:space="preserve">Kemp’s ridley</w:t>
      </w:r>
    </w:p>
    <w:tbl>
      <w:tblPr>
        <w:tblStyle w:val="Table"/>
        <w:tblW w:type="pct" w:w="5000"/>
        <w:tblLayout w:type="fixed"/>
        <w:tblLook w:firstRow="0" w:lastRow="0" w:firstColumn="0" w:lastColumn="0" w:noHBand="0" w:noVBand="0" w:val="0000"/>
      </w:tblPr>
      <w:tblGrid>
        <w:gridCol w:w="7920"/>
      </w:tblGrid>
      <w:tr>
        <w:tc>
          <w:tcPr/>
          <w:bookmarkStart w:id="154" w:name="fig-v7c-turtle-lk"/>
          <w:p>
            <w:pPr>
              <w:pStyle w:val="Compact"/>
              <w:jc w:val="center"/>
            </w:pPr>
            <w:r>
              <w:drawing>
                <wp:inline>
                  <wp:extent cx="5334000" cy="2889249"/>
                  <wp:effectExtent b="0" l="0" r="0" t="0"/>
                  <wp:docPr descr="" title="" id="152" name="Picture"/>
                  <a:graphic>
                    <a:graphicData uri="http://schemas.openxmlformats.org/drawingml/2006/picture">
                      <pic:pic>
                        <pic:nvPicPr>
                          <pic:cNvPr descr="releases/../figures/v7c/turtle_lk_records.png" id="153" name="Picture"/>
                          <pic:cNvPicPr>
                            <a:picLocks noChangeArrowheads="1" noChangeAspect="1"/>
                          </pic:cNvPicPr>
                        </pic:nvPicPr>
                        <pic:blipFill>
                          <a:blip r:embed="rId151"/>
                          <a:stretch>
                            <a:fillRect/>
                          </a:stretch>
                        </pic:blipFill>
                        <pic:spPr bwMode="auto">
                          <a:xfrm>
                            <a:off x="0" y="0"/>
                            <a:ext cx="5334000" cy="2889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4.6: Kemp’s ridley (</w:t>
            </w:r>
            <w:r>
              <w:rPr>
                <w:i/>
                <w:iCs/>
              </w:rPr>
              <w:t xml:space="preserve">Lepidochelys kempii</w:t>
            </w:r>
            <w:r>
              <w:t xml:space="preserve">): v7 merged range and every located record. v7 gives it no range in Alaska or the Pacific, so v7c drops nothing.</w:t>
            </w:r>
          </w:p>
          <w:bookmarkEnd w:id="154"/>
        </w:tc>
      </w:tr>
    </w:tbl>
    <w:bookmarkEnd w:id="155"/>
    <w:bookmarkStart w:id="160" w:name="sec-v7c-right-whale"/>
    <w:p>
      <w:pPr>
        <w:pStyle w:val="Heading3"/>
      </w:pPr>
      <w:r>
        <w:t xml:space="preserve">4.3.5 The right whale</w:t>
      </w:r>
    </w:p>
    <w:p>
      <w:pPr>
        <w:pStyle w:val="FirstParagraph"/>
      </w:pPr>
      <w:r>
        <w:t xml:space="preserve">In v7 the North Atlantic right whale’s Gulf of America range comes from two inputs only: the IUCN range polygon, valued at a flat 50, and AquaMaps. Every other line of evidence stops at the Atlantic. Designated critical habitat lies entirely in the Atlantic. The OBIS distribution-model ensemble, at its 10th-percentile training-presence threshold, has no Gulf cell. The habitat-based density models of</w:t>
      </w:r>
      <w:r>
        <w:t xml:space="preserve"> </w:t>
      </w:r>
      <w:r>
        <w:t xml:space="preserve">Roberts et al. (2016)</w:t>
      </w:r>
      <w:r>
        <w:t xml:space="preserve">, fitted to line-transect surveys of both the Atlantic and the Gulf, model the species in the Atlantic only. The Gulf records are a handful against thousands in the Atlantic, channel by channel. They are vagrants: NOAA’s 2006 release names the confirmed Gulf sightings of the time — 1963 off Longboat Key, 2004 off Panama City, and a mother and calf first seen off Corpus Christi in January 2006</w:t>
      </w:r>
      <w:r>
        <w:t xml:space="preserve"> </w:t>
      </w:r>
      <w:r>
        <w:t xml:space="preserve">(NOAA Fisheries Service Southeast Regional Office and Florida Fish and Wildlife Conservation Commission 2006; Ward-Geiger et al. 2011)</w:t>
      </w:r>
      <w:r>
        <w:t xml:space="preserve">.</w:t>
      </w:r>
    </w:p>
    <w:p>
      <w:pPr>
        <w:pStyle w:val="TableCaption"/>
      </w:pPr>
      <w:r>
        <w:t xml:space="preserve">North Atlantic right whale, Gulf of America (Eastern, EGOA; Western and Central, WCGOA) against the Atlantic (Northeast and Southeast Continental Shelf), by channel (</w:t>
      </w:r>
      <w:r>
        <w:rPr>
          <w:rStyle w:val="VerbatimChar"/>
        </w:rPr>
        <w:t xml:space="preserve">right_whale_records.csv</w:t>
      </w:r>
      <w:r>
        <w:t xml:space="preserve">). The v7 rows are the cells v7 gave the species in each ecoregion, by input.</w:t>
      </w:r>
    </w:p>
    <w:tbl>
      <w:tblPr>
        <w:tblStyle w:val="Table"/>
        <w:tblW w:type="pct" w:w="5000"/>
        <w:tblLayout w:type="fixed"/>
        <w:tblLook w:firstRow="1" w:lastRow="0" w:firstColumn="0" w:lastColumn="0" w:noHBand="0" w:noVBand="0" w:val="0020"/>
        <w:tblCaption w:val="North Atlantic right whale, Gulf of America (Eastern, EGOA; Western and Central, WCGOA) against the Atlantic (Northeast and Southeast Continental Shelf), by channel (right_whale_records.csv). The v7 rows are the cells v7 gave the species in each ecoregion, by input."/>
      </w:tblPr>
      <w:tblGrid>
        <w:gridCol w:w="2979"/>
        <w:gridCol w:w="1162"/>
        <w:gridCol w:w="435"/>
        <w:gridCol w:w="435"/>
        <w:gridCol w:w="799"/>
        <w:gridCol w:w="508"/>
        <w:gridCol w:w="508"/>
        <w:gridCol w:w="1089"/>
      </w:tblGrid>
      <w:tr>
        <w:trPr>
          <w:tblHeader w:val="on"/>
        </w:trPr>
        <w:tc>
          <w:tcPr/>
          <w:p>
            <w:pPr>
              <w:pStyle w:val="Compact"/>
              <w:jc w:val="left"/>
            </w:pPr>
            <w:r>
              <w:t xml:space="preserve">Channel</w:t>
            </w:r>
          </w:p>
        </w:tc>
        <w:tc>
          <w:tcPr/>
          <w:p>
            <w:pPr>
              <w:pStyle w:val="Compact"/>
              <w:jc w:val="left"/>
            </w:pPr>
            <w:r>
              <w:t xml:space="preserve">Unit</w:t>
            </w:r>
          </w:p>
        </w:tc>
        <w:tc>
          <w:tcPr/>
          <w:p>
            <w:pPr>
              <w:pStyle w:val="Compact"/>
              <w:jc w:val="right"/>
            </w:pPr>
            <w:r>
              <w:t xml:space="preserve">EGOA</w:t>
            </w:r>
          </w:p>
        </w:tc>
        <w:tc>
          <w:tcPr/>
          <w:p>
            <w:pPr>
              <w:pStyle w:val="Compact"/>
              <w:jc w:val="right"/>
            </w:pPr>
            <w:r>
              <w:t xml:space="preserve">WCGOA</w:t>
            </w:r>
          </w:p>
        </w:tc>
        <w:tc>
          <w:tcPr/>
          <w:p>
            <w:pPr>
              <w:pStyle w:val="Compact"/>
              <w:jc w:val="right"/>
            </w:pPr>
            <w:r>
              <w:t xml:space="preserve">Gulf total</w:t>
            </w:r>
          </w:p>
        </w:tc>
        <w:tc>
          <w:tcPr/>
          <w:p>
            <w:pPr>
              <w:pStyle w:val="Compact"/>
              <w:jc w:val="right"/>
            </w:pPr>
            <w:r>
              <w:t xml:space="preserve">NECS</w:t>
            </w:r>
          </w:p>
        </w:tc>
        <w:tc>
          <w:tcPr/>
          <w:p>
            <w:pPr>
              <w:pStyle w:val="Compact"/>
              <w:jc w:val="right"/>
            </w:pPr>
            <w:r>
              <w:t xml:space="preserve">SECS</w:t>
            </w:r>
          </w:p>
        </w:tc>
        <w:tc>
          <w:tcPr/>
          <w:p>
            <w:pPr>
              <w:pStyle w:val="Compact"/>
              <w:jc w:val="right"/>
            </w:pPr>
            <w:r>
              <w:t xml:space="preserve">Atlantic total</w:t>
            </w:r>
          </w:p>
        </w:tc>
      </w:tr>
      <w:tr>
        <w:tc>
          <w:tcPr/>
          <w:p>
            <w:pPr>
              <w:pStyle w:val="Compact"/>
              <w:jc w:val="left"/>
            </w:pPr>
            <w:r>
              <w:t xml:space="preserve">OBIS records</w:t>
            </w:r>
          </w:p>
        </w:tc>
        <w:tc>
          <w:tcPr/>
          <w:p>
            <w:pPr>
              <w:pStyle w:val="Compact"/>
              <w:jc w:val="left"/>
            </w:pPr>
            <w:r>
              <w:t xml:space="preserve">records</w:t>
            </w:r>
          </w:p>
        </w:tc>
        <w:tc>
          <w:tcPr/>
          <w:p>
            <w:pPr>
              <w:pStyle w:val="Compact"/>
              <w:jc w:val="right"/>
            </w:pPr>
            <w:r>
              <w:t xml:space="preserve">5</w:t>
            </w:r>
          </w:p>
        </w:tc>
        <w:tc>
          <w:tcPr/>
          <w:p>
            <w:pPr>
              <w:pStyle w:val="Compact"/>
              <w:jc w:val="right"/>
            </w:pPr>
            <w:r>
              <w:t xml:space="preserve">6</w:t>
            </w:r>
          </w:p>
        </w:tc>
        <w:tc>
          <w:tcPr/>
          <w:p>
            <w:pPr>
              <w:pStyle w:val="Compact"/>
              <w:jc w:val="right"/>
            </w:pPr>
            <w:r>
              <w:t xml:space="preserve">11</w:t>
            </w:r>
          </w:p>
        </w:tc>
        <w:tc>
          <w:tcPr/>
          <w:p>
            <w:pPr>
              <w:pStyle w:val="Compact"/>
              <w:jc w:val="right"/>
            </w:pPr>
            <w:r>
              <w:t xml:space="preserve">3,850</w:t>
            </w:r>
          </w:p>
        </w:tc>
        <w:tc>
          <w:tcPr/>
          <w:p>
            <w:pPr>
              <w:pStyle w:val="Compact"/>
              <w:jc w:val="right"/>
            </w:pPr>
            <w:r>
              <w:t xml:space="preserve">283</w:t>
            </w:r>
          </w:p>
        </w:tc>
        <w:tc>
          <w:tcPr/>
          <w:p>
            <w:pPr>
              <w:pStyle w:val="Compact"/>
              <w:jc w:val="right"/>
            </w:pPr>
            <w:r>
              <w:t xml:space="preserve">4,133</w:t>
            </w:r>
          </w:p>
        </w:tc>
      </w:tr>
      <w:tr>
        <w:tc>
          <w:tcPr/>
          <w:p>
            <w:pPr>
              <w:pStyle w:val="Compact"/>
              <w:jc w:val="left"/>
            </w:pPr>
            <w:r>
              <w:t xml:space="preserve">OBIS survey records</w:t>
            </w:r>
          </w:p>
        </w:tc>
        <w:tc>
          <w:tcPr/>
          <w:p>
            <w:pPr>
              <w:pStyle w:val="Compact"/>
              <w:jc w:val="left"/>
            </w:pPr>
            <w:r>
              <w:t xml:space="preserve">records</w:t>
            </w:r>
          </w:p>
        </w:tc>
        <w:tc>
          <w:tcPr/>
          <w:p>
            <w:pPr>
              <w:pStyle w:val="Compact"/>
              <w:jc w:val="right"/>
            </w:pPr>
            <w:r>
              <w:t xml:space="preserve">5</w:t>
            </w:r>
          </w:p>
        </w:tc>
        <w:tc>
          <w:tcPr/>
          <w:p>
            <w:pPr>
              <w:pStyle w:val="Compact"/>
              <w:jc w:val="right"/>
            </w:pPr>
            <w:r>
              <w:t xml:space="preserve">6</w:t>
            </w:r>
          </w:p>
        </w:tc>
        <w:tc>
          <w:tcPr/>
          <w:p>
            <w:pPr>
              <w:pStyle w:val="Compact"/>
              <w:jc w:val="right"/>
            </w:pPr>
            <w:r>
              <w:t xml:space="preserve">11</w:t>
            </w:r>
          </w:p>
        </w:tc>
        <w:tc>
          <w:tcPr/>
          <w:p>
            <w:pPr>
              <w:pStyle w:val="Compact"/>
              <w:jc w:val="right"/>
            </w:pPr>
            <w:r>
              <w:t xml:space="preserve">3,583</w:t>
            </w:r>
          </w:p>
        </w:tc>
        <w:tc>
          <w:tcPr/>
          <w:p>
            <w:pPr>
              <w:pStyle w:val="Compact"/>
              <w:jc w:val="right"/>
            </w:pPr>
            <w:r>
              <w:t xml:space="preserve">267</w:t>
            </w:r>
          </w:p>
        </w:tc>
        <w:tc>
          <w:tcPr/>
          <w:p>
            <w:pPr>
              <w:pStyle w:val="Compact"/>
              <w:jc w:val="right"/>
            </w:pPr>
            <w:r>
              <w:t xml:space="preserve">3,850</w:t>
            </w:r>
          </w:p>
        </w:tc>
      </w:tr>
      <w:tr>
        <w:tc>
          <w:tcPr/>
          <w:p>
            <w:pPr>
              <w:pStyle w:val="Compact"/>
              <w:jc w:val="left"/>
            </w:pPr>
            <w:r>
              <w:t xml:space="preserve">GBIF records</w:t>
            </w:r>
          </w:p>
        </w:tc>
        <w:tc>
          <w:tcPr/>
          <w:p>
            <w:pPr>
              <w:pStyle w:val="Compact"/>
              <w:jc w:val="left"/>
            </w:pPr>
            <w:r>
              <w:t xml:space="preserve">records</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11,889</w:t>
            </w:r>
          </w:p>
        </w:tc>
        <w:tc>
          <w:tcPr/>
          <w:p>
            <w:pPr>
              <w:pStyle w:val="Compact"/>
              <w:jc w:val="right"/>
            </w:pPr>
            <w:r>
              <w:t xml:space="preserve">399</w:t>
            </w:r>
          </w:p>
        </w:tc>
        <w:tc>
          <w:tcPr/>
          <w:p>
            <w:pPr>
              <w:pStyle w:val="Compact"/>
              <w:jc w:val="right"/>
            </w:pPr>
            <w:r>
              <w:t xml:space="preserve">12,288</w:t>
            </w:r>
          </w:p>
        </w:tc>
      </w:tr>
      <w:tr>
        <w:tc>
          <w:tcPr/>
          <w:p>
            <w:pPr>
              <w:pStyle w:val="Compact"/>
              <w:jc w:val="left"/>
            </w:pPr>
            <w:r>
              <w:t xml:space="preserve">iNaturalist observations</w:t>
            </w:r>
          </w:p>
        </w:tc>
        <w:tc>
          <w:tcPr/>
          <w:p>
            <w:pPr>
              <w:pStyle w:val="Compact"/>
              <w:jc w:val="left"/>
            </w:pPr>
            <w:r>
              <w:t xml:space="preserve">records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209</w:t>
            </w:r>
          </w:p>
        </w:tc>
        <w:tc>
          <w:tcPr/>
          <w:p>
            <w:pPr>
              <w:pStyle w:val="Compact"/>
              <w:jc w:val="right"/>
            </w:pPr>
            <w:r>
              <w:t xml:space="preserve">16</w:t>
            </w:r>
          </w:p>
        </w:tc>
        <w:tc>
          <w:tcPr/>
          <w:p>
            <w:pPr>
              <w:pStyle w:val="Compact"/>
              <w:jc w:val="right"/>
            </w:pPr>
            <w:r>
              <w:t xml:space="preserve">225</w:t>
            </w:r>
          </w:p>
        </w:tc>
      </w:tr>
      <w:tr>
        <w:tc>
          <w:tcPr/>
          <w:p>
            <w:pPr>
              <w:pStyle w:val="Compact"/>
              <w:jc w:val="left"/>
            </w:pPr>
            <w:r>
              <w:t xml:space="preserve">OBIS + GBIF 0.05° cells</w:t>
            </w:r>
          </w:p>
        </w:tc>
        <w:tc>
          <w:tcPr/>
          <w:p>
            <w:pPr>
              <w:pStyle w:val="Compact"/>
              <w:jc w:val="left"/>
            </w:pPr>
            <w:r>
              <w:t xml:space="preserve">0.05° cells</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1,613</w:t>
            </w:r>
          </w:p>
        </w:tc>
        <w:tc>
          <w:tcPr/>
          <w:p>
            <w:pPr>
              <w:pStyle w:val="Compact"/>
              <w:jc w:val="right"/>
            </w:pPr>
            <w:r>
              <w:t xml:space="preserve">119</w:t>
            </w:r>
          </w:p>
        </w:tc>
        <w:tc>
          <w:tcPr/>
          <w:p>
            <w:pPr>
              <w:pStyle w:val="Compact"/>
              <w:jc w:val="right"/>
            </w:pPr>
            <w:r>
              <w:t xml:space="preserve">1,732</w:t>
            </w:r>
          </w:p>
        </w:tc>
      </w:tr>
      <w:tr>
        <w:tc>
          <w:tcPr/>
          <w:p>
            <w:pPr>
              <w:pStyle w:val="Compact"/>
              <w:jc w:val="left"/>
            </w:pPr>
            <w:r>
              <w:t xml:space="preserve">confirmed sightings named by NOAA (2006)</w:t>
            </w:r>
          </w:p>
        </w:tc>
        <w:tc>
          <w:tcPr/>
          <w:p>
            <w:pPr>
              <w:pStyle w:val="Compact"/>
              <w:jc w:val="left"/>
            </w:pPr>
            <w:r>
              <w:t xml:space="preserve">sighting events</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OBIS SDM ensemble cells ≥ P10 threshold</w:t>
            </w:r>
          </w:p>
        </w:tc>
        <w:tc>
          <w:tcPr/>
          <w:p>
            <w:pPr>
              <w:pStyle w:val="Compact"/>
              <w:jc w:val="left"/>
            </w:pPr>
            <w:r>
              <w:t xml:space="preserve">0.05° cells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8,644</w:t>
            </w:r>
          </w:p>
        </w:tc>
        <w:tc>
          <w:tcPr/>
          <w:p>
            <w:pPr>
              <w:pStyle w:val="Compact"/>
              <w:jc w:val="right"/>
            </w:pPr>
            <w:r>
              <w:t xml:space="preserve">1,705</w:t>
            </w:r>
          </w:p>
        </w:tc>
        <w:tc>
          <w:tcPr/>
          <w:p>
            <w:pPr>
              <w:pStyle w:val="Compact"/>
              <w:jc w:val="right"/>
            </w:pPr>
            <w:r>
              <w:t xml:space="preserve">10,349</w:t>
            </w:r>
          </w:p>
        </w:tc>
      </w:tr>
      <w:tr>
        <w:tc>
          <w:tcPr/>
          <w:p>
            <w:pPr>
              <w:pStyle w:val="Compact"/>
              <w:jc w:val="left"/>
            </w:pPr>
            <w:r>
              <w:t xml:space="preserve">v7 input: IUCN range cells</w:t>
            </w:r>
          </w:p>
        </w:tc>
        <w:tc>
          <w:tcPr/>
          <w:p>
            <w:pPr>
              <w:pStyle w:val="Compact"/>
              <w:jc w:val="left"/>
            </w:pPr>
            <w:r>
              <w:t xml:space="preserve">v7 cells</w:t>
            </w:r>
          </w:p>
        </w:tc>
        <w:tc>
          <w:tcPr/>
          <w:p>
            <w:pPr>
              <w:pStyle w:val="Compact"/>
              <w:jc w:val="right"/>
            </w:pPr>
            <w:r>
              <w:t xml:space="preserve">5,626</w:t>
            </w:r>
          </w:p>
        </w:tc>
        <w:tc>
          <w:tcPr/>
          <w:p>
            <w:pPr>
              <w:pStyle w:val="Compact"/>
              <w:jc w:val="right"/>
            </w:pPr>
            <w:r>
              <w:t xml:space="preserve">7,291</w:t>
            </w:r>
          </w:p>
        </w:tc>
        <w:tc>
          <w:tcPr/>
          <w:p>
            <w:pPr>
              <w:pStyle w:val="Compact"/>
              <w:jc w:val="right"/>
            </w:pPr>
            <w:r>
              <w:t xml:space="preserve">12,917</w:t>
            </w:r>
          </w:p>
        </w:tc>
        <w:tc>
          <w:tcPr/>
          <w:p>
            <w:pPr>
              <w:pStyle w:val="Compact"/>
              <w:jc w:val="right"/>
            </w:pPr>
            <w:r>
              <w:t xml:space="preserve">25,286</w:t>
            </w:r>
          </w:p>
        </w:tc>
        <w:tc>
          <w:tcPr/>
          <w:p>
            <w:pPr>
              <w:pStyle w:val="Compact"/>
              <w:jc w:val="right"/>
            </w:pPr>
            <w:r>
              <w:t xml:space="preserve">19,397</w:t>
            </w:r>
          </w:p>
        </w:tc>
        <w:tc>
          <w:tcPr/>
          <w:p>
            <w:pPr>
              <w:pStyle w:val="Compact"/>
              <w:jc w:val="right"/>
            </w:pPr>
            <w:r>
              <w:t xml:space="preserve">44,683</w:t>
            </w:r>
          </w:p>
        </w:tc>
      </w:tr>
      <w:tr>
        <w:tc>
          <w:tcPr/>
          <w:p>
            <w:pPr>
              <w:pStyle w:val="Compact"/>
              <w:jc w:val="left"/>
            </w:pPr>
            <w:r>
              <w:t xml:space="preserve">v7 input: AquaMaps cells</w:t>
            </w:r>
          </w:p>
        </w:tc>
        <w:tc>
          <w:tcPr/>
          <w:p>
            <w:pPr>
              <w:pStyle w:val="Compact"/>
              <w:jc w:val="left"/>
            </w:pPr>
            <w:r>
              <w:t xml:space="preserve">v7 cells</w:t>
            </w:r>
          </w:p>
        </w:tc>
        <w:tc>
          <w:tcPr/>
          <w:p>
            <w:pPr>
              <w:pStyle w:val="Compact"/>
              <w:jc w:val="right"/>
            </w:pPr>
            <w:r>
              <w:t xml:space="preserve">9,412</w:t>
            </w:r>
          </w:p>
        </w:tc>
        <w:tc>
          <w:tcPr/>
          <w:p>
            <w:pPr>
              <w:pStyle w:val="Compact"/>
              <w:jc w:val="right"/>
            </w:pPr>
            <w:r>
              <w:t xml:space="preserve">9,134</w:t>
            </w:r>
          </w:p>
        </w:tc>
        <w:tc>
          <w:tcPr/>
          <w:p>
            <w:pPr>
              <w:pStyle w:val="Compact"/>
              <w:jc w:val="right"/>
            </w:pPr>
            <w:r>
              <w:t xml:space="preserve">18,546</w:t>
            </w:r>
          </w:p>
        </w:tc>
        <w:tc>
          <w:tcPr/>
          <w:p>
            <w:pPr>
              <w:pStyle w:val="Compact"/>
              <w:jc w:val="right"/>
            </w:pPr>
            <w:r>
              <w:t xml:space="preserve">18,677</w:t>
            </w:r>
          </w:p>
        </w:tc>
        <w:tc>
          <w:tcPr/>
          <w:p>
            <w:pPr>
              <w:pStyle w:val="Compact"/>
              <w:jc w:val="right"/>
            </w:pPr>
            <w:r>
              <w:t xml:space="preserve">14,524</w:t>
            </w:r>
          </w:p>
        </w:tc>
        <w:tc>
          <w:tcPr/>
          <w:p>
            <w:pPr>
              <w:pStyle w:val="Compact"/>
              <w:jc w:val="right"/>
            </w:pPr>
            <w:r>
              <w:t xml:space="preserve">33,201</w:t>
            </w:r>
          </w:p>
        </w:tc>
      </w:tr>
      <w:tr>
        <w:tc>
          <w:tcPr/>
          <w:p>
            <w:pPr>
              <w:pStyle w:val="Compact"/>
              <w:jc w:val="left"/>
            </w:pPr>
            <w:r>
              <w:t xml:space="preserve">v7 input: critical habitat cells</w:t>
            </w:r>
          </w:p>
        </w:tc>
        <w:tc>
          <w:tcPr/>
          <w:p>
            <w:pPr>
              <w:pStyle w:val="Compact"/>
              <w:jc w:val="left"/>
            </w:pPr>
            <w:r>
              <w:t xml:space="preserve">v7 cells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3,055</w:t>
            </w:r>
          </w:p>
        </w:tc>
        <w:tc>
          <w:tcPr/>
          <w:p>
            <w:pPr>
              <w:pStyle w:val="Compact"/>
              <w:jc w:val="right"/>
            </w:pPr>
            <w:r>
              <w:t xml:space="preserve">1,015</w:t>
            </w:r>
          </w:p>
        </w:tc>
        <w:tc>
          <w:tcPr/>
          <w:p>
            <w:pPr>
              <w:pStyle w:val="Compact"/>
              <w:jc w:val="right"/>
            </w:pPr>
            <w:r>
              <w:t xml:space="preserve">4,070</w:t>
            </w:r>
          </w:p>
        </w:tc>
      </w:tr>
      <w:tr>
        <w:tc>
          <w:tcPr/>
          <w:p>
            <w:pPr>
              <w:pStyle w:val="Compact"/>
              <w:jc w:val="left"/>
            </w:pPr>
            <w:r>
              <w:t xml:space="preserve">v7 merged model cells</w:t>
            </w:r>
          </w:p>
        </w:tc>
        <w:tc>
          <w:tcPr/>
          <w:p>
            <w:pPr>
              <w:pStyle w:val="Compact"/>
              <w:jc w:val="left"/>
            </w:pPr>
            <w:r>
              <w:t xml:space="preserve">v7 cells</w:t>
            </w:r>
          </w:p>
        </w:tc>
        <w:tc>
          <w:tcPr/>
          <w:p>
            <w:pPr>
              <w:pStyle w:val="Compact"/>
              <w:jc w:val="right"/>
            </w:pPr>
            <w:r>
              <w:t xml:space="preserve">5,626</w:t>
            </w:r>
          </w:p>
        </w:tc>
        <w:tc>
          <w:tcPr/>
          <w:p>
            <w:pPr>
              <w:pStyle w:val="Compact"/>
              <w:jc w:val="right"/>
            </w:pPr>
            <w:r>
              <w:t xml:space="preserve">7,291</w:t>
            </w:r>
          </w:p>
        </w:tc>
        <w:tc>
          <w:tcPr/>
          <w:p>
            <w:pPr>
              <w:pStyle w:val="Compact"/>
              <w:jc w:val="right"/>
            </w:pPr>
            <w:r>
              <w:t xml:space="preserve">12,917</w:t>
            </w:r>
          </w:p>
        </w:tc>
        <w:tc>
          <w:tcPr/>
          <w:p>
            <w:pPr>
              <w:pStyle w:val="Compact"/>
              <w:jc w:val="right"/>
            </w:pPr>
            <w:r>
              <w:t xml:space="preserve">25,286</w:t>
            </w:r>
          </w:p>
        </w:tc>
        <w:tc>
          <w:tcPr/>
          <w:p>
            <w:pPr>
              <w:pStyle w:val="Compact"/>
              <w:jc w:val="right"/>
            </w:pPr>
            <w:r>
              <w:t xml:space="preserve">19,397</w:t>
            </w:r>
          </w:p>
        </w:tc>
        <w:tc>
          <w:tcPr/>
          <w:p>
            <w:pPr>
              <w:pStyle w:val="Compact"/>
              <w:jc w:val="right"/>
            </w:pPr>
            <w:r>
              <w:t xml:space="preserve">44,683</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9" w:name="fig-v7c-right-whale"/>
          <w:p>
            <w:pPr>
              <w:pStyle w:val="Compact"/>
              <w:jc w:val="center"/>
            </w:pPr>
            <w:r>
              <w:drawing>
                <wp:inline>
                  <wp:extent cx="5334000" cy="4364181"/>
                  <wp:effectExtent b="0" l="0" r="0" t="0"/>
                  <wp:docPr descr="" title="" id="157" name="Picture"/>
                  <a:graphic>
                    <a:graphicData uri="http://schemas.openxmlformats.org/drawingml/2006/picture">
                      <pic:pic>
                        <pic:nvPicPr>
                          <pic:cNvPr descr="releases/../figures/v7c/right_whale_records.png" id="158" name="Picture"/>
                          <pic:cNvPicPr>
                            <a:picLocks noChangeArrowheads="1" noChangeAspect="1"/>
                          </pic:cNvPicPr>
                        </pic:nvPicPr>
                        <pic:blipFill>
                          <a:blip r:embed="rId156"/>
                          <a:stretch>
                            <a:fillRect/>
                          </a:stretch>
                        </pic:blipFill>
                        <pic:spPr bwMode="auto">
                          <a:xfrm>
                            <a:off x="0" y="0"/>
                            <a:ext cx="5334000" cy="43641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4.7: The North Atlantic right whale in v7: its inputs and its record. Top: the IUCN range (flat value 50) and AquaMaps suitability, both reaching into the Gulf of America (ecoregions outlined in red). Bottom left: NMFS critical habitat, Atlantic only. Bottom right: OBIS records and OBIS + GBIF cells — thousands along the Atlantic coast, a handful in the Gulf.</w:t>
            </w:r>
          </w:p>
          <w:bookmarkEnd w:id="159"/>
        </w:tc>
      </w:tr>
    </w:tbl>
    <w:bookmarkEnd w:id="160"/>
    <w:bookmarkStart w:id="165" w:name="sec-v7c-links"/>
    <w:p>
      <w:pPr>
        <w:pStyle w:val="Heading3"/>
      </w:pPr>
      <w:r>
        <w:t xml:space="preserve">4.3.6 Interactive map and the rendered notebooks</w:t>
      </w:r>
    </w:p>
    <w:p>
      <w:pPr>
        <w:pStyle w:val="FirstParagraph"/>
      </w:pPr>
      <w:r>
        <w:t xml:space="preserve">The evidence notebook’s</w:t>
      </w:r>
      <w:r>
        <w:t xml:space="preserve"> </w:t>
      </w:r>
      <w:hyperlink r:id="rId161">
        <w:r>
          <w:rPr>
            <w:rStyle w:val="Hyperlink"/>
          </w:rPr>
          <w:t xml:space="preserve">interactive map</w:t>
        </w:r>
      </w:hyperlink>
      <w:r>
        <w:t xml:space="preserve"> </w:t>
      </w:r>
      <w:r>
        <w:t xml:space="preserve">overlays the v7 turtle range (species per cell), the right whale’s v7 range, the excluded ecoregions and the records by channel, with layers toggled at the top right.</w:t>
      </w:r>
    </w:p>
    <w:p>
      <w:pPr>
        <w:pStyle w:val="Compact"/>
        <w:numPr>
          <w:ilvl w:val="0"/>
          <w:numId w:val="1011"/>
        </w:numPr>
      </w:pPr>
      <w:hyperlink r:id="rId162">
        <w:r>
          <w:rPr>
            <w:rStyle w:val="Hyperlink"/>
          </w:rPr>
          <w:t xml:space="preserve">Evidence for v7c</w:t>
        </w:r>
      </w:hyperlink>
      <w:r>
        <w:t xml:space="preserve"> </w:t>
      </w:r>
      <w:r>
        <w:t xml:space="preserve">(</w:t>
      </w:r>
      <w:r>
        <w:rPr>
          <w:rStyle w:val="VerbatimChar"/>
        </w:rPr>
        <w:t xml:space="preserve">build_v7c_exclusions.qmd</w:t>
      </w:r>
      <w:r>
        <w:t xml:space="preserve">): every channel, the per-species × ecoregion × channel table, the exclusion table and its assertions, and the maps.</w:t>
      </w:r>
    </w:p>
    <w:p>
      <w:pPr>
        <w:pStyle w:val="Compact"/>
        <w:numPr>
          <w:ilvl w:val="0"/>
          <w:numId w:val="1011"/>
        </w:numPr>
      </w:pPr>
      <w:hyperlink r:id="rId163">
        <w:r>
          <w:rPr>
            <w:rStyle w:val="Hyperlink"/>
          </w:rPr>
          <w:t xml:space="preserve">Build v7.2</w:t>
        </w:r>
      </w:hyperlink>
      <w:r>
        <w:t xml:space="preserve"> </w:t>
      </w:r>
      <w:r>
        <w:t xml:space="preserve">(</w:t>
      </w:r>
      <w:r>
        <w:rPr>
          <w:rStyle w:val="VerbatimChar"/>
        </w:rPr>
        <w:t xml:space="preserve">build_v7c.qmd</w:t>
      </w:r>
      <w:r>
        <w:t xml:space="preserve">): the clone, the exclusions, the control runs, the gates, the Program-Area attribution and the reference digests.</w:t>
      </w:r>
    </w:p>
    <w:p>
      <w:pPr>
        <w:pStyle w:val="Compact"/>
        <w:numPr>
          <w:ilvl w:val="0"/>
          <w:numId w:val="1011"/>
        </w:numPr>
      </w:pPr>
      <w:hyperlink r:id="rId164">
        <w:r>
          <w:rPr>
            <w:rStyle w:val="Hyperlink"/>
          </w:rPr>
          <w:t xml:space="preserve">Sea turtles in Alaska: encounter rates</w:t>
        </w:r>
      </w:hyperlink>
      <w:r>
        <w:t xml:space="preserve"> </w:t>
      </w:r>
      <w:r>
        <w:t xml:space="preserve">(</w:t>
      </w:r>
      <w:r>
        <w:rPr>
          <w:rStyle w:val="VerbatimChar"/>
        </w:rPr>
        <w:t xml:space="preserve">explore_turtle-alaska-encounter.qmd</w:t>
      </w:r>
      <w:r>
        <w:t xml:space="preserve">): the encounter-rate weight (</w:t>
      </w:r>
      <w:hyperlink w:anchor="eq-v7c-weight">
        <w:r>
          <w:rPr>
            <w:rStyle w:val="Hyperlink"/>
          </w:rPr>
          <w:t xml:space="preserve">Equation 4.6</w:t>
        </w:r>
      </w:hyperlink>
      <w:r>
        <w:t xml:space="preserve">), the four lines of evidence with their posterior intervals, and why the rule became a drop.</w:t>
      </w:r>
    </w:p>
    <w:bookmarkEnd w:id="165"/>
    <w:bookmarkEnd w:id="166"/>
    <w:bookmarkStart w:id="167" w:name="what-changes-on-the-map"/>
    <w:p>
      <w:pPr>
        <w:pStyle w:val="Heading2"/>
      </w:pPr>
      <w:r>
        <w:t xml:space="preserve">4.4 What changes on the map</w:t>
      </w:r>
    </w:p>
    <w:p>
      <w:pPr>
        <w:pStyle w:val="TableCaption"/>
      </w:pPr>
      <w:r>
        <w:t xml:space="preserve">The exclusion table v7c applies (</w:t>
      </w:r>
      <w:r>
        <w:rPr>
          <w:rStyle w:val="VerbatimChar"/>
        </w:rPr>
        <w:t xml:space="preserve">zone_exclusions.csv</w:t>
      </w:r>
      <w:r>
        <w:t xml:space="preserve">): one row per species × ecoregion, with the v7 cells removed. A turtle row has zero records on every channel that reaches the ecoregion; the right whale’s records are OBIS + GBIF counts of vagrants. Cells elsewhere keep their v7 values.</w:t>
      </w:r>
    </w:p>
    <w:tbl>
      <w:tblPr>
        <w:tblStyle w:val="Table"/>
        <w:tblW w:type="pct" w:w="5000"/>
        <w:tblLayout w:type="fixed"/>
        <w:tblLook w:firstRow="1" w:lastRow="0" w:firstColumn="0" w:lastColumn="0" w:noHBand="0" w:noVBand="0" w:val="0020"/>
        <w:tblCaption w:val="The exclusion table v7c applies (zone_exclusions.csv): one row per species × ecoregion, with the v7 cells removed. A turtle row has zero records on every channel that reaches the ecoregion; the right whale’s records are OBIS + GBIF counts of vagrants. Cells elsewhere keep their v7 values."/>
      </w:tblPr>
      <w:tblGrid>
        <w:gridCol w:w="1485"/>
        <w:gridCol w:w="2420"/>
        <w:gridCol w:w="935"/>
        <w:gridCol w:w="1375"/>
        <w:gridCol w:w="1705"/>
      </w:tblGrid>
      <w:tr>
        <w:trPr>
          <w:tblHeader w:val="on"/>
        </w:trPr>
        <w:tc>
          <w:tcPr/>
          <w:p>
            <w:pPr>
              <w:pStyle w:val="Compact"/>
              <w:jc w:val="left"/>
            </w:pPr>
            <w:r>
              <w:t xml:space="preserve">Species</w:t>
            </w:r>
          </w:p>
        </w:tc>
        <w:tc>
          <w:tcPr/>
          <w:p>
            <w:pPr>
              <w:pStyle w:val="Compact"/>
              <w:jc w:val="left"/>
            </w:pPr>
            <w:r>
              <w:t xml:space="preserve">Ecoregion</w:t>
            </w:r>
          </w:p>
        </w:tc>
        <w:tc>
          <w:tcPr/>
          <w:p>
            <w:pPr>
              <w:pStyle w:val="Compact"/>
              <w:jc w:val="right"/>
            </w:pPr>
            <w:r>
              <w:t xml:space="preserve">v7 cells removed</w:t>
            </w:r>
          </w:p>
        </w:tc>
        <w:tc>
          <w:tcPr/>
          <w:p>
            <w:pPr>
              <w:pStyle w:val="Compact"/>
              <w:jc w:val="right"/>
            </w:pPr>
            <w:r>
              <w:t xml:space="preserve">Records in the ecoregion</w:t>
            </w:r>
          </w:p>
        </w:tc>
        <w:tc>
          <w:tcPr/>
          <w:p>
            <w:pPr>
              <w:pStyle w:val="Compact"/>
              <w:jc w:val="left"/>
            </w:pPr>
            <w:r>
              <w:t xml:space="preserve">Reason</w:t>
            </w:r>
          </w:p>
        </w:tc>
      </w:tr>
      <w:tr>
        <w:tc>
          <w:tcPr/>
          <w:p>
            <w:pPr>
              <w:pStyle w:val="Compact"/>
              <w:jc w:val="left"/>
            </w:pPr>
            <w:r>
              <w:t xml:space="preserve">Loggerhead</w:t>
            </w:r>
          </w:p>
        </w:tc>
        <w:tc>
          <w:tcPr/>
          <w:p>
            <w:pPr>
              <w:pStyle w:val="Compact"/>
              <w:jc w:val="left"/>
            </w:pPr>
            <w:r>
              <w:t xml:space="preserve">East Bering Sea (EBS)</w:t>
            </w:r>
          </w:p>
        </w:tc>
        <w:tc>
          <w:tcPr/>
          <w:p>
            <w:pPr>
              <w:pStyle w:val="Compact"/>
              <w:jc w:val="right"/>
            </w:pPr>
            <w:r>
              <w:t xml:space="preserve">38,064</w:t>
            </w:r>
          </w:p>
        </w:tc>
        <w:tc>
          <w:tcPr/>
          <w:p>
            <w:pPr>
              <w:pStyle w:val="Compact"/>
              <w:jc w:val="right"/>
            </w:pPr>
            <w:r>
              <w:t xml:space="preserve">0</w:t>
            </w:r>
          </w:p>
        </w:tc>
        <w:tc>
          <w:tcPr/>
          <w:p>
            <w:pPr>
              <w:pStyle w:val="Compact"/>
              <w:jc w:val="left"/>
            </w:pPr>
            <w:r>
              <w:t xml:space="preserve">never recorded</w:t>
            </w:r>
          </w:p>
        </w:tc>
      </w:tr>
      <w:tr>
        <w:tc>
          <w:tcPr/>
          <w:p>
            <w:pPr>
              <w:pStyle w:val="Compact"/>
              <w:jc w:val="left"/>
            </w:pPr>
            <w:r>
              <w:t xml:space="preserve">Green</w:t>
            </w:r>
          </w:p>
        </w:tc>
        <w:tc>
          <w:tcPr/>
          <w:p>
            <w:pPr>
              <w:pStyle w:val="Compact"/>
              <w:jc w:val="left"/>
            </w:pPr>
            <w:r>
              <w:t xml:space="preserve">East Bering Sea (EBS)</w:t>
            </w:r>
          </w:p>
        </w:tc>
        <w:tc>
          <w:tcPr/>
          <w:p>
            <w:pPr>
              <w:pStyle w:val="Compact"/>
              <w:jc w:val="right"/>
            </w:pPr>
            <w:r>
              <w:t xml:space="preserve">39,228</w:t>
            </w:r>
          </w:p>
        </w:tc>
        <w:tc>
          <w:tcPr/>
          <w:p>
            <w:pPr>
              <w:pStyle w:val="Compact"/>
              <w:jc w:val="right"/>
            </w:pPr>
            <w:r>
              <w:t xml:space="preserve">0</w:t>
            </w:r>
          </w:p>
        </w:tc>
        <w:tc>
          <w:tcPr/>
          <w:p>
            <w:pPr>
              <w:pStyle w:val="Compact"/>
              <w:jc w:val="left"/>
            </w:pPr>
            <w:r>
              <w:t xml:space="preserve">never recorded</w:t>
            </w:r>
          </w:p>
        </w:tc>
      </w:tr>
      <w:tr>
        <w:tc>
          <w:tcPr/>
          <w:p>
            <w:pPr>
              <w:pStyle w:val="Compact"/>
              <w:jc w:val="left"/>
            </w:pPr>
            <w:r>
              <w:t xml:space="preserve">Leatherback</w:t>
            </w:r>
          </w:p>
        </w:tc>
        <w:tc>
          <w:tcPr/>
          <w:p>
            <w:pPr>
              <w:pStyle w:val="Compact"/>
              <w:jc w:val="left"/>
            </w:pPr>
            <w:r>
              <w:t xml:space="preserve">East Bering Sea (EBS)</w:t>
            </w:r>
          </w:p>
        </w:tc>
        <w:tc>
          <w:tcPr/>
          <w:p>
            <w:pPr>
              <w:pStyle w:val="Compact"/>
              <w:jc w:val="right"/>
            </w:pPr>
            <w:r>
              <w:t xml:space="preserve">39,959</w:t>
            </w:r>
          </w:p>
        </w:tc>
        <w:tc>
          <w:tcPr/>
          <w:p>
            <w:pPr>
              <w:pStyle w:val="Compact"/>
              <w:jc w:val="right"/>
            </w:pPr>
            <w:r>
              <w:t xml:space="preserve">0</w:t>
            </w:r>
          </w:p>
        </w:tc>
        <w:tc>
          <w:tcPr/>
          <w:p>
            <w:pPr>
              <w:pStyle w:val="Compact"/>
              <w:jc w:val="left"/>
            </w:pPr>
            <w:r>
              <w:t xml:space="preserve">never recorded</w:t>
            </w:r>
          </w:p>
        </w:tc>
      </w:tr>
      <w:tr>
        <w:tc>
          <w:tcPr/>
          <w:p>
            <w:pPr>
              <w:pStyle w:val="Compact"/>
              <w:jc w:val="left"/>
            </w:pPr>
            <w:r>
              <w:t xml:space="preserve">Olive ridley</w:t>
            </w:r>
          </w:p>
        </w:tc>
        <w:tc>
          <w:tcPr/>
          <w:p>
            <w:pPr>
              <w:pStyle w:val="Compact"/>
              <w:jc w:val="left"/>
            </w:pPr>
            <w:r>
              <w:t xml:space="preserve">East Bering Sea (EBS)</w:t>
            </w:r>
          </w:p>
        </w:tc>
        <w:tc>
          <w:tcPr/>
          <w:p>
            <w:pPr>
              <w:pStyle w:val="Compact"/>
              <w:jc w:val="right"/>
            </w:pPr>
            <w:r>
              <w:t xml:space="preserve">24,228</w:t>
            </w:r>
          </w:p>
        </w:tc>
        <w:tc>
          <w:tcPr/>
          <w:p>
            <w:pPr>
              <w:pStyle w:val="Compact"/>
              <w:jc w:val="right"/>
            </w:pPr>
            <w:r>
              <w:t xml:space="preserve">0</w:t>
            </w:r>
          </w:p>
        </w:tc>
        <w:tc>
          <w:tcPr/>
          <w:p>
            <w:pPr>
              <w:pStyle w:val="Compact"/>
              <w:jc w:val="left"/>
            </w:pPr>
            <w:r>
              <w:t xml:space="preserve">never recorded</w:t>
            </w:r>
          </w:p>
        </w:tc>
      </w:tr>
      <w:tr>
        <w:tc>
          <w:tcPr/>
          <w:p>
            <w:pPr>
              <w:pStyle w:val="Compact"/>
              <w:jc w:val="left"/>
            </w:pPr>
            <w:r>
              <w:t xml:space="preserve">North Atlantic right whale</w:t>
            </w:r>
          </w:p>
        </w:tc>
        <w:tc>
          <w:tcPr/>
          <w:p>
            <w:pPr>
              <w:pStyle w:val="Compact"/>
              <w:jc w:val="left"/>
            </w:pPr>
            <w:r>
              <w:t xml:space="preserve">Eastern Gulf of America (EGOA)</w:t>
            </w:r>
          </w:p>
        </w:tc>
        <w:tc>
          <w:tcPr/>
          <w:p>
            <w:pPr>
              <w:pStyle w:val="Compact"/>
              <w:jc w:val="right"/>
            </w:pPr>
            <w:r>
              <w:t xml:space="preserve">5,626</w:t>
            </w:r>
          </w:p>
        </w:tc>
        <w:tc>
          <w:tcPr/>
          <w:p>
            <w:pPr>
              <w:pStyle w:val="Compact"/>
              <w:jc w:val="right"/>
            </w:pPr>
            <w:r>
              <w:t xml:space="preserve">6</w:t>
            </w:r>
          </w:p>
        </w:tc>
        <w:tc>
          <w:tcPr/>
          <w:p>
            <w:pPr>
              <w:pStyle w:val="Compact"/>
              <w:jc w:val="left"/>
            </w:pPr>
            <w:r>
              <w:t xml:space="preserve">outside range: Gulf of America</w:t>
            </w:r>
          </w:p>
        </w:tc>
      </w:tr>
      <w:tr>
        <w:tc>
          <w:tcPr/>
          <w:p>
            <w:pPr>
              <w:pStyle w:val="Compact"/>
              <w:jc w:val="left"/>
            </w:pPr>
            <w:r>
              <w:t xml:space="preserve">North Atlantic right whale</w:t>
            </w:r>
          </w:p>
        </w:tc>
        <w:tc>
          <w:tcPr/>
          <w:p>
            <w:pPr>
              <w:pStyle w:val="Compact"/>
              <w:jc w:val="left"/>
            </w:pPr>
            <w:r>
              <w:t xml:space="preserve">Western and Central Gulf of America (WCGOA)</w:t>
            </w:r>
          </w:p>
        </w:tc>
        <w:tc>
          <w:tcPr/>
          <w:p>
            <w:pPr>
              <w:pStyle w:val="Compact"/>
              <w:jc w:val="right"/>
            </w:pPr>
            <w:r>
              <w:t xml:space="preserve">7,291</w:t>
            </w:r>
          </w:p>
        </w:tc>
        <w:tc>
          <w:tcPr/>
          <w:p>
            <w:pPr>
              <w:pStyle w:val="Compact"/>
              <w:jc w:val="right"/>
            </w:pPr>
            <w:r>
              <w:t xml:space="preserve">8</w:t>
            </w:r>
          </w:p>
        </w:tc>
        <w:tc>
          <w:tcPr/>
          <w:p>
            <w:pPr>
              <w:pStyle w:val="Compact"/>
              <w:jc w:val="left"/>
            </w:pPr>
            <w:r>
              <w:t xml:space="preserve">outside range: Gulf of America</w:t>
            </w:r>
          </w:p>
        </w:tc>
      </w:tr>
    </w:tbl>
    <w:p>
      <w:pPr>
        <w:pStyle w:val="BodyText"/>
      </w:pPr>
      <w:r>
        <w:t xml:space="preserve">On the map, the four turtle species disappear from the East Bering Sea, along the Aleutians and the Bering shelf, and remain in the Gulf of Alaska and everywhere south at their v7 values. The right whale disappears from the Gulf of America and remains along the Atlantic coast at its v7 values.</w:t>
      </w:r>
    </w:p>
    <w:bookmarkEnd w:id="167"/>
    <w:bookmarkStart w:id="168" w:name="what-moved-in-the-program-area-scores"/>
    <w:p>
      <w:pPr>
        <w:pStyle w:val="Heading2"/>
      </w:pPr>
      <w:r>
        <w:t xml:space="preserve">4.5 What moved in the Program-Area scores</w:t>
      </w:r>
    </w:p>
    <w:p>
      <w:pPr>
        <w:pStyle w:val="FirstParagraph"/>
      </w:pPr>
      <w:r>
        <w:t xml:space="preserve">Scores move only where a rule removes cells, and the build’s attribution table splits each move between the rules. The composite is the equally weighted mean of the reportable components (</w:t>
      </w:r>
      <w:hyperlink w:anchor="sec-scoring">
        <w:r>
          <w:rPr>
            <w:rStyle w:val="Hyperlink"/>
          </w:rPr>
          <w:t xml:space="preserve">Chapter 10</w:t>
        </w:r>
      </w:hyperlink>
      <w:r>
        <w:t xml:space="preserve">).</w:t>
      </w:r>
    </w:p>
    <w:p>
      <w:pPr>
        <w:pStyle w:val="TableCaption"/>
      </w:pPr>
      <w:r>
        <w:t xml:space="preserve">Composite score per Program Area: v7, each rule on its own, and v7c (</w:t>
      </w:r>
      <w:r>
        <w:rPr>
          <w:rStyle w:val="VerbatimChar"/>
        </w:rPr>
        <w:t xml:space="preserve">tbl_attribution_programarea_v7c.csv</w:t>
      </w:r>
      <w:r>
        <w:t xml:space="preserve">), with v7b beside it (</w:t>
      </w:r>
      <w:r>
        <w:rPr>
          <w:rStyle w:val="VerbatimChar"/>
        </w:rPr>
        <w:t xml:space="preserve">tbl_attribution_programarea_v7b.csv</w:t>
      </w:r>
      <w:r>
        <w:t xml:space="preserve">). Ranks are among the 20 Program Areas, highest first; ties share a rank. Bold marks a change from v7.</w:t>
      </w:r>
    </w:p>
    <w:tbl>
      <w:tblPr>
        <w:tblStyle w:val="Table"/>
        <w:tblW w:type="pct" w:w="5000"/>
        <w:tblLayout w:type="fixed"/>
        <w:tblLook w:firstRow="1" w:lastRow="0" w:firstColumn="0" w:lastColumn="0" w:noHBand="0" w:noVBand="0" w:val="0020"/>
        <w:tblCaption w:val="Composite score per Program Area: v7, each rule on its own, and v7c (tbl_attribution_programarea_v7c.csv), with v7b beside it (tbl_attribution_programarea_v7b.csv). Ranks are among the 20 Program Areas, highest first; ties share a rank. Bold marks a change from v7."/>
      </w:tblPr>
      <w:tblGrid>
        <w:gridCol w:w="2203"/>
        <w:gridCol w:w="297"/>
        <w:gridCol w:w="1012"/>
        <w:gridCol w:w="1310"/>
        <w:gridCol w:w="416"/>
        <w:gridCol w:w="535"/>
        <w:gridCol w:w="655"/>
        <w:gridCol w:w="833"/>
        <w:gridCol w:w="655"/>
      </w:tblGrid>
      <w:tr>
        <w:trPr>
          <w:tblHeader w:val="on"/>
        </w:trPr>
        <w:tc>
          <w:tcPr/>
          <w:p>
            <w:pPr>
              <w:pStyle w:val="Compact"/>
              <w:jc w:val="left"/>
            </w:pPr>
            <w:r>
              <w:t xml:space="preserve">Program Area</w:t>
            </w:r>
          </w:p>
        </w:tc>
        <w:tc>
          <w:tcPr/>
          <w:p>
            <w:pPr>
              <w:pStyle w:val="Compact"/>
              <w:jc w:val="right"/>
            </w:pPr>
            <w:r>
              <w:t xml:space="preserve">v7</w:t>
            </w:r>
          </w:p>
        </w:tc>
        <w:tc>
          <w:tcPr/>
          <w:p>
            <w:pPr>
              <w:pStyle w:val="Compact"/>
              <w:jc w:val="right"/>
            </w:pPr>
            <w:r>
              <w:t xml:space="preserve">record rule only</w:t>
            </w:r>
          </w:p>
        </w:tc>
        <w:tc>
          <w:tcPr/>
          <w:p>
            <w:pPr>
              <w:pStyle w:val="Compact"/>
              <w:jc w:val="right"/>
            </w:pPr>
            <w:r>
              <w:t xml:space="preserve">right whale rule only</w:t>
            </w:r>
          </w:p>
        </w:tc>
        <w:tc>
          <w:tcPr/>
          <w:p>
            <w:pPr>
              <w:pStyle w:val="Compact"/>
              <w:jc w:val="right"/>
            </w:pPr>
            <w:r>
              <w:t xml:space="preserve">κ only</w:t>
            </w:r>
          </w:p>
        </w:tc>
        <w:tc>
          <w:tcPr/>
          <w:p>
            <w:pPr>
              <w:pStyle w:val="Compact"/>
              <w:jc w:val="right"/>
            </w:pPr>
            <w:r>
              <w:t xml:space="preserve">v7c</w:t>
            </w:r>
          </w:p>
        </w:tc>
        <w:tc>
          <w:tcPr/>
          <w:p>
            <w:pPr>
              <w:pStyle w:val="Compact"/>
              <w:jc w:val="right"/>
            </w:pPr>
            <w:r>
              <w:t xml:space="preserve">Δ v7c − v7</w:t>
            </w:r>
          </w:p>
        </w:tc>
        <w:tc>
          <w:tcPr/>
          <w:p>
            <w:pPr>
              <w:pStyle w:val="Compact"/>
              <w:jc w:val="right"/>
            </w:pPr>
            <w:r>
              <w:t xml:space="preserve">rank v7 → v7c</w:t>
            </w:r>
          </w:p>
        </w:tc>
        <w:tc>
          <w:tcPr/>
          <w:p>
            <w:pPr>
              <w:pStyle w:val="Compact"/>
              <w:jc w:val="right"/>
            </w:pPr>
            <w:r>
              <w:t xml:space="preserve">v7b (rank)</w:t>
            </w:r>
          </w:p>
        </w:tc>
      </w:tr>
      <w:tr>
        <w:tc>
          <w:tcPr/>
          <w:p>
            <w:pPr>
              <w:pStyle w:val="Compact"/>
              <w:jc w:val="left"/>
            </w:pPr>
            <w:r>
              <w:t xml:space="preserve">Aleutian Arc (ALA)</w:t>
            </w:r>
          </w:p>
        </w:tc>
        <w:tc>
          <w:tcPr/>
          <w:p>
            <w:pPr>
              <w:pStyle w:val="Compact"/>
              <w:jc w:val="right"/>
            </w:pPr>
            <w:r>
              <w:t xml:space="preserve">28.3</w:t>
            </w:r>
          </w:p>
        </w:tc>
        <w:tc>
          <w:tcPr/>
          <w:p>
            <w:pPr>
              <w:pStyle w:val="Compact"/>
              <w:jc w:val="right"/>
            </w:pPr>
            <w:r>
              <w:t xml:space="preserve">19.5</w:t>
            </w:r>
          </w:p>
        </w:tc>
        <w:tc>
          <w:tcPr/>
          <w:p>
            <w:pPr>
              <w:pStyle w:val="Compact"/>
              <w:jc w:val="right"/>
            </w:pPr>
            <w:r>
              <w:t xml:space="preserve">28.3</w:t>
            </w:r>
          </w:p>
        </w:tc>
        <w:tc>
          <w:tcPr/>
          <w:p>
            <w:pPr>
              <w:pStyle w:val="Compact"/>
              <w:jc w:val="right"/>
            </w:pPr>
            <w:r>
              <w:t xml:space="preserve">28.3</w:t>
            </w:r>
          </w:p>
        </w:tc>
        <w:tc>
          <w:tcPr/>
          <w:p>
            <w:pPr>
              <w:pStyle w:val="Compact"/>
              <w:jc w:val="right"/>
            </w:pPr>
            <w:r>
              <w:rPr>
                <w:b/>
                <w:bCs/>
              </w:rPr>
              <w:t xml:space="preserve">22.3</w:t>
            </w:r>
          </w:p>
        </w:tc>
        <w:tc>
          <w:tcPr/>
          <w:p>
            <w:pPr>
              <w:pStyle w:val="Compact"/>
              <w:jc w:val="right"/>
            </w:pPr>
            <w:r>
              <w:t xml:space="preserve">-6.0</w:t>
            </w:r>
          </w:p>
        </w:tc>
        <w:tc>
          <w:tcPr/>
          <w:p>
            <w:pPr>
              <w:pStyle w:val="Compact"/>
              <w:jc w:val="right"/>
            </w:pPr>
            <w:r>
              <w:rPr>
                <w:b/>
                <w:bCs/>
              </w:rPr>
              <w:t xml:space="preserve">10 → 14</w:t>
            </w:r>
          </w:p>
        </w:tc>
        <w:tc>
          <w:tcPr/>
          <w:p>
            <w:pPr>
              <w:pStyle w:val="Compact"/>
              <w:jc w:val="right"/>
            </w:pPr>
            <w:r>
              <w:t xml:space="preserve">22.3 (15)</w:t>
            </w:r>
          </w:p>
        </w:tc>
      </w:tr>
      <w:tr>
        <w:tc>
          <w:tcPr/>
          <w:p>
            <w:pPr>
              <w:pStyle w:val="Compact"/>
              <w:jc w:val="left"/>
            </w:pPr>
            <w:r>
              <w:t xml:space="preserve">Aleutian Basin (ALB)</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0</w:t>
            </w:r>
          </w:p>
        </w:tc>
        <w:tc>
          <w:tcPr/>
          <w:p>
            <w:pPr>
              <w:pStyle w:val="Compact"/>
              <w:jc w:val="right"/>
            </w:pPr>
            <w:r>
              <w:t xml:space="preserve">18</w:t>
            </w:r>
          </w:p>
        </w:tc>
        <w:tc>
          <w:tcPr/>
          <w:p>
            <w:pPr>
              <w:pStyle w:val="Compact"/>
              <w:jc w:val="right"/>
            </w:pPr>
            <w:r>
              <w:t xml:space="preserve">12.3 (18)</w:t>
            </w:r>
          </w:p>
        </w:tc>
      </w:tr>
      <w:tr>
        <w:tc>
          <w:tcPr/>
          <w:p>
            <w:pPr>
              <w:pStyle w:val="Compact"/>
              <w:jc w:val="left"/>
            </w:pPr>
            <w:r>
              <w:t xml:space="preserve">Beaufort Sea (BFT)</w:t>
            </w:r>
          </w:p>
        </w:tc>
        <w:tc>
          <w:tcPr/>
          <w:p>
            <w:pPr>
              <w:pStyle w:val="Compact"/>
              <w:jc w:val="right"/>
            </w:pPr>
            <w:r>
              <w:t xml:space="preserve">11.3</w:t>
            </w:r>
          </w:p>
        </w:tc>
        <w:tc>
          <w:tcPr/>
          <w:p>
            <w:pPr>
              <w:pStyle w:val="Compact"/>
              <w:jc w:val="right"/>
            </w:pPr>
            <w:r>
              <w:t xml:space="preserve">11.3</w:t>
            </w:r>
          </w:p>
        </w:tc>
        <w:tc>
          <w:tcPr/>
          <w:p>
            <w:pPr>
              <w:pStyle w:val="Compact"/>
              <w:jc w:val="right"/>
            </w:pPr>
            <w:r>
              <w:t xml:space="preserve">11.3</w:t>
            </w:r>
          </w:p>
        </w:tc>
        <w:tc>
          <w:tcPr/>
          <w:p>
            <w:pPr>
              <w:pStyle w:val="Compact"/>
              <w:jc w:val="right"/>
            </w:pPr>
            <w:r>
              <w:t xml:space="preserve">11.3</w:t>
            </w:r>
          </w:p>
        </w:tc>
        <w:tc>
          <w:tcPr/>
          <w:p>
            <w:pPr>
              <w:pStyle w:val="Compact"/>
              <w:jc w:val="right"/>
            </w:pPr>
            <w:r>
              <w:t xml:space="preserve">11.3</w:t>
            </w:r>
          </w:p>
        </w:tc>
        <w:tc>
          <w:tcPr/>
          <w:p>
            <w:pPr>
              <w:pStyle w:val="Compact"/>
              <w:jc w:val="right"/>
            </w:pPr>
            <w:r>
              <w:t xml:space="preserve">0</w:t>
            </w:r>
          </w:p>
        </w:tc>
        <w:tc>
          <w:tcPr/>
          <w:p>
            <w:pPr>
              <w:pStyle w:val="Compact"/>
              <w:jc w:val="right"/>
            </w:pPr>
            <w:r>
              <w:t xml:space="preserve">19</w:t>
            </w:r>
          </w:p>
        </w:tc>
        <w:tc>
          <w:tcPr/>
          <w:p>
            <w:pPr>
              <w:pStyle w:val="Compact"/>
              <w:jc w:val="right"/>
            </w:pPr>
            <w:r>
              <w:t xml:space="preserve">11.3 (19)</w:t>
            </w:r>
          </w:p>
        </w:tc>
      </w:tr>
      <w:tr>
        <w:tc>
          <w:tcPr/>
          <w:p>
            <w:pPr>
              <w:pStyle w:val="Compact"/>
              <w:jc w:val="left"/>
            </w:pPr>
            <w:r>
              <w:t xml:space="preserve">Bowers Basin (BOW)</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0</w:t>
            </w:r>
          </w:p>
        </w:tc>
        <w:tc>
          <w:tcPr/>
          <w:p>
            <w:pPr>
              <w:pStyle w:val="Compact"/>
              <w:jc w:val="right"/>
            </w:pPr>
            <w:r>
              <w:t xml:space="preserve">17</w:t>
            </w:r>
          </w:p>
        </w:tc>
        <w:tc>
          <w:tcPr/>
          <w:p>
            <w:pPr>
              <w:pStyle w:val="Compact"/>
              <w:jc w:val="right"/>
            </w:pPr>
            <w:r>
              <w:t xml:space="preserve">18.4 (17)</w:t>
            </w:r>
          </w:p>
        </w:tc>
      </w:tr>
      <w:tr>
        <w:tc>
          <w:tcPr/>
          <w:p>
            <w:pPr>
              <w:pStyle w:val="Compact"/>
              <w:jc w:val="left"/>
            </w:pPr>
            <w:r>
              <w:t xml:space="preserve">Chukchi Sea (CHU)</w:t>
            </w:r>
          </w:p>
        </w:tc>
        <w:tc>
          <w:tcPr/>
          <w:p>
            <w:pPr>
              <w:pStyle w:val="Compact"/>
              <w:jc w:val="right"/>
            </w:pPr>
            <w:r>
              <w:t xml:space="preserve">24.9</w:t>
            </w:r>
          </w:p>
        </w:tc>
        <w:tc>
          <w:tcPr/>
          <w:p>
            <w:pPr>
              <w:pStyle w:val="Compact"/>
              <w:jc w:val="right"/>
            </w:pPr>
            <w:r>
              <w:t xml:space="preserve">24.9</w:t>
            </w:r>
          </w:p>
        </w:tc>
        <w:tc>
          <w:tcPr/>
          <w:p>
            <w:pPr>
              <w:pStyle w:val="Compact"/>
              <w:jc w:val="right"/>
            </w:pPr>
            <w:r>
              <w:t xml:space="preserve">24.9</w:t>
            </w:r>
          </w:p>
        </w:tc>
        <w:tc>
          <w:tcPr/>
          <w:p>
            <w:pPr>
              <w:pStyle w:val="Compact"/>
              <w:jc w:val="right"/>
            </w:pPr>
            <w:r>
              <w:t xml:space="preserve">24.9</w:t>
            </w:r>
          </w:p>
        </w:tc>
        <w:tc>
          <w:tcPr/>
          <w:p>
            <w:pPr>
              <w:pStyle w:val="Compact"/>
              <w:jc w:val="right"/>
            </w:pPr>
            <w:r>
              <w:t xml:space="preserve">24.9</w:t>
            </w:r>
          </w:p>
        </w:tc>
        <w:tc>
          <w:tcPr/>
          <w:p>
            <w:pPr>
              <w:pStyle w:val="Compact"/>
              <w:jc w:val="right"/>
            </w:pPr>
            <w:r>
              <w:t xml:space="preserve">0</w:t>
            </w:r>
          </w:p>
        </w:tc>
        <w:tc>
          <w:tcPr/>
          <w:p>
            <w:pPr>
              <w:pStyle w:val="Compact"/>
              <w:jc w:val="right"/>
            </w:pPr>
            <w:r>
              <w:rPr>
                <w:b/>
                <w:bCs/>
              </w:rPr>
              <w:t xml:space="preserve">14 → 13</w:t>
            </w:r>
          </w:p>
        </w:tc>
        <w:tc>
          <w:tcPr/>
          <w:p>
            <w:pPr>
              <w:pStyle w:val="Compact"/>
              <w:jc w:val="right"/>
            </w:pPr>
            <w:r>
              <w:t xml:space="preserve">24.9 (13)</w:t>
            </w:r>
          </w:p>
        </w:tc>
      </w:tr>
      <w:tr>
        <w:tc>
          <w:tcPr/>
          <w:p>
            <w:pPr>
              <w:pStyle w:val="Compact"/>
              <w:jc w:val="left"/>
            </w:pPr>
            <w:r>
              <w:t xml:space="preserve">Cook Inlet (COK)</w:t>
            </w:r>
          </w:p>
        </w:tc>
        <w:tc>
          <w:tcPr/>
          <w:p>
            <w:pPr>
              <w:pStyle w:val="Compact"/>
              <w:jc w:val="right"/>
            </w:pPr>
            <w:r>
              <w:t xml:space="preserve">52.6</w:t>
            </w:r>
          </w:p>
        </w:tc>
        <w:tc>
          <w:tcPr/>
          <w:p>
            <w:pPr>
              <w:pStyle w:val="Compact"/>
              <w:jc w:val="right"/>
            </w:pPr>
            <w:r>
              <w:t xml:space="preserve">52.6</w:t>
            </w:r>
          </w:p>
        </w:tc>
        <w:tc>
          <w:tcPr/>
          <w:p>
            <w:pPr>
              <w:pStyle w:val="Compact"/>
              <w:jc w:val="right"/>
            </w:pPr>
            <w:r>
              <w:t xml:space="preserve">52.6</w:t>
            </w:r>
          </w:p>
        </w:tc>
        <w:tc>
          <w:tcPr/>
          <w:p>
            <w:pPr>
              <w:pStyle w:val="Compact"/>
              <w:jc w:val="right"/>
            </w:pPr>
            <w:r>
              <w:t xml:space="preserve">52.6</w:t>
            </w:r>
          </w:p>
        </w:tc>
        <w:tc>
          <w:tcPr/>
          <w:p>
            <w:pPr>
              <w:pStyle w:val="Compact"/>
              <w:jc w:val="right"/>
            </w:pPr>
            <w:r>
              <w:t xml:space="preserve">52.6</w:t>
            </w:r>
          </w:p>
        </w:tc>
        <w:tc>
          <w:tcPr/>
          <w:p>
            <w:pPr>
              <w:pStyle w:val="Compact"/>
              <w:jc w:val="right"/>
            </w:pPr>
            <w:r>
              <w:t xml:space="preserve">0</w:t>
            </w:r>
          </w:p>
        </w:tc>
        <w:tc>
          <w:tcPr/>
          <w:p>
            <w:pPr>
              <w:pStyle w:val="Compact"/>
              <w:jc w:val="right"/>
            </w:pPr>
            <w:r>
              <w:t xml:space="preserve">2</w:t>
            </w:r>
          </w:p>
        </w:tc>
        <w:tc>
          <w:tcPr/>
          <w:p>
            <w:pPr>
              <w:pStyle w:val="Compact"/>
              <w:jc w:val="right"/>
            </w:pPr>
            <w:r>
              <w:t xml:space="preserve">53.2 (1)</w:t>
            </w:r>
          </w:p>
        </w:tc>
      </w:tr>
      <w:tr>
        <w:tc>
          <w:tcPr/>
          <w:p>
            <w:pPr>
              <w:pStyle w:val="Compact"/>
              <w:jc w:val="left"/>
            </w:pPr>
            <w:r>
              <w:t xml:space="preserve">St. George Basin (GEO)</w:t>
            </w:r>
          </w:p>
        </w:tc>
        <w:tc>
          <w:tcPr/>
          <w:p>
            <w:pPr>
              <w:pStyle w:val="Compact"/>
              <w:jc w:val="right"/>
            </w:pPr>
            <w:r>
              <w:t xml:space="preserve">33.9</w:t>
            </w:r>
          </w:p>
        </w:tc>
        <w:tc>
          <w:tcPr/>
          <w:p>
            <w:pPr>
              <w:pStyle w:val="Compact"/>
              <w:jc w:val="right"/>
            </w:pPr>
            <w:r>
              <w:t xml:space="preserve">33.8</w:t>
            </w:r>
          </w:p>
        </w:tc>
        <w:tc>
          <w:tcPr/>
          <w:p>
            <w:pPr>
              <w:pStyle w:val="Compact"/>
              <w:jc w:val="right"/>
            </w:pPr>
            <w:r>
              <w:t xml:space="preserve">33.9</w:t>
            </w:r>
          </w:p>
        </w:tc>
        <w:tc>
          <w:tcPr/>
          <w:p>
            <w:pPr>
              <w:pStyle w:val="Compact"/>
              <w:jc w:val="right"/>
            </w:pPr>
            <w:r>
              <w:t xml:space="preserve">38.6</w:t>
            </w:r>
          </w:p>
        </w:tc>
        <w:tc>
          <w:tcPr/>
          <w:p>
            <w:pPr>
              <w:pStyle w:val="Compact"/>
              <w:jc w:val="right"/>
            </w:pPr>
            <w:r>
              <w:rPr>
                <w:b/>
                <w:bCs/>
              </w:rPr>
              <w:t xml:space="preserve">38.6</w:t>
            </w:r>
          </w:p>
        </w:tc>
        <w:tc>
          <w:tcPr/>
          <w:p>
            <w:pPr>
              <w:pStyle w:val="Compact"/>
              <w:jc w:val="right"/>
            </w:pPr>
            <w:r>
              <w:t xml:space="preserve">+4.7</w:t>
            </w:r>
          </w:p>
        </w:tc>
        <w:tc>
          <w:tcPr/>
          <w:p>
            <w:pPr>
              <w:pStyle w:val="Compact"/>
              <w:jc w:val="right"/>
            </w:pPr>
            <w:r>
              <w:t xml:space="preserve">4</w:t>
            </w:r>
          </w:p>
        </w:tc>
        <w:tc>
          <w:tcPr/>
          <w:p>
            <w:pPr>
              <w:pStyle w:val="Compact"/>
              <w:jc w:val="right"/>
            </w:pPr>
            <w:r>
              <w:t xml:space="preserve">38.6 (3)</w:t>
            </w:r>
          </w:p>
        </w:tc>
      </w:tr>
      <w:tr>
        <w:tc>
          <w:tcPr/>
          <w:p>
            <w:pPr>
              <w:pStyle w:val="Compact"/>
              <w:jc w:val="left"/>
            </w:pPr>
            <w:r>
              <w:t xml:space="preserve">Gulf of Alaska (GOA)</w:t>
            </w:r>
          </w:p>
        </w:tc>
        <w:tc>
          <w:tcPr/>
          <w:p>
            <w:pPr>
              <w:pStyle w:val="Compact"/>
              <w:jc w:val="right"/>
            </w:pPr>
            <w:r>
              <w:t xml:space="preserve">39.5</w:t>
            </w:r>
          </w:p>
        </w:tc>
        <w:tc>
          <w:tcPr/>
          <w:p>
            <w:pPr>
              <w:pStyle w:val="Compact"/>
              <w:jc w:val="right"/>
            </w:pPr>
            <w:r>
              <w:t xml:space="preserve">39.5</w:t>
            </w:r>
          </w:p>
        </w:tc>
        <w:tc>
          <w:tcPr/>
          <w:p>
            <w:pPr>
              <w:pStyle w:val="Compact"/>
              <w:jc w:val="right"/>
            </w:pPr>
            <w:r>
              <w:t xml:space="preserve">39.5</w:t>
            </w:r>
          </w:p>
        </w:tc>
        <w:tc>
          <w:tcPr/>
          <w:p>
            <w:pPr>
              <w:pStyle w:val="Compact"/>
              <w:jc w:val="right"/>
            </w:pPr>
            <w:r>
              <w:t xml:space="preserve">39.5</w:t>
            </w:r>
          </w:p>
        </w:tc>
        <w:tc>
          <w:tcPr/>
          <w:p>
            <w:pPr>
              <w:pStyle w:val="Compact"/>
              <w:jc w:val="right"/>
            </w:pPr>
            <w:r>
              <w:t xml:space="preserve">39.5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32.2 (5)</w:t>
            </w:r>
          </w:p>
        </w:tc>
      </w:tr>
      <w:tr>
        <w:tc>
          <w:tcPr/>
          <w:p>
            <w:pPr>
              <w:pStyle w:val="Compact"/>
              <w:jc w:val="left"/>
            </w:pPr>
            <w:r>
              <w:t xml:space="preserve">High Arctic (HAR)</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0</w:t>
            </w:r>
          </w:p>
        </w:tc>
        <w:tc>
          <w:tcPr/>
          <w:p>
            <w:pPr>
              <w:pStyle w:val="Compact"/>
              <w:jc w:val="right"/>
            </w:pPr>
            <w:r>
              <w:t xml:space="preserve">20</w:t>
            </w:r>
          </w:p>
        </w:tc>
        <w:tc>
          <w:tcPr/>
          <w:p>
            <w:pPr>
              <w:pStyle w:val="Compact"/>
              <w:jc w:val="right"/>
            </w:pPr>
            <w:r>
              <w:t xml:space="preserve">7.5 (20)</w:t>
            </w:r>
          </w:p>
        </w:tc>
      </w:tr>
      <w:tr>
        <w:tc>
          <w:tcPr/>
          <w:p>
            <w:pPr>
              <w:pStyle w:val="Compact"/>
              <w:jc w:val="left"/>
            </w:pPr>
            <w:r>
              <w:t xml:space="preserve">Hope Basin (HOP)</w:t>
            </w:r>
          </w:p>
        </w:tc>
        <w:tc>
          <w:tcPr/>
          <w:p>
            <w:pPr>
              <w:pStyle w:val="Compact"/>
              <w:jc w:val="right"/>
            </w:pPr>
            <w:r>
              <w:t xml:space="preserve">52.7</w:t>
            </w:r>
          </w:p>
        </w:tc>
        <w:tc>
          <w:tcPr/>
          <w:p>
            <w:pPr>
              <w:pStyle w:val="Compact"/>
              <w:jc w:val="right"/>
            </w:pPr>
            <w:r>
              <w:t xml:space="preserve">52.7</w:t>
            </w:r>
          </w:p>
        </w:tc>
        <w:tc>
          <w:tcPr/>
          <w:p>
            <w:pPr>
              <w:pStyle w:val="Compact"/>
              <w:jc w:val="right"/>
            </w:pPr>
            <w:r>
              <w:t xml:space="preserve">52.7</w:t>
            </w:r>
          </w:p>
        </w:tc>
        <w:tc>
          <w:tcPr/>
          <w:p>
            <w:pPr>
              <w:pStyle w:val="Compact"/>
              <w:jc w:val="right"/>
            </w:pPr>
            <w:r>
              <w:t xml:space="preserve">52.7</w:t>
            </w:r>
          </w:p>
        </w:tc>
        <w:tc>
          <w:tcPr/>
          <w:p>
            <w:pPr>
              <w:pStyle w:val="Compact"/>
              <w:jc w:val="right"/>
            </w:pPr>
            <w:r>
              <w:t xml:space="preserve">52.7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52.7 (2)</w:t>
            </w:r>
          </w:p>
        </w:tc>
      </w:tr>
      <w:tr>
        <w:tc>
          <w:tcPr/>
          <w:p>
            <w:pPr>
              <w:pStyle w:val="Compact"/>
              <w:jc w:val="left"/>
            </w:pPr>
            <w:r>
              <w:t xml:space="preserve">Kodiak (KOD)</w:t>
            </w:r>
          </w:p>
        </w:tc>
        <w:tc>
          <w:tcPr/>
          <w:p>
            <w:pPr>
              <w:pStyle w:val="Compact"/>
              <w:jc w:val="right"/>
            </w:pPr>
            <w:r>
              <w:t xml:space="preserve">32.1</w:t>
            </w:r>
          </w:p>
        </w:tc>
        <w:tc>
          <w:tcPr/>
          <w:p>
            <w:pPr>
              <w:pStyle w:val="Compact"/>
              <w:jc w:val="right"/>
            </w:pPr>
            <w:r>
              <w:t xml:space="preserve">32.1</w:t>
            </w:r>
          </w:p>
        </w:tc>
        <w:tc>
          <w:tcPr/>
          <w:p>
            <w:pPr>
              <w:pStyle w:val="Compact"/>
              <w:jc w:val="right"/>
            </w:pPr>
            <w:r>
              <w:t xml:space="preserve">32.1</w:t>
            </w:r>
          </w:p>
        </w:tc>
        <w:tc>
          <w:tcPr/>
          <w:p>
            <w:pPr>
              <w:pStyle w:val="Compact"/>
              <w:jc w:val="right"/>
            </w:pPr>
            <w:r>
              <w:t xml:space="preserve">32.1</w:t>
            </w:r>
          </w:p>
        </w:tc>
        <w:tc>
          <w:tcPr/>
          <w:p>
            <w:pPr>
              <w:pStyle w:val="Compact"/>
              <w:jc w:val="right"/>
            </w:pPr>
            <w:r>
              <w:t xml:space="preserve">32.1</w:t>
            </w:r>
          </w:p>
        </w:tc>
        <w:tc>
          <w:tcPr/>
          <w:p>
            <w:pPr>
              <w:pStyle w:val="Compact"/>
              <w:jc w:val="right"/>
            </w:pPr>
            <w:r>
              <w:t xml:space="preserve">0</w:t>
            </w:r>
          </w:p>
        </w:tc>
        <w:tc>
          <w:tcPr/>
          <w:p>
            <w:pPr>
              <w:pStyle w:val="Compact"/>
              <w:jc w:val="right"/>
            </w:pPr>
            <w:r>
              <w:t xml:space="preserve">6</w:t>
            </w:r>
          </w:p>
        </w:tc>
        <w:tc>
          <w:tcPr/>
          <w:p>
            <w:pPr>
              <w:pStyle w:val="Compact"/>
              <w:jc w:val="right"/>
            </w:pPr>
            <w:r>
              <w:t xml:space="preserve">29.1 (7)</w:t>
            </w:r>
          </w:p>
        </w:tc>
      </w:tr>
      <w:tr>
        <w:tc>
          <w:tcPr/>
          <w:p>
            <w:pPr>
              <w:pStyle w:val="Compact"/>
              <w:jc w:val="left"/>
            </w:pPr>
            <w:r>
              <w:t xml:space="preserve">St. Matthew-Hall (MAT)</w:t>
            </w:r>
          </w:p>
        </w:tc>
        <w:tc>
          <w:tcPr/>
          <w:p>
            <w:pPr>
              <w:pStyle w:val="Compact"/>
              <w:jc w:val="right"/>
            </w:pPr>
            <w:r>
              <w:t xml:space="preserve">24.9</w:t>
            </w:r>
          </w:p>
        </w:tc>
        <w:tc>
          <w:tcPr/>
          <w:p>
            <w:pPr>
              <w:pStyle w:val="Compact"/>
              <w:jc w:val="right"/>
            </w:pPr>
            <w:r>
              <w:t xml:space="preserve">24.9</w:t>
            </w:r>
          </w:p>
        </w:tc>
        <w:tc>
          <w:tcPr/>
          <w:p>
            <w:pPr>
              <w:pStyle w:val="Compact"/>
              <w:jc w:val="right"/>
            </w:pPr>
            <w:r>
              <w:t xml:space="preserve">24.9</w:t>
            </w:r>
          </w:p>
        </w:tc>
        <w:tc>
          <w:tcPr/>
          <w:p>
            <w:pPr>
              <w:pStyle w:val="Compact"/>
              <w:jc w:val="right"/>
            </w:pPr>
            <w:r>
              <w:t xml:space="preserve">24.9</w:t>
            </w:r>
          </w:p>
        </w:tc>
        <w:tc>
          <w:tcPr/>
          <w:p>
            <w:pPr>
              <w:pStyle w:val="Compact"/>
              <w:jc w:val="right"/>
            </w:pPr>
            <w:r>
              <w:t xml:space="preserve">24.9</w:t>
            </w:r>
          </w:p>
        </w:tc>
        <w:tc>
          <w:tcPr/>
          <w:p>
            <w:pPr>
              <w:pStyle w:val="Compact"/>
              <w:jc w:val="right"/>
            </w:pPr>
            <w:r>
              <w:t xml:space="preserve">0</w:t>
            </w:r>
          </w:p>
        </w:tc>
        <w:tc>
          <w:tcPr/>
          <w:p>
            <w:pPr>
              <w:pStyle w:val="Compact"/>
              <w:jc w:val="right"/>
            </w:pPr>
            <w:r>
              <w:rPr>
                <w:b/>
                <w:bCs/>
              </w:rPr>
              <w:t xml:space="preserve">13 → 12</w:t>
            </w:r>
          </w:p>
        </w:tc>
        <w:tc>
          <w:tcPr/>
          <w:p>
            <w:pPr>
              <w:pStyle w:val="Compact"/>
              <w:jc w:val="right"/>
            </w:pPr>
            <w:r>
              <w:t xml:space="preserve">24.9 (12)</w:t>
            </w:r>
          </w:p>
        </w:tc>
      </w:tr>
      <w:tr>
        <w:tc>
          <w:tcPr/>
          <w:p>
            <w:pPr>
              <w:pStyle w:val="Compact"/>
              <w:jc w:val="left"/>
            </w:pPr>
            <w:r>
              <w:t xml:space="preserve">Navarin Basin (NAV)</w:t>
            </w:r>
          </w:p>
        </w:tc>
        <w:tc>
          <w:tcPr/>
          <w:p>
            <w:pPr>
              <w:pStyle w:val="Compact"/>
              <w:jc w:val="right"/>
            </w:pPr>
            <w:r>
              <w:t xml:space="preserve">27.3</w:t>
            </w:r>
          </w:p>
        </w:tc>
        <w:tc>
          <w:tcPr/>
          <w:p>
            <w:pPr>
              <w:pStyle w:val="Compact"/>
              <w:jc w:val="right"/>
            </w:pPr>
            <w:r>
              <w:t xml:space="preserve">27.3</w:t>
            </w:r>
          </w:p>
        </w:tc>
        <w:tc>
          <w:tcPr/>
          <w:p>
            <w:pPr>
              <w:pStyle w:val="Compact"/>
              <w:jc w:val="right"/>
            </w:pPr>
            <w:r>
              <w:t xml:space="preserve">27.3</w:t>
            </w:r>
          </w:p>
        </w:tc>
        <w:tc>
          <w:tcPr/>
          <w:p>
            <w:pPr>
              <w:pStyle w:val="Compact"/>
              <w:jc w:val="right"/>
            </w:pPr>
            <w:r>
              <w:t xml:space="preserve">27.3</w:t>
            </w:r>
          </w:p>
        </w:tc>
        <w:tc>
          <w:tcPr/>
          <w:p>
            <w:pPr>
              <w:pStyle w:val="Compact"/>
              <w:jc w:val="right"/>
            </w:pPr>
            <w:r>
              <w:t xml:space="preserve">27.3</w:t>
            </w:r>
          </w:p>
        </w:tc>
        <w:tc>
          <w:tcPr/>
          <w:p>
            <w:pPr>
              <w:pStyle w:val="Compact"/>
              <w:jc w:val="right"/>
            </w:pPr>
            <w:r>
              <w:t xml:space="preserve">0</w:t>
            </w:r>
          </w:p>
        </w:tc>
        <w:tc>
          <w:tcPr/>
          <w:p>
            <w:pPr>
              <w:pStyle w:val="Compact"/>
              <w:jc w:val="right"/>
            </w:pPr>
            <w:r>
              <w:rPr>
                <w:b/>
                <w:bCs/>
              </w:rPr>
              <w:t xml:space="preserve">11 → 10</w:t>
            </w:r>
          </w:p>
        </w:tc>
        <w:tc>
          <w:tcPr/>
          <w:p>
            <w:pPr>
              <w:pStyle w:val="Compact"/>
              <w:jc w:val="right"/>
            </w:pPr>
            <w:r>
              <w:t xml:space="preserve">27.3 (9)</w:t>
            </w:r>
          </w:p>
        </w:tc>
      </w:tr>
      <w:tr>
        <w:tc>
          <w:tcPr/>
          <w:p>
            <w:pPr>
              <w:pStyle w:val="Compact"/>
              <w:jc w:val="left"/>
            </w:pPr>
            <w:r>
              <w:t xml:space="preserve">Norton Basin (NOR)</w:t>
            </w:r>
          </w:p>
        </w:tc>
        <w:tc>
          <w:tcPr/>
          <w:p>
            <w:pPr>
              <w:pStyle w:val="Compact"/>
              <w:jc w:val="right"/>
            </w:pPr>
            <w:r>
              <w:t xml:space="preserve">29.0</w:t>
            </w:r>
          </w:p>
        </w:tc>
        <w:tc>
          <w:tcPr/>
          <w:p>
            <w:pPr>
              <w:pStyle w:val="Compact"/>
              <w:jc w:val="right"/>
            </w:pPr>
            <w:r>
              <w:t xml:space="preserve">29.0</w:t>
            </w:r>
          </w:p>
        </w:tc>
        <w:tc>
          <w:tcPr/>
          <w:p>
            <w:pPr>
              <w:pStyle w:val="Compact"/>
              <w:jc w:val="right"/>
            </w:pPr>
            <w:r>
              <w:t xml:space="preserve">29.0</w:t>
            </w:r>
          </w:p>
        </w:tc>
        <w:tc>
          <w:tcPr/>
          <w:p>
            <w:pPr>
              <w:pStyle w:val="Compact"/>
              <w:jc w:val="right"/>
            </w:pPr>
            <w:r>
              <w:t xml:space="preserve">29.0</w:t>
            </w:r>
          </w:p>
        </w:tc>
        <w:tc>
          <w:tcPr/>
          <w:p>
            <w:pPr>
              <w:pStyle w:val="Compact"/>
              <w:jc w:val="right"/>
            </w:pPr>
            <w:r>
              <w:t xml:space="preserve">29.0</w:t>
            </w:r>
          </w:p>
        </w:tc>
        <w:tc>
          <w:tcPr/>
          <w:p>
            <w:pPr>
              <w:pStyle w:val="Compact"/>
              <w:jc w:val="right"/>
            </w:pPr>
            <w:r>
              <w:t xml:space="preserve">0</w:t>
            </w:r>
          </w:p>
        </w:tc>
        <w:tc>
          <w:tcPr/>
          <w:p>
            <w:pPr>
              <w:pStyle w:val="Compact"/>
              <w:jc w:val="right"/>
            </w:pPr>
            <w:r>
              <w:t xml:space="preserve">9</w:t>
            </w:r>
          </w:p>
        </w:tc>
        <w:tc>
          <w:tcPr/>
          <w:p>
            <w:pPr>
              <w:pStyle w:val="Compact"/>
              <w:jc w:val="right"/>
            </w:pPr>
            <w:r>
              <w:t xml:space="preserve">29.0 (8)</w:t>
            </w:r>
          </w:p>
        </w:tc>
      </w:tr>
      <w:tr>
        <w:tc>
          <w:tcPr/>
          <w:p>
            <w:pPr>
              <w:pStyle w:val="Compact"/>
              <w:jc w:val="left"/>
            </w:pPr>
            <w:r>
              <w:t xml:space="preserve">Shumagin (SHU)</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0</w:t>
            </w:r>
          </w:p>
        </w:tc>
        <w:tc>
          <w:tcPr/>
          <w:p>
            <w:pPr>
              <w:pStyle w:val="Compact"/>
              <w:jc w:val="right"/>
            </w:pPr>
            <w:r>
              <w:t xml:space="preserve">7</w:t>
            </w:r>
          </w:p>
        </w:tc>
        <w:tc>
          <w:tcPr/>
          <w:p>
            <w:pPr>
              <w:pStyle w:val="Compact"/>
              <w:jc w:val="right"/>
            </w:pPr>
            <w:r>
              <w:t xml:space="preserve">27.3 (10)</w:t>
            </w:r>
          </w:p>
        </w:tc>
      </w:tr>
      <w:tr>
        <w:tc>
          <w:tcPr/>
          <w:p>
            <w:pPr>
              <w:pStyle w:val="Compact"/>
              <w:jc w:val="left"/>
            </w:pPr>
            <w:r>
              <w:t xml:space="preserve">Gulf of America Program Area A (GAA)</w:t>
            </w:r>
          </w:p>
        </w:tc>
        <w:tc>
          <w:tcPr/>
          <w:p>
            <w:pPr>
              <w:pStyle w:val="Compact"/>
              <w:jc w:val="right"/>
            </w:pPr>
            <w:r>
              <w:t xml:space="preserve">33.1</w:t>
            </w:r>
          </w:p>
        </w:tc>
        <w:tc>
          <w:tcPr/>
          <w:p>
            <w:pPr>
              <w:pStyle w:val="Compact"/>
              <w:jc w:val="right"/>
            </w:pPr>
            <w:r>
              <w:t xml:space="preserve">33.1</w:t>
            </w:r>
          </w:p>
        </w:tc>
        <w:tc>
          <w:tcPr/>
          <w:p>
            <w:pPr>
              <w:pStyle w:val="Compact"/>
              <w:jc w:val="right"/>
            </w:pPr>
            <w:r>
              <w:t xml:space="preserve">33.4</w:t>
            </w:r>
          </w:p>
        </w:tc>
        <w:tc>
          <w:tcPr/>
          <w:p>
            <w:pPr>
              <w:pStyle w:val="Compact"/>
              <w:jc w:val="right"/>
            </w:pPr>
            <w:r>
              <w:t xml:space="preserve">33.1</w:t>
            </w:r>
          </w:p>
        </w:tc>
        <w:tc>
          <w:tcPr/>
          <w:p>
            <w:pPr>
              <w:pStyle w:val="Compact"/>
              <w:jc w:val="right"/>
            </w:pPr>
            <w:r>
              <w:rPr>
                <w:b/>
                <w:bCs/>
              </w:rPr>
              <w:t xml:space="preserve">33.4</w:t>
            </w:r>
          </w:p>
        </w:tc>
        <w:tc>
          <w:tcPr/>
          <w:p>
            <w:pPr>
              <w:pStyle w:val="Compact"/>
              <w:jc w:val="right"/>
            </w:pPr>
            <w:r>
              <w:t xml:space="preserve">+0.3</w:t>
            </w:r>
          </w:p>
        </w:tc>
        <w:tc>
          <w:tcPr/>
          <w:p>
            <w:pPr>
              <w:pStyle w:val="Compact"/>
              <w:jc w:val="right"/>
            </w:pPr>
            <w:r>
              <w:t xml:space="preserve">5</w:t>
            </w:r>
          </w:p>
        </w:tc>
        <w:tc>
          <w:tcPr/>
          <w:p>
            <w:pPr>
              <w:pStyle w:val="Compact"/>
              <w:jc w:val="right"/>
            </w:pPr>
            <w:r>
              <w:t xml:space="preserve">32.8 (4)</w:t>
            </w:r>
          </w:p>
        </w:tc>
      </w:tr>
      <w:tr>
        <w:tc>
          <w:tcPr/>
          <w:p>
            <w:pPr>
              <w:pStyle w:val="Compact"/>
              <w:jc w:val="left"/>
            </w:pPr>
            <w:r>
              <w:t xml:space="preserve">Gulf of America Program Area B (GAB)</w:t>
            </w:r>
          </w:p>
        </w:tc>
        <w:tc>
          <w:tcPr/>
          <w:p>
            <w:pPr>
              <w:pStyle w:val="Compact"/>
              <w:jc w:val="right"/>
            </w:pPr>
            <w:r>
              <w:t xml:space="preserve">25.7</w:t>
            </w:r>
          </w:p>
        </w:tc>
        <w:tc>
          <w:tcPr/>
          <w:p>
            <w:pPr>
              <w:pStyle w:val="Compact"/>
              <w:jc w:val="right"/>
            </w:pPr>
            <w:r>
              <w:t xml:space="preserve">25.7</w:t>
            </w:r>
          </w:p>
        </w:tc>
        <w:tc>
          <w:tcPr/>
          <w:p>
            <w:pPr>
              <w:pStyle w:val="Compact"/>
              <w:jc w:val="right"/>
            </w:pPr>
            <w:r>
              <w:t xml:space="preserve">26.3</w:t>
            </w:r>
          </w:p>
        </w:tc>
        <w:tc>
          <w:tcPr/>
          <w:p>
            <w:pPr>
              <w:pStyle w:val="Compact"/>
              <w:jc w:val="right"/>
            </w:pPr>
            <w:r>
              <w:t xml:space="preserve">25.7</w:t>
            </w:r>
          </w:p>
        </w:tc>
        <w:tc>
          <w:tcPr/>
          <w:p>
            <w:pPr>
              <w:pStyle w:val="Compact"/>
              <w:jc w:val="right"/>
            </w:pPr>
            <w:r>
              <w:rPr>
                <w:b/>
                <w:bCs/>
              </w:rPr>
              <w:t xml:space="preserve">26.3</w:t>
            </w:r>
          </w:p>
        </w:tc>
        <w:tc>
          <w:tcPr/>
          <w:p>
            <w:pPr>
              <w:pStyle w:val="Compact"/>
              <w:jc w:val="right"/>
            </w:pPr>
            <w:r>
              <w:t xml:space="preserve">+0.6</w:t>
            </w:r>
          </w:p>
        </w:tc>
        <w:tc>
          <w:tcPr/>
          <w:p>
            <w:pPr>
              <w:pStyle w:val="Compact"/>
              <w:jc w:val="right"/>
            </w:pPr>
            <w:r>
              <w:rPr>
                <w:b/>
                <w:bCs/>
              </w:rPr>
              <w:t xml:space="preserve">12 → 11</w:t>
            </w:r>
          </w:p>
        </w:tc>
        <w:tc>
          <w:tcPr/>
          <w:p>
            <w:pPr>
              <w:pStyle w:val="Compact"/>
              <w:jc w:val="right"/>
            </w:pPr>
            <w:r>
              <w:t xml:space="preserve">25.4 (11)</w:t>
            </w:r>
          </w:p>
        </w:tc>
      </w:tr>
      <w:tr>
        <w:tc>
          <w:tcPr/>
          <w:p>
            <w:pPr>
              <w:pStyle w:val="Compact"/>
              <w:jc w:val="left"/>
            </w:pPr>
            <w:r>
              <w:t xml:space="preserve">Central California (CEC)</w:t>
            </w:r>
          </w:p>
        </w:tc>
        <w:tc>
          <w:tcPr/>
          <w:p>
            <w:pPr>
              <w:pStyle w:val="Compact"/>
              <w:jc w:val="right"/>
            </w:pPr>
            <w:r>
              <w:t xml:space="preserve">21.9</w:t>
            </w:r>
          </w:p>
        </w:tc>
        <w:tc>
          <w:tcPr/>
          <w:p>
            <w:pPr>
              <w:pStyle w:val="Compact"/>
              <w:jc w:val="right"/>
            </w:pPr>
            <w:r>
              <w:t xml:space="preserve">21.9</w:t>
            </w:r>
          </w:p>
        </w:tc>
        <w:tc>
          <w:tcPr/>
          <w:p>
            <w:pPr>
              <w:pStyle w:val="Compact"/>
              <w:jc w:val="right"/>
            </w:pPr>
            <w:r>
              <w:t xml:space="preserve">21.9</w:t>
            </w:r>
          </w:p>
        </w:tc>
        <w:tc>
          <w:tcPr/>
          <w:p>
            <w:pPr>
              <w:pStyle w:val="Compact"/>
              <w:jc w:val="right"/>
            </w:pPr>
            <w:r>
              <w:t xml:space="preserve">21.9</w:t>
            </w:r>
          </w:p>
        </w:tc>
        <w:tc>
          <w:tcPr/>
          <w:p>
            <w:pPr>
              <w:pStyle w:val="Compact"/>
              <w:jc w:val="right"/>
            </w:pPr>
            <w:r>
              <w:t xml:space="preserve">21.9</w:t>
            </w:r>
          </w:p>
        </w:tc>
        <w:tc>
          <w:tcPr/>
          <w:p>
            <w:pPr>
              <w:pStyle w:val="Compact"/>
              <w:jc w:val="right"/>
            </w:pPr>
            <w:r>
              <w:t xml:space="preserve">0</w:t>
            </w:r>
          </w:p>
        </w:tc>
        <w:tc>
          <w:tcPr/>
          <w:p>
            <w:pPr>
              <w:pStyle w:val="Compact"/>
              <w:jc w:val="right"/>
            </w:pPr>
            <w:r>
              <w:t xml:space="preserve">15</w:t>
            </w:r>
          </w:p>
        </w:tc>
        <w:tc>
          <w:tcPr/>
          <w:p>
            <w:pPr>
              <w:pStyle w:val="Compact"/>
              <w:jc w:val="right"/>
            </w:pPr>
            <w:r>
              <w:t xml:space="preserve">23.0 (14)</w:t>
            </w:r>
          </w:p>
        </w:tc>
      </w:tr>
      <w:tr>
        <w:tc>
          <w:tcPr/>
          <w:p>
            <w:pPr>
              <w:pStyle w:val="Compact"/>
              <w:jc w:val="left"/>
            </w:pPr>
            <w:r>
              <w:t xml:space="preserve">Northern California (NOC)</w:t>
            </w:r>
          </w:p>
        </w:tc>
        <w:tc>
          <w:tcPr/>
          <w:p>
            <w:pPr>
              <w:pStyle w:val="Compact"/>
              <w:jc w:val="right"/>
            </w:pPr>
            <w:r>
              <w:t xml:space="preserve">20.7</w:t>
            </w:r>
          </w:p>
        </w:tc>
        <w:tc>
          <w:tcPr/>
          <w:p>
            <w:pPr>
              <w:pStyle w:val="Compact"/>
              <w:jc w:val="right"/>
            </w:pPr>
            <w:r>
              <w:t xml:space="preserve">20.7</w:t>
            </w:r>
          </w:p>
        </w:tc>
        <w:tc>
          <w:tcPr/>
          <w:p>
            <w:pPr>
              <w:pStyle w:val="Compact"/>
              <w:jc w:val="right"/>
            </w:pPr>
            <w:r>
              <w:t xml:space="preserve">20.7</w:t>
            </w:r>
          </w:p>
        </w:tc>
        <w:tc>
          <w:tcPr/>
          <w:p>
            <w:pPr>
              <w:pStyle w:val="Compact"/>
              <w:jc w:val="right"/>
            </w:pPr>
            <w:r>
              <w:t xml:space="preserve">20.7</w:t>
            </w:r>
          </w:p>
        </w:tc>
        <w:tc>
          <w:tcPr/>
          <w:p>
            <w:pPr>
              <w:pStyle w:val="Compact"/>
              <w:jc w:val="right"/>
            </w:pPr>
            <w:r>
              <w:t xml:space="preserve">20.7</w:t>
            </w:r>
          </w:p>
        </w:tc>
        <w:tc>
          <w:tcPr/>
          <w:p>
            <w:pPr>
              <w:pStyle w:val="Compact"/>
              <w:jc w:val="right"/>
            </w:pPr>
            <w:r>
              <w:t xml:space="preserve">0</w:t>
            </w:r>
          </w:p>
        </w:tc>
        <w:tc>
          <w:tcPr/>
          <w:p>
            <w:pPr>
              <w:pStyle w:val="Compact"/>
              <w:jc w:val="right"/>
            </w:pPr>
            <w:r>
              <w:t xml:space="preserve">16</w:t>
            </w:r>
          </w:p>
        </w:tc>
        <w:tc>
          <w:tcPr/>
          <w:p>
            <w:pPr>
              <w:pStyle w:val="Compact"/>
              <w:jc w:val="right"/>
            </w:pPr>
            <w:r>
              <w:t xml:space="preserve">21.8 (16)</w:t>
            </w:r>
          </w:p>
        </w:tc>
      </w:tr>
      <w:tr>
        <w:tc>
          <w:tcPr/>
          <w:p>
            <w:pPr>
              <w:pStyle w:val="Compact"/>
              <w:jc w:val="left"/>
            </w:pPr>
            <w:r>
              <w:t xml:space="preserve">Southern California (SOC)</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0</w:t>
            </w:r>
          </w:p>
        </w:tc>
        <w:tc>
          <w:tcPr/>
          <w:p>
            <w:pPr>
              <w:pStyle w:val="Compact"/>
              <w:jc w:val="right"/>
            </w:pPr>
            <w:r>
              <w:t xml:space="preserve">8</w:t>
            </w:r>
          </w:p>
        </w:tc>
        <w:tc>
          <w:tcPr/>
          <w:p>
            <w:pPr>
              <w:pStyle w:val="Compact"/>
              <w:jc w:val="right"/>
            </w:pPr>
            <w:r>
              <w:t xml:space="preserve">30.7 (6)</w:t>
            </w:r>
          </w:p>
        </w:tc>
      </w:tr>
    </w:tbl>
    <w:p>
      <w:pPr>
        <w:pStyle w:val="BodyText"/>
      </w:pPr>
      <w:r>
        <w:t xml:space="preserve">Three things move the composite, and nothing else does:</w:t>
      </w:r>
    </w:p>
    <w:p>
      <w:pPr>
        <w:pStyle w:val="Compact"/>
        <w:numPr>
          <w:ilvl w:val="0"/>
          <w:numId w:val="1012"/>
        </w:numPr>
      </w:pPr>
      <w:r>
        <w:rPr>
          <w:b/>
          <w:bCs/>
        </w:rPr>
        <w:t xml:space="preserve">Aleutian Arc and St. George Basin lose their turtle component.</w:t>
      </w:r>
      <w:r>
        <w:t xml:space="preserve"> </w:t>
      </w:r>
      <w:r>
        <w:t xml:space="preserve">Both lie mostly in the East Bering Sea. The record rule removes all but a sliver of their turtle cells: the remaining cells belong by majority to the Gulf of Alaska ecoregion. κ then removes that sliver as not reportable (table below). The two rules together empty both Program Areas of turtles. With the record rule alone, the Aleutian Arc would keep a turtle component near 0 and average it into the composite (the</w:t>
      </w:r>
      <w:r>
        <w:t xml:space="preserve"> </w:t>
      </w:r>
      <w:r>
        <w:rPr>
          <w:i/>
          <w:iCs/>
        </w:rPr>
        <w:t xml:space="preserve">record rule only</w:t>
      </w:r>
      <w:r>
        <w:t xml:space="preserve"> </w:t>
      </w:r>
      <w:r>
        <w:t xml:space="preserve">column). St. George Basin’s turtle sliver (1.5 % of the area in v7) was already below κ before the record rule touched it, so its composite change (33.9 → 38.6) is κ’s alone, exactly as in v7b; it rises because the component it loses scored below its average. Dropping a component cannot raise any cell’s sensitivity, but it changes which components the mean is taken over.</w:t>
      </w:r>
    </w:p>
    <w:p>
      <w:pPr>
        <w:pStyle w:val="Compact"/>
        <w:numPr>
          <w:ilvl w:val="0"/>
          <w:numId w:val="1012"/>
        </w:numPr>
      </w:pPr>
      <w:r>
        <w:rPr>
          <w:b/>
          <w:bCs/>
        </w:rPr>
        <w:t xml:space="preserve">The Gulf of America Program Areas gain on mammals.</w:t>
      </w:r>
      <w:r>
        <w:t xml:space="preserve"> </w:t>
      </w:r>
      <w:r>
        <w:t xml:space="preserve">Removing the right whale from both Gulf ecoregions moves those ecoregions’ marine-mammal minimum and maximum as well as the cell values, so the rescaled mammal component of GAA and GAB rises (second table below), and the composite with it.</w:t>
      </w:r>
    </w:p>
    <w:p>
      <w:pPr>
        <w:pStyle w:val="Compact"/>
        <w:numPr>
          <w:ilvl w:val="0"/>
          <w:numId w:val="1012"/>
        </w:numPr>
      </w:pPr>
      <w:r>
        <w:rPr>
          <w:b/>
          <w:bCs/>
        </w:rPr>
        <w:t xml:space="preserve">Every other Program Area is unchanged.</w:t>
      </w:r>
      <w:r>
        <w:t xml:space="preserve"> </w:t>
      </w:r>
      <w:r>
        <w:t xml:space="preserve">Gulf of Alaska, Kodiak, Cook Inlet and Shumagin keep all four recorded turtle species at their v7 values, so their composites are v7’s.</w:t>
      </w:r>
    </w:p>
    <w:p>
      <w:pPr>
        <w:pStyle w:val="TableCaption"/>
      </w:pPr>
      <w:r>
        <w:t xml:space="preserve">Sea-turtle component per Program Area, rescaled 0–100 (</w:t>
      </w:r>
      <w:r>
        <w:rPr>
          <w:rStyle w:val="VerbatimChar"/>
        </w:rPr>
        <w:t xml:space="preserve">tbl_attribution_programarea_v7c.csv</w:t>
      </w:r>
      <w:r>
        <w:t xml:space="preserve">,</w:t>
      </w:r>
      <w:r>
        <w:t xml:space="preserve"> </w:t>
      </w:r>
      <w:r>
        <w:rPr>
          <w:rStyle w:val="VerbatimChar"/>
        </w:rPr>
        <w:t xml:space="preserve">tbl_component_not_reportable_programarea_v7c.csv</w:t>
      </w:r>
      <w:r>
        <w:t xml:space="preserve">, v7b from</w:t>
      </w:r>
      <w:r>
        <w:t xml:space="preserve"> </w:t>
      </w:r>
      <w:r>
        <w:rPr>
          <w:rStyle w:val="VerbatimChar"/>
        </w:rPr>
        <w:t xml:space="preserve">tbl_attribution_programarea_v7b.csv</w:t>
      </w:r>
      <w:r>
        <w:t xml:space="preserve">). — = not reportable, or no turtle cells. The coverage column gives the share of the Program Area still carrying turtles after the record rule, for the pairs κ = 5 % removes.</w:t>
      </w:r>
    </w:p>
    <w:tbl>
      <w:tblPr>
        <w:tblStyle w:val="Table"/>
        <w:tblW w:type="pct" w:w="5000"/>
        <w:tblLayout w:type="fixed"/>
        <w:tblLook w:firstRow="1" w:lastRow="0" w:firstColumn="0" w:lastColumn="0" w:noHBand="0" w:noVBand="0" w:val="0020"/>
        <w:tblCaption w:val="Sea-turtle component per Program Area, rescaled 0–100 (tbl_attribution_programarea_v7c.csv, tbl_component_not_reportable_programarea_v7c.csv, v7b from tbl_attribution_programarea_v7b.csv). — = not reportable, or no turtle cells. The coverage column gives the share of the Program Area still carrying turtles after the record rule, for the pairs κ = 5 % removes."/>
      </w:tblPr>
      <w:tblGrid>
        <w:gridCol w:w="2738"/>
        <w:gridCol w:w="370"/>
        <w:gridCol w:w="1258"/>
        <w:gridCol w:w="518"/>
        <w:gridCol w:w="370"/>
        <w:gridCol w:w="2294"/>
        <w:gridCol w:w="370"/>
      </w:tblGrid>
      <w:tr>
        <w:trPr>
          <w:tblHeader w:val="on"/>
        </w:trPr>
        <w:tc>
          <w:tcPr/>
          <w:p>
            <w:pPr>
              <w:pStyle w:val="Compact"/>
              <w:jc w:val="left"/>
            </w:pPr>
            <w:r>
              <w:t xml:space="preserve">Program Area</w:t>
            </w:r>
          </w:p>
        </w:tc>
        <w:tc>
          <w:tcPr/>
          <w:p>
            <w:pPr>
              <w:pStyle w:val="Compact"/>
              <w:jc w:val="right"/>
            </w:pPr>
            <w:r>
              <w:t xml:space="preserve">v7</w:t>
            </w:r>
          </w:p>
        </w:tc>
        <w:tc>
          <w:tcPr/>
          <w:p>
            <w:pPr>
              <w:pStyle w:val="Compact"/>
              <w:jc w:val="right"/>
            </w:pPr>
            <w:r>
              <w:t xml:space="preserve">record rule only</w:t>
            </w:r>
          </w:p>
        </w:tc>
        <w:tc>
          <w:tcPr/>
          <w:p>
            <w:pPr>
              <w:pStyle w:val="Compact"/>
              <w:jc w:val="right"/>
            </w:pPr>
            <w:r>
              <w:t xml:space="preserve">κ only</w:t>
            </w:r>
          </w:p>
        </w:tc>
        <w:tc>
          <w:tcPr/>
          <w:p>
            <w:pPr>
              <w:pStyle w:val="Compact"/>
              <w:jc w:val="right"/>
            </w:pPr>
            <w:r>
              <w:t xml:space="preserve">v7c</w:t>
            </w:r>
          </w:p>
        </w:tc>
        <w:tc>
          <w:tcPr/>
          <w:p>
            <w:pPr>
              <w:pStyle w:val="Compact"/>
              <w:jc w:val="right"/>
            </w:pPr>
            <w:r>
              <w:t xml:space="preserve">turtle coverage below κ in v7c</w:t>
            </w:r>
          </w:p>
        </w:tc>
        <w:tc>
          <w:tcPr/>
          <w:p>
            <w:pPr>
              <w:pStyle w:val="Compact"/>
              <w:jc w:val="right"/>
            </w:pPr>
            <w:r>
              <w:t xml:space="preserve">v7b</w:t>
            </w:r>
          </w:p>
        </w:tc>
      </w:tr>
      <w:tr>
        <w:tc>
          <w:tcPr/>
          <w:p>
            <w:pPr>
              <w:pStyle w:val="Compact"/>
              <w:jc w:val="left"/>
            </w:pPr>
            <w:r>
              <w:t xml:space="preserve">Aleutian Arc (ALA)</w:t>
            </w:r>
          </w:p>
        </w:tc>
        <w:tc>
          <w:tcPr/>
          <w:p>
            <w:pPr>
              <w:pStyle w:val="Compact"/>
              <w:jc w:val="right"/>
            </w:pPr>
            <w:r>
              <w:t xml:space="preserve">70.4</w:t>
            </w:r>
          </w:p>
        </w:tc>
        <w:tc>
          <w:tcPr/>
          <w:p>
            <w:pPr>
              <w:pStyle w:val="Compact"/>
              <w:jc w:val="right"/>
            </w:pPr>
            <w:r>
              <w:t xml:space="preserve">0.0</w:t>
            </w:r>
          </w:p>
        </w:tc>
        <w:tc>
          <w:tcPr/>
          <w:p>
            <w:pPr>
              <w:pStyle w:val="Compact"/>
              <w:jc w:val="right"/>
            </w:pPr>
            <w:r>
              <w:t xml:space="preserve">70.4</w:t>
            </w:r>
          </w:p>
        </w:tc>
        <w:tc>
          <w:tcPr/>
          <w:p>
            <w:pPr>
              <w:pStyle w:val="Compact"/>
              <w:jc w:val="right"/>
            </w:pPr>
            <w:r>
              <w:t xml:space="preserve">—</w:t>
            </w:r>
          </w:p>
        </w:tc>
        <w:tc>
          <w:tcPr/>
          <w:p>
            <w:pPr>
              <w:pStyle w:val="Compact"/>
              <w:jc w:val="right"/>
            </w:pPr>
            <w:r>
              <w:t xml:space="preserve">0.017 %</w:t>
            </w:r>
          </w:p>
        </w:tc>
        <w:tc>
          <w:tcPr/>
          <w:p>
            <w:pPr>
              <w:pStyle w:val="Compact"/>
              <w:jc w:val="right"/>
            </w:pPr>
            <w:r>
              <w:t xml:space="preserve">—</w:t>
            </w:r>
          </w:p>
        </w:tc>
      </w:tr>
      <w:tr>
        <w:tc>
          <w:tcPr/>
          <w:p>
            <w:pPr>
              <w:pStyle w:val="Compact"/>
              <w:jc w:val="left"/>
            </w:pPr>
            <w:r>
              <w:t xml:space="preserve">Cook Inlet (COK)</w:t>
            </w:r>
          </w:p>
        </w:tc>
        <w:tc>
          <w:tcPr/>
          <w:p>
            <w:pPr>
              <w:pStyle w:val="Compact"/>
              <w:jc w:val="right"/>
            </w:pPr>
            <w:r>
              <w:t xml:space="preserve">48.7</w:t>
            </w:r>
          </w:p>
        </w:tc>
        <w:tc>
          <w:tcPr/>
          <w:p>
            <w:pPr>
              <w:pStyle w:val="Compact"/>
              <w:jc w:val="right"/>
            </w:pPr>
            <w:r>
              <w:t xml:space="preserve">48.7</w:t>
            </w:r>
          </w:p>
        </w:tc>
        <w:tc>
          <w:tcPr/>
          <w:p>
            <w:pPr>
              <w:pStyle w:val="Compact"/>
              <w:jc w:val="right"/>
            </w:pPr>
            <w:r>
              <w:t xml:space="preserve">48.7</w:t>
            </w:r>
          </w:p>
        </w:tc>
        <w:tc>
          <w:tcPr/>
          <w:p>
            <w:pPr>
              <w:pStyle w:val="Compact"/>
              <w:jc w:val="right"/>
            </w:pPr>
            <w:r>
              <w:t xml:space="preserve">48.7</w:t>
            </w:r>
          </w:p>
        </w:tc>
        <w:tc>
          <w:tcPr/>
          <w:p>
            <w:pPr>
              <w:pStyle w:val="Compact"/>
            </w:pPr>
          </w:p>
        </w:tc>
        <w:tc>
          <w:tcPr/>
          <w:p>
            <w:pPr>
              <w:pStyle w:val="Compact"/>
              <w:jc w:val="right"/>
            </w:pPr>
            <w:r>
              <w:t xml:space="preserve">—</w:t>
            </w:r>
          </w:p>
        </w:tc>
      </w:tr>
      <w:tr>
        <w:tc>
          <w:tcPr/>
          <w:p>
            <w:pPr>
              <w:pStyle w:val="Compact"/>
              <w:jc w:val="left"/>
            </w:pPr>
            <w:r>
              <w:t xml:space="preserve">St. George Basin (GEO)</w:t>
            </w:r>
          </w:p>
        </w:tc>
        <w:tc>
          <w:tcPr/>
          <w:p>
            <w:pPr>
              <w:pStyle w:val="Compact"/>
              <w:jc w:val="right"/>
            </w:pPr>
            <w:r>
              <w:t xml:space="preserve">0.9</w:t>
            </w:r>
          </w:p>
        </w:tc>
        <w:tc>
          <w:tcPr/>
          <w:p>
            <w:pPr>
              <w:pStyle w:val="Compact"/>
              <w:jc w:val="right"/>
            </w:pPr>
            <w:r>
              <w:t xml:space="preserve">0.0</w:t>
            </w:r>
          </w:p>
        </w:tc>
        <w:tc>
          <w:tcPr/>
          <w:p>
            <w:pPr>
              <w:pStyle w:val="Compact"/>
              <w:jc w:val="right"/>
            </w:pPr>
            <w:r>
              <w:t xml:space="preserve">—</w:t>
            </w:r>
          </w:p>
        </w:tc>
        <w:tc>
          <w:tcPr/>
          <w:p>
            <w:pPr>
              <w:pStyle w:val="Compact"/>
              <w:jc w:val="right"/>
            </w:pPr>
            <w:r>
              <w:t xml:space="preserve">—</w:t>
            </w:r>
          </w:p>
        </w:tc>
        <w:tc>
          <w:tcPr/>
          <w:p>
            <w:pPr>
              <w:pStyle w:val="Compact"/>
              <w:jc w:val="right"/>
            </w:pPr>
            <w:r>
              <w:t xml:space="preserve">0.003 %</w:t>
            </w:r>
          </w:p>
        </w:tc>
        <w:tc>
          <w:tcPr/>
          <w:p>
            <w:pPr>
              <w:pStyle w:val="Compact"/>
              <w:jc w:val="right"/>
            </w:pPr>
            <w:r>
              <w:t xml:space="preserve">—</w:t>
            </w:r>
          </w:p>
        </w:tc>
      </w:tr>
      <w:tr>
        <w:tc>
          <w:tcPr/>
          <w:p>
            <w:pPr>
              <w:pStyle w:val="Compact"/>
              <w:jc w:val="left"/>
            </w:pPr>
            <w:r>
              <w:t xml:space="preserve">Gulf of Alaska (GOA)</w:t>
            </w:r>
          </w:p>
        </w:tc>
        <w:tc>
          <w:tcPr/>
          <w:p>
            <w:pPr>
              <w:pStyle w:val="Compact"/>
              <w:jc w:val="right"/>
            </w:pPr>
            <w:r>
              <w:t xml:space="preserve">69.6</w:t>
            </w:r>
          </w:p>
        </w:tc>
        <w:tc>
          <w:tcPr/>
          <w:p>
            <w:pPr>
              <w:pStyle w:val="Compact"/>
              <w:jc w:val="right"/>
            </w:pPr>
            <w:r>
              <w:t xml:space="preserve">69.6</w:t>
            </w:r>
          </w:p>
        </w:tc>
        <w:tc>
          <w:tcPr/>
          <w:p>
            <w:pPr>
              <w:pStyle w:val="Compact"/>
              <w:jc w:val="right"/>
            </w:pPr>
            <w:r>
              <w:t xml:space="preserve">69.6</w:t>
            </w:r>
          </w:p>
        </w:tc>
        <w:tc>
          <w:tcPr/>
          <w:p>
            <w:pPr>
              <w:pStyle w:val="Compact"/>
              <w:jc w:val="right"/>
            </w:pPr>
            <w:r>
              <w:t xml:space="preserve">69.6</w:t>
            </w:r>
          </w:p>
        </w:tc>
        <w:tc>
          <w:tcPr/>
          <w:p>
            <w:pPr>
              <w:pStyle w:val="Compact"/>
            </w:pPr>
          </w:p>
        </w:tc>
        <w:tc>
          <w:tcPr/>
          <w:p>
            <w:pPr>
              <w:pStyle w:val="Compact"/>
              <w:jc w:val="right"/>
            </w:pPr>
            <w:r>
              <w:t xml:space="preserve">11.1</w:t>
            </w:r>
          </w:p>
        </w:tc>
      </w:tr>
      <w:tr>
        <w:tc>
          <w:tcPr/>
          <w:p>
            <w:pPr>
              <w:pStyle w:val="Compact"/>
              <w:jc w:val="left"/>
            </w:pPr>
            <w:r>
              <w:t xml:space="preserve">Kodiak (KOD)</w:t>
            </w:r>
          </w:p>
        </w:tc>
        <w:tc>
          <w:tcPr/>
          <w:p>
            <w:pPr>
              <w:pStyle w:val="Compact"/>
              <w:jc w:val="right"/>
            </w:pPr>
            <w:r>
              <w:t xml:space="preserve">53.1</w:t>
            </w:r>
          </w:p>
        </w:tc>
        <w:tc>
          <w:tcPr/>
          <w:p>
            <w:pPr>
              <w:pStyle w:val="Compact"/>
              <w:jc w:val="right"/>
            </w:pPr>
            <w:r>
              <w:t xml:space="preserve">53.1</w:t>
            </w:r>
          </w:p>
        </w:tc>
        <w:tc>
          <w:tcPr/>
          <w:p>
            <w:pPr>
              <w:pStyle w:val="Compact"/>
              <w:jc w:val="right"/>
            </w:pPr>
            <w:r>
              <w:t xml:space="preserve">53.1</w:t>
            </w:r>
          </w:p>
        </w:tc>
        <w:tc>
          <w:tcPr/>
          <w:p>
            <w:pPr>
              <w:pStyle w:val="Compact"/>
              <w:jc w:val="right"/>
            </w:pPr>
            <w:r>
              <w:t xml:space="preserve">53.1</w:t>
            </w:r>
          </w:p>
        </w:tc>
        <w:tc>
          <w:tcPr/>
          <w:p>
            <w:pPr>
              <w:pStyle w:val="Compact"/>
            </w:pPr>
          </w:p>
        </w:tc>
        <w:tc>
          <w:tcPr/>
          <w:p>
            <w:pPr>
              <w:pStyle w:val="Compact"/>
              <w:jc w:val="right"/>
            </w:pPr>
            <w:r>
              <w:t xml:space="preserve">—</w:t>
            </w:r>
          </w:p>
        </w:tc>
      </w:tr>
      <w:tr>
        <w:tc>
          <w:tcPr/>
          <w:p>
            <w:pPr>
              <w:pStyle w:val="Compact"/>
              <w:jc w:val="left"/>
            </w:pPr>
            <w:r>
              <w:t xml:space="preserve">Shumagin (SHU)</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46.5</w:t>
            </w:r>
          </w:p>
        </w:tc>
        <w:tc>
          <w:tcPr/>
          <w:p>
            <w:pPr>
              <w:pStyle w:val="Compact"/>
            </w:pPr>
          </w:p>
        </w:tc>
        <w:tc>
          <w:tcPr/>
          <w:p>
            <w:pPr>
              <w:pStyle w:val="Compact"/>
              <w:jc w:val="right"/>
            </w:pPr>
            <w:r>
              <w:t xml:space="preserve">—</w:t>
            </w:r>
          </w:p>
        </w:tc>
      </w:tr>
      <w:tr>
        <w:tc>
          <w:tcPr/>
          <w:p>
            <w:pPr>
              <w:pStyle w:val="Compact"/>
              <w:jc w:val="left"/>
            </w:pPr>
            <w:r>
              <w:t xml:space="preserve">Gulf of America Program Area A (GAA)</w:t>
            </w:r>
          </w:p>
        </w:tc>
        <w:tc>
          <w:tcPr/>
          <w:p>
            <w:pPr>
              <w:pStyle w:val="Compact"/>
              <w:jc w:val="right"/>
            </w:pPr>
            <w:r>
              <w:t xml:space="preserve">54.6</w:t>
            </w:r>
          </w:p>
        </w:tc>
        <w:tc>
          <w:tcPr/>
          <w:p>
            <w:pPr>
              <w:pStyle w:val="Compact"/>
              <w:jc w:val="right"/>
            </w:pPr>
            <w:r>
              <w:t xml:space="preserve">54.6</w:t>
            </w:r>
          </w:p>
        </w:tc>
        <w:tc>
          <w:tcPr/>
          <w:p>
            <w:pPr>
              <w:pStyle w:val="Compact"/>
              <w:jc w:val="right"/>
            </w:pPr>
            <w:r>
              <w:t xml:space="preserve">54.6</w:t>
            </w:r>
          </w:p>
        </w:tc>
        <w:tc>
          <w:tcPr/>
          <w:p>
            <w:pPr>
              <w:pStyle w:val="Compact"/>
              <w:jc w:val="right"/>
            </w:pPr>
            <w:r>
              <w:t xml:space="preserve">54.6</w:t>
            </w:r>
          </w:p>
        </w:tc>
        <w:tc>
          <w:tcPr/>
          <w:p>
            <w:pPr>
              <w:pStyle w:val="Compact"/>
            </w:pPr>
          </w:p>
        </w:tc>
        <w:tc>
          <w:tcPr/>
          <w:p>
            <w:pPr>
              <w:pStyle w:val="Compact"/>
              <w:jc w:val="right"/>
            </w:pPr>
            <w:r>
              <w:t xml:space="preserve">52.6</w:t>
            </w:r>
          </w:p>
        </w:tc>
      </w:tr>
      <w:tr>
        <w:tc>
          <w:tcPr/>
          <w:p>
            <w:pPr>
              <w:pStyle w:val="Compact"/>
              <w:jc w:val="left"/>
            </w:pPr>
            <w:r>
              <w:t xml:space="preserve">Gulf of America Program Area B (GAB)</w:t>
            </w:r>
          </w:p>
        </w:tc>
        <w:tc>
          <w:tcPr/>
          <w:p>
            <w:pPr>
              <w:pStyle w:val="Compact"/>
              <w:jc w:val="right"/>
            </w:pPr>
            <w:r>
              <w:t xml:space="preserve">26.4</w:t>
            </w:r>
          </w:p>
        </w:tc>
        <w:tc>
          <w:tcPr/>
          <w:p>
            <w:pPr>
              <w:pStyle w:val="Compact"/>
              <w:jc w:val="right"/>
            </w:pPr>
            <w:r>
              <w:t xml:space="preserve">26.4</w:t>
            </w:r>
          </w:p>
        </w:tc>
        <w:tc>
          <w:tcPr/>
          <w:p>
            <w:pPr>
              <w:pStyle w:val="Compact"/>
              <w:jc w:val="right"/>
            </w:pPr>
            <w:r>
              <w:t xml:space="preserve">26.4</w:t>
            </w:r>
          </w:p>
        </w:tc>
        <w:tc>
          <w:tcPr/>
          <w:p>
            <w:pPr>
              <w:pStyle w:val="Compact"/>
              <w:jc w:val="right"/>
            </w:pPr>
            <w:r>
              <w:t xml:space="preserve">26.4</w:t>
            </w:r>
          </w:p>
        </w:tc>
        <w:tc>
          <w:tcPr/>
          <w:p>
            <w:pPr>
              <w:pStyle w:val="Compact"/>
            </w:pPr>
          </w:p>
        </w:tc>
        <w:tc>
          <w:tcPr/>
          <w:p>
            <w:pPr>
              <w:pStyle w:val="Compact"/>
              <w:jc w:val="right"/>
            </w:pPr>
            <w:r>
              <w:t xml:space="preserve">23.9</w:t>
            </w:r>
          </w:p>
        </w:tc>
      </w:tr>
      <w:tr>
        <w:tc>
          <w:tcPr/>
          <w:p>
            <w:pPr>
              <w:pStyle w:val="Compact"/>
              <w:jc w:val="left"/>
            </w:pPr>
            <w:r>
              <w:t xml:space="preserve">Central California (CEC)</w:t>
            </w:r>
          </w:p>
        </w:tc>
        <w:tc>
          <w:tcPr/>
          <w:p>
            <w:pPr>
              <w:pStyle w:val="Compact"/>
              <w:jc w:val="right"/>
            </w:pPr>
            <w:r>
              <w:t xml:space="preserve">18.6</w:t>
            </w:r>
          </w:p>
        </w:tc>
        <w:tc>
          <w:tcPr/>
          <w:p>
            <w:pPr>
              <w:pStyle w:val="Compact"/>
              <w:jc w:val="right"/>
            </w:pPr>
            <w:r>
              <w:t xml:space="preserve">18.6</w:t>
            </w:r>
          </w:p>
        </w:tc>
        <w:tc>
          <w:tcPr/>
          <w:p>
            <w:pPr>
              <w:pStyle w:val="Compact"/>
              <w:jc w:val="right"/>
            </w:pPr>
            <w:r>
              <w:t xml:space="preserve">18.6</w:t>
            </w:r>
          </w:p>
        </w:tc>
        <w:tc>
          <w:tcPr/>
          <w:p>
            <w:pPr>
              <w:pStyle w:val="Compact"/>
              <w:jc w:val="right"/>
            </w:pPr>
            <w:r>
              <w:t xml:space="preserve">18.6</w:t>
            </w:r>
          </w:p>
        </w:tc>
        <w:tc>
          <w:tcPr/>
          <w:p>
            <w:pPr>
              <w:pStyle w:val="Compact"/>
            </w:pPr>
          </w:p>
        </w:tc>
        <w:tc>
          <w:tcPr/>
          <w:p>
            <w:pPr>
              <w:pStyle w:val="Compact"/>
              <w:jc w:val="right"/>
            </w:pPr>
            <w:r>
              <w:t xml:space="preserve">27.4</w:t>
            </w:r>
          </w:p>
        </w:tc>
      </w:tr>
      <w:tr>
        <w:tc>
          <w:tcPr/>
          <w:p>
            <w:pPr>
              <w:pStyle w:val="Compact"/>
              <w:jc w:val="left"/>
            </w:pPr>
            <w:r>
              <w:t xml:space="preserve">Northern California (NOC)</w:t>
            </w:r>
          </w:p>
        </w:tc>
        <w:tc>
          <w:tcPr/>
          <w:p>
            <w:pPr>
              <w:pStyle w:val="Compact"/>
              <w:jc w:val="right"/>
            </w:pPr>
            <w:r>
              <w:t xml:space="preserve">14.4</w:t>
            </w:r>
          </w:p>
        </w:tc>
        <w:tc>
          <w:tcPr/>
          <w:p>
            <w:pPr>
              <w:pStyle w:val="Compact"/>
              <w:jc w:val="right"/>
            </w:pPr>
            <w:r>
              <w:t xml:space="preserve">14.4</w:t>
            </w:r>
          </w:p>
        </w:tc>
        <w:tc>
          <w:tcPr/>
          <w:p>
            <w:pPr>
              <w:pStyle w:val="Compact"/>
              <w:jc w:val="right"/>
            </w:pPr>
            <w:r>
              <w:t xml:space="preserve">14.4</w:t>
            </w:r>
          </w:p>
        </w:tc>
        <w:tc>
          <w:tcPr/>
          <w:p>
            <w:pPr>
              <w:pStyle w:val="Compact"/>
              <w:jc w:val="right"/>
            </w:pPr>
            <w:r>
              <w:t xml:space="preserve">14.4</w:t>
            </w:r>
          </w:p>
        </w:tc>
        <w:tc>
          <w:tcPr/>
          <w:p>
            <w:pPr>
              <w:pStyle w:val="Compact"/>
            </w:pPr>
          </w:p>
        </w:tc>
        <w:tc>
          <w:tcPr/>
          <w:p>
            <w:pPr>
              <w:pStyle w:val="Compact"/>
              <w:jc w:val="right"/>
            </w:pPr>
            <w:r>
              <w:t xml:space="preserve">23.1</w:t>
            </w:r>
          </w:p>
        </w:tc>
      </w:tr>
      <w:tr>
        <w:tc>
          <w:tcPr/>
          <w:p>
            <w:pPr>
              <w:pStyle w:val="Compact"/>
              <w:jc w:val="left"/>
            </w:pPr>
            <w:r>
              <w:t xml:space="preserve">Southern California (SOC)</w:t>
            </w:r>
          </w:p>
        </w:tc>
        <w:tc>
          <w:tcPr/>
          <w:p>
            <w:pPr>
              <w:pStyle w:val="Compact"/>
              <w:jc w:val="right"/>
            </w:pPr>
            <w:r>
              <w:t xml:space="preserve">26.8</w:t>
            </w:r>
          </w:p>
        </w:tc>
        <w:tc>
          <w:tcPr/>
          <w:p>
            <w:pPr>
              <w:pStyle w:val="Compact"/>
              <w:jc w:val="right"/>
            </w:pPr>
            <w:r>
              <w:t xml:space="preserve">26.8</w:t>
            </w:r>
          </w:p>
        </w:tc>
        <w:tc>
          <w:tcPr/>
          <w:p>
            <w:pPr>
              <w:pStyle w:val="Compact"/>
              <w:jc w:val="right"/>
            </w:pPr>
            <w:r>
              <w:t xml:space="preserve">26.8</w:t>
            </w:r>
          </w:p>
        </w:tc>
        <w:tc>
          <w:tcPr/>
          <w:p>
            <w:pPr>
              <w:pStyle w:val="Compact"/>
              <w:jc w:val="right"/>
            </w:pPr>
            <w:r>
              <w:t xml:space="preserve">26.8</w:t>
            </w:r>
          </w:p>
        </w:tc>
        <w:tc>
          <w:tcPr/>
          <w:p>
            <w:pPr>
              <w:pStyle w:val="Compact"/>
            </w:pPr>
          </w:p>
        </w:tc>
        <w:tc>
          <w:tcPr/>
          <w:p>
            <w:pPr>
              <w:pStyle w:val="Compact"/>
              <w:jc w:val="right"/>
            </w:pPr>
            <w:r>
              <w:t xml:space="preserve">35.2</w:t>
            </w:r>
          </w:p>
        </w:tc>
      </w:tr>
    </w:tbl>
    <w:p>
      <w:pPr>
        <w:pStyle w:val="BodyText"/>
      </w:pPr>
      <w:r>
        <w:t xml:space="preserve"> </w:t>
      </w:r>
    </w:p>
    <w:p>
      <w:pPr>
        <w:pStyle w:val="TableCaption"/>
      </w:pPr>
      <w:r>
        <w:t xml:space="preserve">Marine-mammal component in the two Gulf of America Program Areas (</w:t>
      </w:r>
      <w:r>
        <w:rPr>
          <w:rStyle w:val="VerbatimChar"/>
        </w:rPr>
        <w:t xml:space="preserve">tbl_attribution_programarea_v7c.csv</w:t>
      </w:r>
      <w:r>
        <w:t xml:space="preserve">). No other Program Area’s mammal component moves.</w:t>
      </w:r>
    </w:p>
    <w:tbl>
      <w:tblPr>
        <w:tblStyle w:val="Table"/>
        <w:tblW w:type="pct" w:w="5000"/>
        <w:tblLayout w:type="fixed"/>
        <w:tblLook w:firstRow="1" w:lastRow="0" w:firstColumn="0" w:lastColumn="0" w:noHBand="0" w:noVBand="0" w:val="0020"/>
        <w:tblCaption w:val="Marine-mammal component in the two Gulf of America Program Areas (tbl_attribution_programarea_v7c.csv). No other Program Area’s mammal component moves."/>
      </w:tblPr>
      <w:tblGrid>
        <w:gridCol w:w="4246"/>
        <w:gridCol w:w="573"/>
        <w:gridCol w:w="2525"/>
        <w:gridCol w:w="573"/>
      </w:tblGrid>
      <w:tr>
        <w:trPr>
          <w:tblHeader w:val="on"/>
        </w:trPr>
        <w:tc>
          <w:tcPr/>
          <w:p>
            <w:pPr>
              <w:pStyle w:val="Compact"/>
              <w:jc w:val="left"/>
            </w:pPr>
            <w:r>
              <w:t xml:space="preserve">Program Area</w:t>
            </w:r>
          </w:p>
        </w:tc>
        <w:tc>
          <w:tcPr/>
          <w:p>
            <w:pPr>
              <w:pStyle w:val="Compact"/>
              <w:jc w:val="right"/>
            </w:pPr>
            <w:r>
              <w:t xml:space="preserve">v7</w:t>
            </w:r>
          </w:p>
        </w:tc>
        <w:tc>
          <w:tcPr/>
          <w:p>
            <w:pPr>
              <w:pStyle w:val="Compact"/>
              <w:jc w:val="right"/>
            </w:pPr>
            <w:r>
              <w:t xml:space="preserve">right whale rule only</w:t>
            </w:r>
          </w:p>
        </w:tc>
        <w:tc>
          <w:tcPr/>
          <w:p>
            <w:pPr>
              <w:pStyle w:val="Compact"/>
              <w:jc w:val="right"/>
            </w:pPr>
            <w:r>
              <w:t xml:space="preserve">v7c</w:t>
            </w:r>
          </w:p>
        </w:tc>
      </w:tr>
      <w:tr>
        <w:tc>
          <w:tcPr/>
          <w:p>
            <w:pPr>
              <w:pStyle w:val="Compact"/>
              <w:jc w:val="left"/>
            </w:pPr>
            <w:r>
              <w:t xml:space="preserve">Gulf of America Program Area A (GAA)</w:t>
            </w:r>
          </w:p>
        </w:tc>
        <w:tc>
          <w:tcPr/>
          <w:p>
            <w:pPr>
              <w:pStyle w:val="Compact"/>
              <w:jc w:val="right"/>
            </w:pPr>
            <w:r>
              <w:t xml:space="preserve">39.8</w:t>
            </w:r>
          </w:p>
        </w:tc>
        <w:tc>
          <w:tcPr/>
          <w:p>
            <w:pPr>
              <w:pStyle w:val="Compact"/>
              <w:jc w:val="right"/>
            </w:pPr>
            <w:r>
              <w:t xml:space="preserve">42.2</w:t>
            </w:r>
          </w:p>
        </w:tc>
        <w:tc>
          <w:tcPr/>
          <w:p>
            <w:pPr>
              <w:pStyle w:val="Compact"/>
              <w:jc w:val="right"/>
            </w:pPr>
            <w:r>
              <w:t xml:space="preserve">42.2</w:t>
            </w:r>
          </w:p>
        </w:tc>
      </w:tr>
      <w:tr>
        <w:tc>
          <w:tcPr/>
          <w:p>
            <w:pPr>
              <w:pStyle w:val="Compact"/>
              <w:jc w:val="left"/>
            </w:pPr>
            <w:r>
              <w:t xml:space="preserve">Gulf of America Program Area B (GAB)</w:t>
            </w:r>
          </w:p>
        </w:tc>
        <w:tc>
          <w:tcPr/>
          <w:p>
            <w:pPr>
              <w:pStyle w:val="Compact"/>
              <w:jc w:val="right"/>
            </w:pPr>
            <w:r>
              <w:t xml:space="preserve">56.6</w:t>
            </w:r>
          </w:p>
        </w:tc>
        <w:tc>
          <w:tcPr/>
          <w:p>
            <w:pPr>
              <w:pStyle w:val="Compact"/>
              <w:jc w:val="right"/>
            </w:pPr>
            <w:r>
              <w:t xml:space="preserve">61.3</w:t>
            </w:r>
          </w:p>
        </w:tc>
        <w:tc>
          <w:tcPr/>
          <w:p>
            <w:pPr>
              <w:pStyle w:val="Compact"/>
              <w:jc w:val="right"/>
            </w:pPr>
            <w:r>
              <w:t xml:space="preserve">61.3</w:t>
            </w:r>
          </w:p>
        </w:tc>
      </w:tr>
    </w:tbl>
    <w:p>
      <w:pPr>
        <w:pStyle w:val="BodyText"/>
      </w:pPr>
      <w:r>
        <w:t xml:space="preserve">The Spearman rank correlation of the 20 composites between v7 and v7c is 0.985 (</w:t>
      </w:r>
      <w:r>
        <w:rPr>
          <w:rStyle w:val="VerbatimChar"/>
        </w:rPr>
        <w:t xml:space="preserve">build_v7c.json</w:t>
      </w:r>
      <w:r>
        <w:t xml:space="preserve">).</w:t>
      </w:r>
    </w:p>
    <w:bookmarkEnd w:id="168"/>
    <w:bookmarkStart w:id="169" w:name="compared-with-v7b"/>
    <w:p>
      <w:pPr>
        <w:pStyle w:val="Heading2"/>
      </w:pPr>
      <w:r>
        <w:t xml:space="preserve">4.6 Compared with v7b</w:t>
      </w:r>
    </w:p>
    <w:p>
      <w:pPr>
        <w:pStyle w:val="FirstParagraph"/>
      </w:pPr>
      <w:r>
        <w:t xml:space="preserve">v7b answered the same question with a different rule: AquaMaps suitability entered the turtle merge only where it was at least 0.5, and a range cell with none was dropped. In the Bering Sea the two rules agree: Aleutian Arc and St. George Basin carry no turtles in either. They part in the Gulf of Alaska. The threshold left only the leatherback there, at suitability 0.50–0.58 off Southeast Alaska, and removed loggerhead, green and olive ridley from the Gulf of Alaska, where all three have been recorded. It also emptied Kodiak, Cook Inlet and Shumagin of turtles. v7c keeps all four recorded species in the Gulf of Alaska Program Areas at their v7 values (turtle component table above).</w:t>
      </w:r>
    </w:p>
    <w:p>
      <w:pPr>
        <w:pStyle w:val="BodyText"/>
      </w:pPr>
      <w:r>
        <w:t xml:space="preserve">The threshold also reshaped turtle surfaces in the lower 48, raising the turtle component off California and lowering it in the Gulf of America. v7c leaves every turtle cell outside the dropped ecoregion exactly as v7 had it, so those components stay at v7’s values. v7b did not touch the right whale.</w:t>
      </w:r>
    </w:p>
    <w:bookmarkEnd w:id="169"/>
    <w:bookmarkStart w:id="170" w:name="caveats"/>
    <w:p>
      <w:pPr>
        <w:pStyle w:val="Heading2"/>
      </w:pPr>
      <w:r>
        <w:t xml:space="preserve">4.7 Caveats</w:t>
      </w:r>
    </w:p>
    <w:p>
      <w:pPr>
        <w:pStyle w:val="Compact"/>
        <w:numPr>
          <w:ilvl w:val="0"/>
          <w:numId w:val="1013"/>
        </w:numPr>
      </w:pPr>
      <w:r>
        <w:rPr>
          <w:b/>
          <w:bCs/>
        </w:rPr>
        <w:t xml:space="preserve">Season is ignored.</w:t>
      </w:r>
      <w:r>
        <w:t xml:space="preserve"> </w:t>
      </w:r>
      <w:r>
        <w:t xml:space="preserve">Green turtles are reported in Alaska mostly October–December and leatherbacks July–August. An annual rule suits an annual score; a seasonal product would need the same tables by month.</w:t>
      </w:r>
    </w:p>
    <w:p>
      <w:pPr>
        <w:pStyle w:val="Compact"/>
        <w:numPr>
          <w:ilvl w:val="0"/>
          <w:numId w:val="1013"/>
        </w:numPr>
      </w:pPr>
      <w:r>
        <w:rPr>
          <w:b/>
          <w:bCs/>
        </w:rPr>
        <w:t xml:space="preserve">The channels cover different years.</w:t>
      </w:r>
      <w:r>
        <w:t xml:space="preserve"> </w:t>
      </w:r>
      <w:r>
        <w:t xml:space="preserve">The NOAA Alaska file runs 1963–2020 and thins after 2002; iNaturalist starts around 2008; OBIS and GBIF pool more than a century, partly undated. A species absent from every channel in every year is the robust case the rule acts on. It is not a forecast: warming may bring turtles further north, and the rule should be re-run as records arrive.</w:t>
      </w:r>
    </w:p>
    <w:p>
      <w:pPr>
        <w:pStyle w:val="Compact"/>
        <w:numPr>
          <w:ilvl w:val="0"/>
          <w:numId w:val="1013"/>
        </w:numPr>
      </w:pPr>
      <w:r>
        <w:rPr>
          <w:b/>
          <w:bCs/>
        </w:rPr>
        <w:t xml:space="preserve">The ecoregion is coarse.</w:t>
      </w:r>
      <w:r>
        <w:t xml:space="preserve"> </w:t>
      </w:r>
      <w:r>
        <w:t xml:space="preserve">One record keeps a species across a whole ecoregion at its modeled value: the Gulf of Alaska keeps four species on a few dozen records (Alaska records table above).</w:t>
      </w:r>
    </w:p>
    <w:p>
      <w:pPr>
        <w:pStyle w:val="Compact"/>
        <w:numPr>
          <w:ilvl w:val="0"/>
          <w:numId w:val="1013"/>
        </w:numPr>
      </w:pPr>
      <w:r>
        <w:rPr>
          <w:b/>
          <w:bCs/>
        </w:rPr>
        <w:t xml:space="preserve">A cell goes with its majority ecoregion.</w:t>
      </w:r>
      <w:r>
        <w:t xml:space="preserve"> </w:t>
      </w:r>
      <w:r>
        <w:t xml:space="preserve">This is why the Aleutian Arc and St. George Basin keep a sliver of turtle cells under the record rule alone, which κ then removes.</w:t>
      </w:r>
    </w:p>
    <w:p>
      <w:pPr>
        <w:pStyle w:val="Compact"/>
        <w:numPr>
          <w:ilvl w:val="0"/>
          <w:numId w:val="1013"/>
        </w:numPr>
      </w:pPr>
      <w:r>
        <w:rPr>
          <w:b/>
          <w:bCs/>
        </w:rPr>
        <w:t xml:space="preserve">Five data requests are open.</w:t>
      </w:r>
      <w:r>
        <w:t xml:space="preserve"> </w:t>
      </w:r>
      <w:r>
        <w:t xml:space="preserve">Their answers could move the evidence, most of all the Alaska Region’s records since 2003:</w:t>
      </w:r>
    </w:p>
    <w:p>
      <w:pPr>
        <w:pStyle w:val="TableCaption"/>
      </w:pPr>
      <w:r>
        <w:t xml:space="preserve">Open data requests (</w:t>
      </w:r>
      <w:r>
        <w:rPr>
          <w:rStyle w:val="VerbatimChar"/>
        </w:rPr>
        <w:t xml:space="preserve">sources.csv</w:t>
      </w:r>
      <w:r>
        <w:t xml:space="preserve">). The STSSN counts used here are preliminary and are cited pending the state coordinators’ permission</w:t>
      </w:r>
      <w:r>
        <w:t xml:space="preserve"> </w:t>
      </w:r>
      <w:r>
        <w:t xml:space="preserve">(NOAA Fisheries Southeast Fisheries Science Center 2026)</w:t>
      </w:r>
      <w:r>
        <w:t xml:space="preserve">.</w:t>
      </w:r>
    </w:p>
    <w:tbl>
      <w:tblPr>
        <w:tblStyle w:val="Table"/>
        <w:tblW w:type="pct" w:w="5000"/>
        <w:tblLayout w:type="fixed"/>
        <w:tblLook w:firstRow="1" w:lastRow="0" w:firstColumn="0" w:lastColumn="0" w:noHBand="0" w:noVBand="0" w:val="0020"/>
        <w:tblCaption w:val="Open data requests (sources.csv). The STSSN counts used here are preliminary and are cited pending the state coordinators’ permission (NOAA Fisheries Southeast Fisheries Science Center 2026)."/>
      </w:tblPr>
      <w:tblGrid>
        <w:gridCol w:w="2668"/>
        <w:gridCol w:w="4087"/>
        <w:gridCol w:w="454"/>
        <w:gridCol w:w="397"/>
        <w:gridCol w:w="312"/>
      </w:tblGrid>
      <w:tr>
        <w:trPr>
          <w:tblHeader w:val="on"/>
        </w:trPr>
        <w:tc>
          <w:tcPr/>
          <w:p>
            <w:pPr>
              <w:pStyle w:val="Compact"/>
            </w:pPr>
            <w:r>
              <w:t xml:space="preserve">Request</w:t>
            </w:r>
          </w:p>
        </w:tc>
        <w:tc>
          <w:tcPr/>
          <w:p>
            <w:pPr>
              <w:pStyle w:val="Compact"/>
            </w:pPr>
            <w:r>
              <w:t xml:space="preserve">Asked</w:t>
            </w:r>
          </w:p>
        </w:tc>
        <w:tc>
          <w:tcPr/>
          <w:p>
            <w:pPr>
              <w:pStyle w:val="Compact"/>
            </w:pPr>
            <w:r>
              <w:t xml:space="preserve">Coverage</w:t>
            </w:r>
          </w:p>
        </w:tc>
        <w:tc>
          <w:tcPr/>
          <w:p>
            <w:pPr>
              <w:pStyle w:val="Compact"/>
            </w:pPr>
            <w:r>
              <w:t xml:space="preserve">Years</w:t>
            </w:r>
          </w:p>
        </w:tc>
        <w:tc>
          <w:tcPr/>
          <w:p>
            <w:pPr>
              <w:pStyle w:val="Compact"/>
            </w:pPr>
            <w:r>
              <w:t xml:space="preserve">Status</w:t>
            </w:r>
          </w:p>
        </w:tc>
      </w:tr>
      <w:tr>
        <w:tc>
          <w:tcPr/>
          <w:p>
            <w:pPr>
              <w:pStyle w:val="Compact"/>
            </w:pPr>
            <w:r>
              <w:t xml:space="preserve">1. NOAA Alaska Region (Jenna Malek)</w:t>
            </w:r>
          </w:p>
        </w:tc>
        <w:tc>
          <w:tcPr/>
          <w:p>
            <w:pPr>
              <w:pStyle w:val="Compact"/>
            </w:pPr>
            <w:r>
              <w:t xml:space="preserve">Alaska sea turtle records 2003 to present, typed as the 1963–2020 file; Alaska marine mammal strandings per year by area</w:t>
            </w:r>
          </w:p>
        </w:tc>
        <w:tc>
          <w:tcPr/>
          <w:p>
            <w:pPr>
              <w:pStyle w:val="Compact"/>
            </w:pPr>
            <w:r>
              <w:t xml:space="preserve">Alaska</w:t>
            </w:r>
          </w:p>
        </w:tc>
        <w:tc>
          <w:tcPr/>
          <w:p>
            <w:pPr>
              <w:pStyle w:val="Compact"/>
            </w:pPr>
            <w:r>
              <w:t xml:space="preserve">2003–present</w:t>
            </w:r>
          </w:p>
        </w:tc>
        <w:tc>
          <w:tcPr/>
          <w:p>
            <w:pPr>
              <w:pStyle w:val="Compact"/>
            </w:pPr>
            <w:r>
              <w:t xml:space="preserve">requested</w:t>
            </w:r>
          </w:p>
        </w:tc>
      </w:tr>
      <w:tr>
        <w:tc>
          <w:tcPr/>
          <w:p>
            <w:pPr>
              <w:pStyle w:val="Compact"/>
            </w:pPr>
            <w:r>
              <w:t xml:space="preserve">2. NOAA West Coast Region stranding coordinators</w:t>
            </w:r>
          </w:p>
        </w:tc>
        <w:tc>
          <w:tcPr/>
          <w:p>
            <w:pPr>
              <w:pStyle w:val="Compact"/>
            </w:pPr>
            <w:r>
              <w:t xml:space="preserve">sea turtle strandings per year by state and species, ideally 1980 to present; marine mammal strandings by state</w:t>
            </w:r>
          </w:p>
        </w:tc>
        <w:tc>
          <w:tcPr/>
          <w:p>
            <w:pPr>
              <w:pStyle w:val="Compact"/>
            </w:pPr>
            <w:r>
              <w:t xml:space="preserve">CA, OR, WA</w:t>
            </w:r>
          </w:p>
        </w:tc>
        <w:tc>
          <w:tcPr/>
          <w:p>
            <w:pPr>
              <w:pStyle w:val="Compact"/>
            </w:pPr>
            <w:r>
              <w:t xml:space="preserve">1980–present</w:t>
            </w:r>
          </w:p>
        </w:tc>
        <w:tc>
          <w:tcPr/>
          <w:p>
            <w:pPr>
              <w:pStyle w:val="Compact"/>
            </w:pPr>
            <w:r>
              <w:t xml:space="preserve">requested</w:t>
            </w:r>
          </w:p>
        </w:tc>
      </w:tr>
      <w:tr>
        <w:tc>
          <w:tcPr/>
          <w:p>
            <w:pPr>
              <w:pStyle w:val="Compact"/>
            </w:pPr>
            <w:r>
              <w:t xml:space="preserve">3. STSSN state coordinators</w:t>
            </w:r>
          </w:p>
        </w:tc>
        <w:tc>
          <w:tcPr/>
          <w:p>
            <w:pPr>
              <w:pStyle w:val="Compact"/>
            </w:pPr>
            <w:r>
              <w:t xml:space="preserve">permission to cite the preliminary Gulf and Atlantic counts used here (data release policy)</w:t>
            </w:r>
          </w:p>
        </w:tc>
        <w:tc>
          <w:tcPr/>
          <w:p>
            <w:pPr>
              <w:pStyle w:val="Compact"/>
            </w:pPr>
            <w:r>
              <w:t xml:space="preserve">Gulf, Atlantic</w:t>
            </w:r>
          </w:p>
        </w:tc>
        <w:tc>
          <w:tcPr/>
          <w:p>
            <w:pPr>
              <w:pStyle w:val="Compact"/>
            </w:pPr>
            <w:r>
              <w:t xml:space="preserve">2016–2025</w:t>
            </w:r>
          </w:p>
        </w:tc>
        <w:tc>
          <w:tcPr/>
          <w:p>
            <w:pPr>
              <w:pStyle w:val="Compact"/>
            </w:pPr>
            <w:r>
              <w:t xml:space="preserve">requested</w:t>
            </w:r>
          </w:p>
        </w:tc>
      </w:tr>
      <w:tr>
        <w:tc>
          <w:tcPr/>
          <w:p>
            <w:pPr>
              <w:pStyle w:val="Compact"/>
            </w:pPr>
            <w:r>
              <w:t xml:space="preserve">4. AFSC Marine Mammal Laboratory / Platforms of Opportunity / North Pacific Observer Program</w:t>
            </w:r>
          </w:p>
        </w:tc>
        <w:tc>
          <w:tcPr/>
          <w:p>
            <w:pPr>
              <w:pStyle w:val="Compact"/>
            </w:pPr>
            <w:r>
              <w:t xml:space="preserve">any sea turtle record from Alaska cetacean surveys, Platforms of Opportunity (1950–present, non-public) and the observer database, with effort</w:t>
            </w:r>
          </w:p>
        </w:tc>
        <w:tc>
          <w:tcPr/>
          <w:p>
            <w:pPr>
              <w:pStyle w:val="Compact"/>
            </w:pPr>
            <w:r>
              <w:t xml:space="preserve">Alaska</w:t>
            </w:r>
          </w:p>
        </w:tc>
        <w:tc>
          <w:tcPr/>
          <w:p>
            <w:pPr>
              <w:pStyle w:val="Compact"/>
            </w:pPr>
            <w:r>
              <w:t xml:space="preserve">1950–present</w:t>
            </w:r>
          </w:p>
        </w:tc>
        <w:tc>
          <w:tcPr/>
          <w:p>
            <w:pPr>
              <w:pStyle w:val="Compact"/>
            </w:pPr>
            <w:r>
              <w:t xml:space="preserve">requested</w:t>
            </w:r>
          </w:p>
        </w:tc>
      </w:tr>
      <w:tr>
        <w:tc>
          <w:tcPr/>
          <w:p>
            <w:pPr>
              <w:pStyle w:val="Compact"/>
            </w:pPr>
            <w:r>
              <w:t xml:space="preserve">5. SEFSC on-effort database (Lance Garrison)</w:t>
            </w:r>
          </w:p>
        </w:tc>
        <w:tc>
          <w:tcPr/>
          <w:p>
            <w:pPr>
              <w:pStyle w:val="Compact"/>
            </w:pPr>
            <w:r>
              <w:t xml:space="preserve">on-effort turtle sightings per km surveyed, Gulf and Atlantic</w:t>
            </w:r>
          </w:p>
        </w:tc>
        <w:tc>
          <w:tcPr/>
          <w:p>
            <w:pPr>
              <w:pStyle w:val="Compact"/>
            </w:pPr>
            <w:r>
              <w:t xml:space="preserve">Gulf, Atlantic</w:t>
            </w:r>
          </w:p>
        </w:tc>
        <w:tc>
          <w:tcPr/>
          <w:p>
            <w:pPr>
              <w:pStyle w:val="Compact"/>
            </w:pPr>
          </w:p>
        </w:tc>
        <w:tc>
          <w:tcPr/>
          <w:p>
            <w:pPr>
              <w:pStyle w:val="Compact"/>
            </w:pPr>
            <w:r>
              <w:t xml:space="preserve">requested</w:t>
            </w:r>
          </w:p>
        </w:tc>
      </w:tr>
    </w:tbl>
    <w:bookmarkEnd w:id="170"/>
    <w:bookmarkStart w:id="171" w:name="reproducing-v7c"/>
    <w:p>
      <w:pPr>
        <w:pStyle w:val="Heading2"/>
      </w:pPr>
      <w:r>
        <w:t xml:space="preserve">4.8 Reproducing v7c</w:t>
      </w:r>
    </w:p>
    <w:p>
      <w:pPr>
        <w:pStyle w:val="FirstParagraph"/>
      </w:pPr>
      <w:r>
        <w:t xml:space="preserve">The exclusions are data:</w:t>
      </w:r>
      <w:r>
        <w:t xml:space="preserve"> </w:t>
      </w:r>
      <w:r>
        <w:rPr>
          <w:rStyle w:val="VerbatimChar"/>
        </w:rPr>
        <w:t xml:space="preserve">data/v7c/zone_exclusions.csv</w:t>
      </w:r>
      <w:r>
        <w:t xml:space="preserve"> </w:t>
      </w:r>
      <w:r>
        <w:t xml:space="preserve">in the workflows repository, written by</w:t>
      </w:r>
      <w:r>
        <w:t xml:space="preserve"> </w:t>
      </w:r>
      <w:r>
        <w:rPr>
          <w:rStyle w:val="VerbatimChar"/>
        </w:rPr>
        <w:t xml:space="preserve">build_v7c_exclusions.qmd</w:t>
      </w:r>
      <w:r>
        <w:t xml:space="preserve">, applied by</w:t>
      </w:r>
      <w:r>
        <w:t xml:space="preserve"> </w:t>
      </w:r>
      <w:r>
        <w:rPr>
          <w:rStyle w:val="VerbatimChar"/>
        </w:rPr>
        <w:t xml:space="preserve">build_v7c.qmd</w:t>
      </w:r>
      <w:r>
        <w:t xml:space="preserve"> </w:t>
      </w:r>
      <w:r>
        <w:t xml:space="preserve">through</w:t>
      </w:r>
      <w:r>
        <w:t xml:space="preserve"> </w:t>
      </w:r>
      <w:r>
        <w:rPr>
          <w:rStyle w:val="VerbatimChar"/>
        </w:rPr>
        <w:t xml:space="preserve">msens::cell_zone_major_sql()</w:t>
      </w:r>
      <w:r>
        <w:t xml:space="preserve"> </w:t>
      </w:r>
      <w:r>
        <w:t xml:space="preserve">and</w:t>
      </w:r>
      <w:r>
        <w:t xml:space="preserve"> </w:t>
      </w:r>
      <w:r>
        <w:rPr>
          <w:rStyle w:val="VerbatimChar"/>
        </w:rPr>
        <w:t xml:space="preserve">msens::zone_exclude_sql()</w:t>
      </w:r>
      <w:r>
        <w:t xml:space="preserve">, each guarded by unit tests (a straddling cell goes with the larger side, a tie goes to the ecoregion key that sorts first, a critical-habitat cell survives, one taxon’s exclusion never touches another). The release records the rules it applied in its</w:t>
      </w:r>
      <w:r>
        <w:t xml:space="preserve"> </w:t>
      </w:r>
      <w:r>
        <w:rPr>
          <w:rStyle w:val="VerbatimChar"/>
        </w:rPr>
        <w:t xml:space="preserve">release_method</w:t>
      </w:r>
      <w:r>
        <w:t xml:space="preserve"> </w:t>
      </w:r>
      <w:r>
        <w:t xml:space="preserve">table, including the exclusion table’s digest, and a build with the same flags on any machine must reproduce the committed reference digests (</w:t>
      </w:r>
      <w:r>
        <w:rPr>
          <w:rStyle w:val="VerbatimChar"/>
        </w:rPr>
        <w:t xml:space="preserve">build_v7c.json</w:t>
      </w:r>
      <w:r>
        <w:t xml:space="preserve">).</w:t>
      </w:r>
    </w:p>
    <w:bookmarkEnd w:id="171"/>
    <w:bookmarkEnd w:id="172"/>
    <w:bookmarkStart w:id="188"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Applications/quarto/share/formats/docx/tip.png" id="175" name="Picture"/>
                          <pic:cNvPicPr>
                            <a:picLocks noChangeArrowheads="1" noChangeAspect="1"/>
                          </pic:cNvPicPr>
                        </pic:nvPicPr>
                        <pic:blipFill>
                          <a:blip r:embed="rId1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5">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77"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76"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76"/>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77"/>
    <w:bookmarkStart w:id="179"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78"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78"/>
    </w:p>
    <w:p>
      <w:pPr>
        <w:pStyle w:val="FirstParagraph"/>
      </w:pPr>
      <w:r>
        <w:t xml:space="preserve">where:</w:t>
      </w:r>
    </w:p>
    <w:p>
      <w:pPr>
        <w:pStyle w:val="Compact"/>
        <w:numPr>
          <w:ilvl w:val="0"/>
          <w:numId w:val="1014"/>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14"/>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14"/>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14"/>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79"/>
    <w:bookmarkStart w:id="180"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5"/>
        </w:numPr>
      </w:pPr>
      <w:r>
        <w:rPr>
          <w:b/>
          <w:bCs/>
        </w:rPr>
        <w:t xml:space="preserve">Species</w:t>
      </w:r>
      <w:r>
        <w:t xml:space="preserve"> </w:t>
      </w:r>
      <w:r>
        <w:t xml:space="preserve">— by taxonomic category (bird, coral, fish, invertebrate, mammal, reptile/turtle): extinction risk weighted species distribution models across 16,153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5"/>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5"/>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80"/>
    <w:bookmarkStart w:id="187"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81"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81"/>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86"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85" w:name="fig-map-ecoregions-science"/>
          <w:p>
            <w:pPr>
              <w:pStyle w:val="Compact"/>
              <w:jc w:val="center"/>
            </w:pPr>
            <w:r>
              <w:drawing>
                <wp:inline>
                  <wp:extent cx="5334000" cy="3182620"/>
                  <wp:effectExtent b="0" l="0" r="0" t="0"/>
                  <wp:docPr descr="" title="" id="183" name="Picture"/>
                  <a:graphic>
                    <a:graphicData uri="http://schemas.openxmlformats.org/drawingml/2006/picture">
                      <pic:pic>
                        <pic:nvPicPr>
                          <pic:cNvPr descr="figures/map-ecoregions-static.png" id="184" name="Picture"/>
                          <pic:cNvPicPr>
                            <a:picLocks noChangeArrowheads="1" noChangeAspect="1"/>
                          </pic:cNvPicPr>
                        </pic:nvPicPr>
                        <pic:blipFill>
                          <a:blip r:embed="rId18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85"/>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86"/>
    <w:bookmarkEnd w:id="187"/>
    <w:bookmarkEnd w:id="188"/>
    <w:bookmarkStart w:id="232"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8 source datasets</w:t>
      </w:r>
      <w:r>
        <w:t xml:space="preserve">, though not in equal measure —</w:t>
      </w:r>
      <w:r>
        <w:t xml:space="preserve"> </w:t>
      </w:r>
      <w:r>
        <w:rPr>
          <w:rStyle w:val="VerbatimChar"/>
        </w:rPr>
        <w:t xml:space="preserve">am_0.05</w:t>
      </w:r>
      <w:r>
        <w:t xml:space="preserve"> </w:t>
      </w:r>
      <w:r>
        <w:t xml:space="preserve">alone supplies the distribution of 97%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Applications/quarto/share/formats/docx/note.png" id="1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v7c</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94"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91" w:name="tbl-datasets"/>
          <w:p>
            <w:pPr>
              <w:jc w:val="center"/>
            </w:pPr>
            <w:pPr>
              <w:jc w:val="left"/>
              <w:spacing w:before="200"/>
              <w:pStyle w:val="ImageCaption"/>
            </w:pPr>
            <w:r>
              <w:t xml:space="preserve">Table 6.1: Source datasets in v7c,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1742"/>
              <w:gridCol w:w="1742"/>
              <w:gridCol w:w="2930"/>
              <w:gridCol w:w="475"/>
              <w:gridCol w:w="554"/>
              <w:gridCol w:w="475"/>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am_0.05</w:t>
                  </w:r>
                </w:p>
              </w:tc>
              <w:tc>
                <w:tcPr/>
                <w:p>
                  <w:pPr>
                    <w:pStyle w:val="Compact"/>
                    <w:jc w:val="left"/>
                    <w:jc w:val="center"/>
                  </w:pPr>
                  <w:r>
                    <w:t xml:space="preserve">AquaMaps SDM</w:t>
                  </w:r>
                </w:p>
              </w:tc>
              <w:tc>
                <w:tcPr/>
                <w:p>
                  <w:pPr>
                    <w:pStyle w:val="Compact"/>
                  </w:pPr>
                </w:p>
              </w:tc>
              <w:tc>
                <w:tcPr/>
                <w:p>
                  <w:pPr>
                    <w:pStyle w:val="Compact"/>
                    <w:jc w:val="center"/>
                    <w:jc w:val="center"/>
                  </w:pPr>
                  <w:r>
                    <w:t xml:space="preserve">No</w:t>
                  </w:r>
                </w:p>
              </w:tc>
              <w:tc>
                <w:tcPr/>
                <w:p>
                  <w:pPr>
                    <w:pStyle w:val="Compact"/>
                    <w:jc w:val="right"/>
                    <w:jc w:val="center"/>
                  </w:pPr>
                  <w:r>
                    <w:t xml:space="preserve">15,665</w:t>
                  </w:r>
                </w:p>
              </w:tc>
              <w:tc>
                <w:tcPr/>
                <w:p>
                  <w:pPr>
                    <w:pStyle w:val="Compact"/>
                    <w:jc w:val="right"/>
                    <w:jc w:val="center"/>
                  </w:pPr>
                  <w:r>
                    <w:t xml:space="preserve">97.0%</w:t>
                  </w:r>
                </w:p>
              </w:tc>
            </w:tr>
            <w:tr>
              <w:tc>
                <w:tcPr/>
                <w:p>
                  <w:pPr>
                    <w:pStyle w:val="Compact"/>
                    <w:jc w:val="left"/>
                    <w:jc w:val="center"/>
                  </w:pPr>
                  <w:r>
                    <w:rPr>
                      <w:rStyle w:val="VerbatimChar"/>
                    </w:rPr>
                    <w:t xml:space="preserve">ca_nmfs</w:t>
                  </w:r>
                </w:p>
              </w:tc>
              <w:tc>
                <w:tcPr/>
                <w:p>
                  <w:pPr>
                    <w:pStyle w:val="Compact"/>
                    <w:jc w:val="left"/>
                    <w:jc w:val="center"/>
                  </w:pPr>
                  <w:r>
                    <w:t xml:space="preserve">NMFS Core Area</w:t>
                  </w:r>
                </w:p>
              </w:tc>
              <w:tc>
                <w:tcPr/>
                <w:p>
                  <w:pPr>
                    <w:pStyle w:val="Compact"/>
                    <w:jc w:val="left"/>
                    <w:jc w:val="center"/>
                  </w:pPr>
                  <w:r>
                    <w:t xml:space="preserve">Core: 100</w:t>
                  </w:r>
                </w:p>
              </w:tc>
              <w:tc>
                <w:tcPr/>
                <w:p>
                  <w:pPr>
                    <w:pStyle w:val="Compact"/>
                    <w:jc w:val="center"/>
                    <w:jc w:val="center"/>
                  </w:pPr>
                  <w:r>
                    <w:t xml:space="preserve">Yes</w:t>
                  </w:r>
                </w:p>
              </w:tc>
              <w:tc>
                <w:tcPr/>
                <w:p>
                  <w:pPr>
                    <w:pStyle w:val="Compact"/>
                    <w:jc w:val="right"/>
                    <w:jc w:val="center"/>
                  </w:pPr>
                  <w:r>
                    <w:t xml:space="preserve">1</w:t>
                  </w:r>
                </w:p>
              </w:tc>
              <w:tc>
                <w:tcPr/>
                <w:p>
                  <w:pPr>
                    <w:pStyle w:val="Compact"/>
                    <w:jc w:val="right"/>
                    <w:jc w:val="center"/>
                  </w:pPr>
                  <w:r>
                    <w:t xml:space="preserve">&lt;0.1%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26</w:t>
                  </w:r>
                </w:p>
              </w:tc>
              <w:tc>
                <w:tcPr/>
                <w:p>
                  <w:pPr>
                    <w:pStyle w:val="Compact"/>
                    <w:jc w:val="right"/>
                    <w:jc w:val="center"/>
                  </w:pPr>
                  <w:r>
                    <w:t xml:space="preserve">0.2%</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21</w:t>
                  </w:r>
                </w:p>
              </w:tc>
              <w:tc>
                <w:tcPr/>
                <w:p>
                  <w:pPr>
                    <w:pStyle w:val="Compact"/>
                    <w:jc w:val="right"/>
                    <w:jc w:val="center"/>
                  </w:pPr>
                  <w:r>
                    <w:t xml:space="preserve">0.1%</w:t>
                  </w:r>
                </w:p>
              </w:tc>
            </w:tr>
            <w:tr>
              <w:tc>
                <w:tcPr/>
                <w:p>
                  <w:pPr>
                    <w:pStyle w:val="Compact"/>
                    <w:jc w:val="left"/>
                    <w:jc w:val="center"/>
                  </w:pPr>
                  <w:r>
                    <w:rPr>
                      <w:rStyle w:val="VerbatimChar"/>
                    </w:rPr>
                    <w:t xml:space="preserve">rng_fws</w:t>
                  </w:r>
                </w:p>
              </w:tc>
              <w:tc>
                <w:tcPr/>
                <w:p>
                  <w:pPr>
                    <w:pStyle w:val="Compact"/>
                    <w:jc w:val="left"/>
                    <w:jc w:val="center"/>
                  </w:pPr>
                  <w:r>
                    <w:t xml:space="preserve">FWS Range</w:t>
                  </w:r>
                </w:p>
              </w:tc>
              <w:tc>
                <w:tcPr/>
                <w:p>
                  <w:pPr>
                    <w:pStyle w:val="Compact"/>
                    <w:jc w:val="left"/>
                    <w:jc w:val="center"/>
                  </w:pPr>
                  <w:r>
                    <w:t xml:space="preserve">EN:100, TN:50, LC:1</w:t>
                  </w:r>
                </w:p>
              </w:tc>
              <w:tc>
                <w:tcPr/>
                <w:p>
                  <w:pPr>
                    <w:pStyle w:val="Compact"/>
                    <w:jc w:val="center"/>
                    <w:jc w:val="center"/>
                  </w:pPr>
                  <w:r>
                    <w:t xml:space="preserve">Yes</w:t>
                  </w:r>
                </w:p>
              </w:tc>
              <w:tc>
                <w:tcPr/>
                <w:p>
                  <w:pPr>
                    <w:pStyle w:val="Compact"/>
                    <w:jc w:val="right"/>
                    <w:jc w:val="center"/>
                  </w:pPr>
                  <w:r>
                    <w:t xml:space="preserve">70</w:t>
                  </w:r>
                </w:p>
              </w:tc>
              <w:tc>
                <w:tcPr/>
                <w:p>
                  <w:pPr>
                    <w:pStyle w:val="Compact"/>
                    <w:jc w:val="right"/>
                    <w:jc w:val="center"/>
                  </w:pPr>
                  <w:r>
                    <w:t xml:space="preserve">0.4%</w:t>
                  </w:r>
                </w:p>
              </w:tc>
            </w:tr>
            <w:tr>
              <w:tc>
                <w:tcPr/>
                <w:p>
                  <w:pPr>
                    <w:pStyle w:val="Compact"/>
                    <w:jc w:val="left"/>
                    <w:jc w:val="center"/>
                  </w:pPr>
                  <w:r>
                    <w:rPr>
                      <w:rStyle w:val="VerbatimChar"/>
                    </w:rPr>
                    <w:t xml:space="preserve">bl</w:t>
                  </w:r>
                </w:p>
              </w:tc>
              <w:tc>
                <w:tcPr/>
                <w:p>
                  <w:pPr>
                    <w:pStyle w:val="Compact"/>
                    <w:jc w:val="left"/>
                    <w:jc w:val="center"/>
                  </w:pPr>
                  <w:r>
                    <w:t xml:space="preserve">BirdLife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441</w:t>
                  </w:r>
                </w:p>
              </w:tc>
              <w:tc>
                <w:tcPr/>
                <w:p>
                  <w:pPr>
                    <w:pStyle w:val="Compact"/>
                    <w:jc w:val="right"/>
                    <w:jc w:val="center"/>
                  </w:pPr>
                  <w:r>
                    <w:t xml:space="preserve">2.7%</w:t>
                  </w:r>
                </w:p>
              </w:tc>
            </w:tr>
            <w:tr>
              <w:tc>
                <w:tcPr/>
                <w:p>
                  <w:pPr>
                    <w:pStyle w:val="Compact"/>
                    <w:jc w:val="left"/>
                    <w:jc w:val="center"/>
                  </w:pPr>
                  <w:r>
                    <w:rPr>
                      <w:rStyle w:val="VerbatimChar"/>
                    </w:rPr>
                    <w:t xml:space="preserve">rng_iucn</w:t>
                  </w:r>
                </w:p>
              </w:tc>
              <w:tc>
                <w:tcPr/>
                <w:p>
                  <w:pPr>
                    <w:pStyle w:val="Compact"/>
                    <w:jc w:val="left"/>
                    <w:jc w:val="center"/>
                  </w:pPr>
                  <w:r>
                    <w:t xml:space="preserve">IUCN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2,619</w:t>
                  </w:r>
                </w:p>
              </w:tc>
              <w:tc>
                <w:tcPr/>
                <w:p>
                  <w:pPr>
                    <w:pStyle w:val="Compact"/>
                    <w:jc w:val="right"/>
                    <w:jc w:val="center"/>
                  </w:pPr>
                  <w:r>
                    <w:t xml:space="preserve">16.2%</w:t>
                  </w:r>
                </w:p>
              </w:tc>
            </w:tr>
            <w:tr>
              <w:tc>
                <w:tcPr/>
                <w:p>
                  <w:pPr>
                    <w:pStyle w:val="Compact"/>
                    <w:jc w:val="left"/>
                    <w:jc w:val="center"/>
                  </w:pPr>
                  <w:r>
                    <w:rPr>
                      <w:rStyle w:val="VerbatimChar"/>
                    </w:rPr>
                    <w:t xml:space="preserve">rng_turtle_swot_dps</w:t>
                  </w:r>
                </w:p>
              </w:tc>
              <w:tc>
                <w:tcPr/>
                <w:p>
                  <w:pPr>
                    <w:pStyle w:val="Compact"/>
                    <w:jc w:val="left"/>
                    <w:jc w:val="center"/>
                  </w:pPr>
                  <w:r>
                    <w:t xml:space="preserve">SWOT+DPS Turtle Range</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6</w:t>
                  </w:r>
                </w:p>
              </w:tc>
              <w:tc>
                <w:tcPr/>
                <w:p>
                  <w:pPr>
                    <w:pStyle w:val="Compact"/>
                    <w:jc w:val="right"/>
                    <w:jc w:val="center"/>
                  </w:pPr>
                  <w:r>
                    <w:t xml:space="preserve">&lt;0.1%</w:t>
                  </w:r>
                </w:p>
              </w:tc>
            </w:tr>
          </w:tbl>
          <w:bookmarkEnd w:id="191"/>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Applications/quarto/share/formats/docx/important.png" id="19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am_0.05</w:t>
            </w:r>
            <w:r>
              <w:t xml:space="preserve"> </w:t>
            </w:r>
            <w:r>
              <w:t xml:space="preserve">(15,665),</w:t>
            </w:r>
            <w:r>
              <w:t xml:space="preserve"> </w:t>
            </w:r>
            <w:r>
              <w:rPr>
                <w:rStyle w:val="VerbatimChar"/>
              </w:rPr>
              <w:t xml:space="preserve">bl</w:t>
            </w:r>
            <w:r>
              <w:t xml:space="preserve"> </w:t>
            </w:r>
            <w:r>
              <w:t xml:space="preserve">(441),</w:t>
            </w:r>
            <w:r>
              <w:t xml:space="preserve"> </w:t>
            </w:r>
            <w:r>
              <w:rPr>
                <w:rStyle w:val="VerbatimChar"/>
              </w:rPr>
              <w:t xml:space="preserve">rng_iucn</w:t>
            </w:r>
            <w:r>
              <w:t xml:space="preserve"> </w:t>
            </w:r>
            <w:r>
              <w:t xml:space="preserve">(2,619)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ca_nmfs</w:t>
            </w:r>
            <w:r>
              <w:t xml:space="preserve"> </w:t>
            </w:r>
            <w:r>
              <w:t xml:space="preserve">(1),</w:t>
            </w:r>
            <w:r>
              <w:t xml:space="preserve"> </w:t>
            </w:r>
            <w:r>
              <w:rPr>
                <w:rStyle w:val="VerbatimChar"/>
              </w:rPr>
              <w:t xml:space="preserve">ch_nmfs</w:t>
            </w:r>
            <w:r>
              <w:t xml:space="preserve"> </w:t>
            </w:r>
            <w:r>
              <w:t xml:space="preserve">(26),</w:t>
            </w:r>
            <w:r>
              <w:t xml:space="preserve"> </w:t>
            </w:r>
            <w:r>
              <w:rPr>
                <w:rStyle w:val="VerbatimChar"/>
              </w:rPr>
              <w:t xml:space="preserve">ch_fws</w:t>
            </w:r>
            <w:r>
              <w:t xml:space="preserve"> </w:t>
            </w:r>
            <w:r>
              <w:t xml:space="preserve">(21),</w:t>
            </w:r>
            <w:r>
              <w:t xml:space="preserve"> </w:t>
            </w:r>
            <w:r>
              <w:rPr>
                <w:rStyle w:val="VerbatimChar"/>
              </w:rPr>
              <w:t xml:space="preserve">rng_fws</w:t>
            </w:r>
            <w:r>
              <w:t xml:space="preserve"> </w:t>
            </w:r>
            <w:r>
              <w:t xml:space="preserve">(70),</w:t>
            </w:r>
            <w:r>
              <w:t xml:space="preserve"> </w:t>
            </w:r>
            <w:r>
              <w:rPr>
                <w:rStyle w:val="VerbatimChar"/>
              </w:rPr>
              <w:t xml:space="preserve">rng_turtle_swot_dps</w:t>
            </w:r>
            <w:r>
              <w:t xml:space="preserve"> </w:t>
            </w:r>
            <w:r>
              <w:t xml:space="preserve">(6)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p>
      <w:pPr>
        <w:pStyle w:val="BodyText"/>
      </w:pPr>
      <w:r>
        <w:t xml:space="preserve">In v7c the merged model covers</w:t>
      </w:r>
      <w:r>
        <w:t xml:space="preserve"> </w:t>
      </w:r>
      <w:r>
        <w:rPr>
          <w:b/>
          <w:bCs/>
        </w:rPr>
        <w:t xml:space="preserve">9,424</w:t>
      </w:r>
      <w:r>
        <w:t xml:space="preserve"> </w:t>
      </w:r>
      <w:r>
        <w:t xml:space="preserve">of the 16,153 valid species (58%). The remainder carry a single source model directly — this release merges only where a taxon has more than one contributing dataset, so most species are scored straight from their source.</w:t>
      </w:r>
    </w:p>
    <w:bookmarkEnd w:id="194"/>
    <w:bookmarkStart w:id="217" w:name="the-sources"/>
    <w:p>
      <w:pPr>
        <w:pStyle w:val="Heading2"/>
      </w:pPr>
      <w:r>
        <w:t xml:space="preserve">6.2 The sources</w:t>
      </w:r>
    </w:p>
    <w:bookmarkStart w:id="197" w:name="aquamaps-sdm-am_0.05"/>
    <w:p>
      <w:pPr>
        <w:pStyle w:val="Heading3"/>
      </w:pPr>
      <w:r>
        <w:t xml:space="preserve">6.2.1 AquaMaps SDM (</w:t>
      </w:r>
      <w:r>
        <w:rPr>
          <w:rStyle w:val="VerbatimChar"/>
        </w:rPr>
        <w:t xml:space="preserve">am_0.05</w:t>
      </w:r>
      <w:r>
        <w:t xml:space="preserve">)</w:t>
      </w:r>
    </w:p>
    <w:p>
      <w:pPr>
        <w:pStyle w:val="FirstParagraph"/>
      </w:pPr>
      <w:r>
        <w:t xml:space="preserve">AquaMaps species distribution models downscaled from 0.5° to 0.05° cells</w:t>
      </w:r>
    </w:p>
    <w:p>
      <w:pPr>
        <w:pStyle w:val="Compact"/>
        <w:numPr>
          <w:ilvl w:val="0"/>
          <w:numId w:val="1016"/>
        </w:numPr>
      </w:pPr>
      <w:r>
        <w:rPr>
          <w:b/>
          <w:bCs/>
        </w:rPr>
        <w:t xml:space="preserve">Models</w:t>
      </w:r>
      <w:r>
        <w:t xml:space="preserve">: 17,550</w:t>
      </w:r>
    </w:p>
    <w:p>
      <w:pPr>
        <w:pStyle w:val="Compact"/>
        <w:numPr>
          <w:ilvl w:val="0"/>
          <w:numId w:val="1016"/>
        </w:numPr>
      </w:pPr>
      <w:r>
        <w:rPr>
          <w:b/>
          <w:bCs/>
        </w:rPr>
        <w:t xml:space="preserve">Response</w:t>
      </w:r>
      <w:r>
        <w:t xml:space="preserve">: suitability</w:t>
      </w:r>
    </w:p>
    <w:p>
      <w:pPr>
        <w:pStyle w:val="Compact"/>
        <w:numPr>
          <w:ilvl w:val="0"/>
          <w:numId w:val="1016"/>
        </w:numPr>
      </w:pPr>
      <w:r>
        <w:rPr>
          <w:b/>
          <w:bCs/>
        </w:rPr>
        <w:t xml:space="preserve">Coverage</w:t>
      </w:r>
      <w:r>
        <w:t xml:space="preserve">: Global</w:t>
      </w:r>
    </w:p>
    <w:p>
      <w:pPr>
        <w:pStyle w:val="Compact"/>
        <w:numPr>
          <w:ilvl w:val="0"/>
          <w:numId w:val="1016"/>
        </w:numPr>
      </w:pPr>
      <w:r>
        <w:rPr>
          <w:b/>
          <w:bCs/>
        </w:rPr>
        <w:t xml:space="preserve">Taxa</w:t>
      </w:r>
      <w:r>
        <w:t xml:space="preserve">: all taxa, except birds</w:t>
      </w:r>
    </w:p>
    <w:p>
      <w:pPr>
        <w:pStyle w:val="Compact"/>
        <w:numPr>
          <w:ilvl w:val="0"/>
          <w:numId w:val="1016"/>
        </w:numPr>
      </w:pPr>
      <w:r>
        <w:rPr>
          <w:b/>
          <w:bCs/>
        </w:rPr>
        <w:t xml:space="preserve">Role</w:t>
      </w:r>
      <w:r>
        <w:t xml:space="preserve">: contributes values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31">
        <w:r>
          <w:rPr>
            <w:rStyle w:val="Hyperlink"/>
          </w:rPr>
          <w:t xml:space="preserve">Source</w:t>
        </w:r>
      </w:hyperlink>
      <w:r>
        <w:t xml:space="preserve"> </w:t>
      </w:r>
      <w:r>
        <w:t xml:space="preserve">·</w:t>
      </w:r>
      <w:r>
        <w:t xml:space="preserve"> </w:t>
      </w:r>
      <w:hyperlink r:id="rId195">
        <w:r>
          <w:rPr>
            <w:rStyle w:val="Hyperlink"/>
          </w:rPr>
          <w:t xml:space="preserve">Download</w:t>
        </w:r>
      </w:hyperlink>
      <w:r>
        <w:t xml:space="preserve"> </w:t>
      </w:r>
      <w:r>
        <w:t xml:space="preserve">·</w:t>
      </w:r>
      <w:r>
        <w:t xml:space="preserve"> </w:t>
      </w:r>
      <w:hyperlink r:id="rId196">
        <w:r>
          <w:rPr>
            <w:rStyle w:val="Hyperlink"/>
          </w:rPr>
          <w:t xml:space="preserve">Metadata</w:t>
        </w:r>
      </w:hyperlink>
    </w:p>
    <w:bookmarkEnd w:id="197"/>
    <w:bookmarkStart w:id="200" w:name="nmfs-core-area-ca_nmfs"/>
    <w:p>
      <w:pPr>
        <w:pStyle w:val="Heading3"/>
      </w:pPr>
      <w:r>
        <w:t xml:space="preserve">6.2.2 NMFS Core Area (</w:t>
      </w:r>
      <w:r>
        <w:rPr>
          <w:rStyle w:val="VerbatimChar"/>
        </w:rPr>
        <w:t xml:space="preserve">ca_nmfs</w:t>
      </w:r>
      <w:r>
        <w:t xml:space="preserve">)</w:t>
      </w:r>
    </w:p>
    <w:p>
      <w:pPr>
        <w:pStyle w:val="FirstParagraph"/>
      </w:pPr>
      <w:r>
        <w:t xml:space="preserve">Core distribution areas designated by NOAA Fisheries for species with restricted ranges, used as high-confidence habitat indicators.</w:t>
      </w:r>
    </w:p>
    <w:p>
      <w:pPr>
        <w:pStyle w:val="Compact"/>
        <w:numPr>
          <w:ilvl w:val="0"/>
          <w:numId w:val="1017"/>
        </w:numPr>
      </w:pPr>
      <w:r>
        <w:rPr>
          <w:b/>
          <w:bCs/>
        </w:rPr>
        <w:t xml:space="preserve">Models</w:t>
      </w:r>
      <w:r>
        <w:t xml:space="preserve">: 1</w:t>
      </w:r>
    </w:p>
    <w:p>
      <w:pPr>
        <w:pStyle w:val="Compact"/>
        <w:numPr>
          <w:ilvl w:val="0"/>
          <w:numId w:val="1017"/>
        </w:numPr>
      </w:pPr>
      <w:r>
        <w:rPr>
          <w:b/>
          <w:bCs/>
        </w:rPr>
        <w:t xml:space="preserve">Response</w:t>
      </w:r>
      <w:r>
        <w:t xml:space="preserve">: binary</w:t>
      </w:r>
    </w:p>
    <w:p>
      <w:pPr>
        <w:pStyle w:val="Compact"/>
        <w:numPr>
          <w:ilvl w:val="0"/>
          <w:numId w:val="1017"/>
        </w:numPr>
      </w:pPr>
      <w:r>
        <w:rPr>
          <w:b/>
          <w:bCs/>
        </w:rPr>
        <w:t xml:space="preserve">Cell values</w:t>
      </w:r>
      <w:r>
        <w:t xml:space="preserve">: Core: 100</w:t>
      </w:r>
    </w:p>
    <w:p>
      <w:pPr>
        <w:pStyle w:val="Compact"/>
        <w:numPr>
          <w:ilvl w:val="0"/>
          <w:numId w:val="1017"/>
        </w:numPr>
      </w:pPr>
      <w:r>
        <w:rPr>
          <w:b/>
          <w:bCs/>
        </w:rPr>
        <w:t xml:space="preserve">Coverage</w:t>
      </w:r>
      <w:r>
        <w:t xml:space="preserve">: USA</w:t>
      </w:r>
    </w:p>
    <w:p>
      <w:pPr>
        <w:pStyle w:val="Compact"/>
        <w:numPr>
          <w:ilvl w:val="0"/>
          <w:numId w:val="1017"/>
        </w:numPr>
      </w:pPr>
      <w:r>
        <w:rPr>
          <w:b/>
          <w:bCs/>
        </w:rPr>
        <w:t xml:space="preserve">Taxa</w:t>
      </w:r>
      <w:r>
        <w:t xml:space="preserve">: cetaceans</w:t>
      </w:r>
    </w:p>
    <w:p>
      <w:pPr>
        <w:pStyle w:val="Compact"/>
        <w:numPr>
          <w:ilvl w:val="0"/>
          <w:numId w:val="1017"/>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98">
        <w:r>
          <w:rPr>
            <w:rStyle w:val="Hyperlink"/>
          </w:rPr>
          <w:t xml:space="preserve">Source</w:t>
        </w:r>
      </w:hyperlink>
      <w:r>
        <w:t xml:space="preserve"> </w:t>
      </w:r>
      <w:r>
        <w:t xml:space="preserve">·</w:t>
      </w:r>
      <w:r>
        <w:t xml:space="preserve"> </w:t>
      </w:r>
      <w:hyperlink r:id="rId199">
        <w:r>
          <w:rPr>
            <w:rStyle w:val="Hyperlink"/>
          </w:rPr>
          <w:t xml:space="preserve">Download</w:t>
        </w:r>
      </w:hyperlink>
    </w:p>
    <w:bookmarkEnd w:id="200"/>
    <w:bookmarkStart w:id="204" w:name="nmfs-critical-habitat-ch_nmfs"/>
    <w:p>
      <w:pPr>
        <w:pStyle w:val="Heading3"/>
      </w:pPr>
      <w:r>
        <w:t xml:space="preserve">6.2.3 NMFS Critical Habitat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8"/>
        </w:numPr>
      </w:pPr>
      <w:r>
        <w:rPr>
          <w:b/>
          <w:bCs/>
        </w:rPr>
        <w:t xml:space="preserve">Models</w:t>
      </w:r>
      <w:r>
        <w:t xml:space="preserve">: 34</w:t>
      </w:r>
    </w:p>
    <w:p>
      <w:pPr>
        <w:pStyle w:val="Compact"/>
        <w:numPr>
          <w:ilvl w:val="0"/>
          <w:numId w:val="1018"/>
        </w:numPr>
      </w:pPr>
      <w:r>
        <w:rPr>
          <w:b/>
          <w:bCs/>
        </w:rPr>
        <w:t xml:space="preserve">Response</w:t>
      </w:r>
      <w:r>
        <w:t xml:space="preserve">: binary</w:t>
      </w:r>
    </w:p>
    <w:p>
      <w:pPr>
        <w:pStyle w:val="Compact"/>
        <w:numPr>
          <w:ilvl w:val="0"/>
          <w:numId w:val="1018"/>
        </w:numPr>
      </w:pPr>
      <w:r>
        <w:rPr>
          <w:b/>
          <w:bCs/>
        </w:rPr>
        <w:t xml:space="preserve">Cell values</w:t>
      </w:r>
      <w:r>
        <w:t xml:space="preserve">: EN:100, TN:50</w:t>
      </w:r>
    </w:p>
    <w:p>
      <w:pPr>
        <w:pStyle w:val="Compact"/>
        <w:numPr>
          <w:ilvl w:val="0"/>
          <w:numId w:val="1018"/>
        </w:numPr>
      </w:pPr>
      <w:r>
        <w:rPr>
          <w:b/>
          <w:bCs/>
        </w:rPr>
        <w:t xml:space="preserve">Coverage</w:t>
      </w:r>
      <w:r>
        <w:t xml:space="preserve">: USA</w:t>
      </w:r>
    </w:p>
    <w:p>
      <w:pPr>
        <w:pStyle w:val="Compact"/>
        <w:numPr>
          <w:ilvl w:val="0"/>
          <w:numId w:val="1018"/>
        </w:numPr>
      </w:pPr>
      <w:r>
        <w:rPr>
          <w:b/>
          <w:bCs/>
        </w:rPr>
        <w:t xml:space="preserve">Taxa</w:t>
      </w:r>
      <w:r>
        <w:t xml:space="preserve">: all taxa</w:t>
      </w:r>
    </w:p>
    <w:p>
      <w:pPr>
        <w:pStyle w:val="Compact"/>
        <w:numPr>
          <w:ilvl w:val="0"/>
          <w:numId w:val="1018"/>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201">
        <w:r>
          <w:rPr>
            <w:rStyle w:val="Hyperlink"/>
          </w:rPr>
          <w:t xml:space="preserve">Source</w:t>
        </w:r>
      </w:hyperlink>
      <w:r>
        <w:t xml:space="preserve"> </w:t>
      </w:r>
      <w:r>
        <w:t xml:space="preserve">·</w:t>
      </w:r>
      <w:r>
        <w:t xml:space="preserve"> </w:t>
      </w:r>
      <w:hyperlink r:id="rId202">
        <w:r>
          <w:rPr>
            <w:rStyle w:val="Hyperlink"/>
          </w:rPr>
          <w:t xml:space="preserve">Download</w:t>
        </w:r>
      </w:hyperlink>
      <w:r>
        <w:t xml:space="preserve"> </w:t>
      </w:r>
      <w:r>
        <w:t xml:space="preserve">·</w:t>
      </w:r>
      <w:r>
        <w:t xml:space="preserve"> </w:t>
      </w:r>
      <w:hyperlink r:id="rId203">
        <w:r>
          <w:rPr>
            <w:rStyle w:val="Hyperlink"/>
          </w:rPr>
          <w:t xml:space="preserve">Metadata</w:t>
        </w:r>
      </w:hyperlink>
    </w:p>
    <w:bookmarkEnd w:id="204"/>
    <w:bookmarkStart w:id="207" w:name="fws-critical-habitat-ch_fws"/>
    <w:p>
      <w:pPr>
        <w:pStyle w:val="Heading3"/>
      </w:pPr>
      <w:r>
        <w:t xml:space="preserve">6.2.4 FWS Critical Habitat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9"/>
        </w:numPr>
      </w:pPr>
      <w:r>
        <w:rPr>
          <w:b/>
          <w:bCs/>
        </w:rPr>
        <w:t xml:space="preserve">Models</w:t>
      </w:r>
      <w:r>
        <w:t xml:space="preserve">: 29</w:t>
      </w:r>
    </w:p>
    <w:p>
      <w:pPr>
        <w:pStyle w:val="Compact"/>
        <w:numPr>
          <w:ilvl w:val="0"/>
          <w:numId w:val="1019"/>
        </w:numPr>
      </w:pPr>
      <w:r>
        <w:rPr>
          <w:b/>
          <w:bCs/>
        </w:rPr>
        <w:t xml:space="preserve">Response</w:t>
      </w:r>
      <w:r>
        <w:t xml:space="preserve">: binary</w:t>
      </w:r>
    </w:p>
    <w:p>
      <w:pPr>
        <w:pStyle w:val="Compact"/>
        <w:numPr>
          <w:ilvl w:val="0"/>
          <w:numId w:val="1019"/>
        </w:numPr>
      </w:pPr>
      <w:r>
        <w:rPr>
          <w:b/>
          <w:bCs/>
        </w:rPr>
        <w:t xml:space="preserve">Cell values</w:t>
      </w:r>
      <w:r>
        <w:t xml:space="preserve">: EN:100, TN:50</w:t>
      </w:r>
    </w:p>
    <w:p>
      <w:pPr>
        <w:pStyle w:val="Compact"/>
        <w:numPr>
          <w:ilvl w:val="0"/>
          <w:numId w:val="1019"/>
        </w:numPr>
      </w:pPr>
      <w:r>
        <w:rPr>
          <w:b/>
          <w:bCs/>
        </w:rPr>
        <w:t xml:space="preserve">Coverage</w:t>
      </w:r>
      <w:r>
        <w:t xml:space="preserve">: USA</w:t>
      </w:r>
    </w:p>
    <w:p>
      <w:pPr>
        <w:pStyle w:val="Compact"/>
        <w:numPr>
          <w:ilvl w:val="0"/>
          <w:numId w:val="1019"/>
        </w:numPr>
      </w:pPr>
      <w:r>
        <w:rPr>
          <w:b/>
          <w:bCs/>
        </w:rPr>
        <w:t xml:space="preserve">Taxa</w:t>
      </w:r>
      <w:r>
        <w:t xml:space="preserve">: all taxa</w:t>
      </w:r>
    </w:p>
    <w:p>
      <w:pPr>
        <w:pStyle w:val="Compact"/>
        <w:numPr>
          <w:ilvl w:val="0"/>
          <w:numId w:val="1019"/>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205">
        <w:r>
          <w:rPr>
            <w:rStyle w:val="Hyperlink"/>
          </w:rPr>
          <w:t xml:space="preserve">Source</w:t>
        </w:r>
      </w:hyperlink>
      <w:r>
        <w:t xml:space="preserve"> </w:t>
      </w:r>
      <w:r>
        <w:t xml:space="preserve">·</w:t>
      </w:r>
      <w:r>
        <w:t xml:space="preserve"> </w:t>
      </w:r>
      <w:hyperlink r:id="rId206">
        <w:r>
          <w:rPr>
            <w:rStyle w:val="Hyperlink"/>
          </w:rPr>
          <w:t xml:space="preserve">Download</w:t>
        </w:r>
      </w:hyperlink>
      <w:r>
        <w:t xml:space="preserve"> </w:t>
      </w:r>
      <w:r>
        <w:t xml:space="preserve">·</w:t>
      </w:r>
      <w:r>
        <w:t xml:space="preserve"> </w:t>
      </w:r>
      <w:hyperlink r:id="rId205">
        <w:r>
          <w:rPr>
            <w:rStyle w:val="Hyperlink"/>
          </w:rPr>
          <w:t xml:space="preserve">Metadata</w:t>
        </w:r>
      </w:hyperlink>
    </w:p>
    <w:bookmarkEnd w:id="207"/>
    <w:bookmarkStart w:id="210" w:name="fws-range-rng_fws"/>
    <w:p>
      <w:pPr>
        <w:pStyle w:val="Heading3"/>
      </w:pPr>
      <w:r>
        <w:t xml:space="preserve">6.2.5 FWS Range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20"/>
        </w:numPr>
      </w:pPr>
      <w:r>
        <w:rPr>
          <w:b/>
          <w:bCs/>
        </w:rPr>
        <w:t xml:space="preserve">Models</w:t>
      </w:r>
      <w:r>
        <w:t xml:space="preserve">: 106</w:t>
      </w:r>
    </w:p>
    <w:p>
      <w:pPr>
        <w:pStyle w:val="Compact"/>
        <w:numPr>
          <w:ilvl w:val="0"/>
          <w:numId w:val="1020"/>
        </w:numPr>
      </w:pPr>
      <w:r>
        <w:rPr>
          <w:b/>
          <w:bCs/>
        </w:rPr>
        <w:t xml:space="preserve">Response</w:t>
      </w:r>
      <w:r>
        <w:t xml:space="preserve">: binary</w:t>
      </w:r>
    </w:p>
    <w:p>
      <w:pPr>
        <w:pStyle w:val="Compact"/>
        <w:numPr>
          <w:ilvl w:val="0"/>
          <w:numId w:val="1020"/>
        </w:numPr>
      </w:pPr>
      <w:r>
        <w:rPr>
          <w:b/>
          <w:bCs/>
        </w:rPr>
        <w:t xml:space="preserve">Cell values</w:t>
      </w:r>
      <w:r>
        <w:t xml:space="preserve">: EN:100, TN:50, LC:1</w:t>
      </w:r>
    </w:p>
    <w:p>
      <w:pPr>
        <w:pStyle w:val="Compact"/>
        <w:numPr>
          <w:ilvl w:val="0"/>
          <w:numId w:val="1020"/>
        </w:numPr>
      </w:pPr>
      <w:r>
        <w:rPr>
          <w:b/>
          <w:bCs/>
        </w:rPr>
        <w:t xml:space="preserve">Coverage</w:t>
      </w:r>
      <w:r>
        <w:t xml:space="preserve">: USA</w:t>
      </w:r>
    </w:p>
    <w:p>
      <w:pPr>
        <w:pStyle w:val="Compact"/>
        <w:numPr>
          <w:ilvl w:val="0"/>
          <w:numId w:val="1020"/>
        </w:numPr>
      </w:pPr>
      <w:r>
        <w:rPr>
          <w:b/>
          <w:bCs/>
        </w:rPr>
        <w:t xml:space="preserve">Taxa</w:t>
      </w:r>
      <w:r>
        <w:t xml:space="preserve">: all taxa</w:t>
      </w:r>
    </w:p>
    <w:p>
      <w:pPr>
        <w:pStyle w:val="Compact"/>
        <w:numPr>
          <w:ilvl w:val="0"/>
          <w:numId w:val="1020"/>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208">
        <w:r>
          <w:rPr>
            <w:rStyle w:val="Hyperlink"/>
          </w:rPr>
          <w:t xml:space="preserve">Source</w:t>
        </w:r>
      </w:hyperlink>
      <w:r>
        <w:t xml:space="preserve"> </w:t>
      </w:r>
      <w:r>
        <w:t xml:space="preserve">·</w:t>
      </w:r>
      <w:r>
        <w:t xml:space="preserve"> </w:t>
      </w:r>
      <w:hyperlink r:id="rId209">
        <w:r>
          <w:rPr>
            <w:rStyle w:val="Hyperlink"/>
          </w:rPr>
          <w:t xml:space="preserve">Download</w:t>
        </w:r>
      </w:hyperlink>
    </w:p>
    <w:bookmarkEnd w:id="210"/>
    <w:bookmarkStart w:id="212" w:name="birdlife-range-bl"/>
    <w:p>
      <w:pPr>
        <w:pStyle w:val="Heading3"/>
      </w:pPr>
      <w:r>
        <w:t xml:space="preserve">6.2.6 BirdLife Range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21"/>
        </w:numPr>
      </w:pPr>
      <w:r>
        <w:rPr>
          <w:b/>
          <w:bCs/>
        </w:rPr>
        <w:t xml:space="preserve">Models</w:t>
      </w:r>
      <w:r>
        <w:t xml:space="preserve">: 573</w:t>
      </w:r>
    </w:p>
    <w:p>
      <w:pPr>
        <w:pStyle w:val="Compact"/>
        <w:numPr>
          <w:ilvl w:val="0"/>
          <w:numId w:val="1021"/>
        </w:numPr>
      </w:pPr>
      <w:r>
        <w:rPr>
          <w:b/>
          <w:bCs/>
        </w:rPr>
        <w:t xml:space="preserve">Response</w:t>
      </w:r>
      <w:r>
        <w:t xml:space="preserve">: binary</w:t>
      </w:r>
    </w:p>
    <w:p>
      <w:pPr>
        <w:pStyle w:val="Compact"/>
        <w:numPr>
          <w:ilvl w:val="0"/>
          <w:numId w:val="1021"/>
        </w:numPr>
      </w:pPr>
      <w:r>
        <w:rPr>
          <w:b/>
          <w:bCs/>
        </w:rPr>
        <w:t xml:space="preserve">Cell values</w:t>
      </w:r>
      <w:r>
        <w:t xml:space="preserve">: CR:50, EN:25, VU:5, NT:2, LC:1, DD:1</w:t>
      </w:r>
    </w:p>
    <w:p>
      <w:pPr>
        <w:pStyle w:val="Compact"/>
        <w:numPr>
          <w:ilvl w:val="0"/>
          <w:numId w:val="1021"/>
        </w:numPr>
      </w:pPr>
      <w:r>
        <w:rPr>
          <w:b/>
          <w:bCs/>
        </w:rPr>
        <w:t xml:space="preserve">Coverage</w:t>
      </w:r>
      <w:r>
        <w:t xml:space="preserve">: Global</w:t>
      </w:r>
    </w:p>
    <w:p>
      <w:pPr>
        <w:pStyle w:val="Compact"/>
        <w:numPr>
          <w:ilvl w:val="0"/>
          <w:numId w:val="1021"/>
        </w:numPr>
      </w:pPr>
      <w:r>
        <w:rPr>
          <w:b/>
          <w:bCs/>
        </w:rPr>
        <w:t xml:space="preserve">Taxa</w:t>
      </w:r>
      <w:r>
        <w:t xml:space="preserve">: birds</w:t>
      </w:r>
    </w:p>
    <w:p>
      <w:pPr>
        <w:pStyle w:val="Compact"/>
        <w:numPr>
          <w:ilvl w:val="0"/>
          <w:numId w:val="1021"/>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211">
        <w:r>
          <w:rPr>
            <w:rStyle w:val="Hyperlink"/>
          </w:rPr>
          <w:t xml:space="preserve">Source</w:t>
        </w:r>
      </w:hyperlink>
      <w:r>
        <w:t xml:space="preserve"> </w:t>
      </w:r>
      <w:r>
        <w:t xml:space="preserve">·</w:t>
      </w:r>
      <w:r>
        <w:t xml:space="preserve"> </w:t>
      </w:r>
      <w:hyperlink r:id="rId211">
        <w:r>
          <w:rPr>
            <w:rStyle w:val="Hyperlink"/>
          </w:rPr>
          <w:t xml:space="preserve">Download</w:t>
        </w:r>
      </w:hyperlink>
      <w:r>
        <w:t xml:space="preserve"> </w:t>
      </w:r>
      <w:r>
        <w:t xml:space="preserve">·</w:t>
      </w:r>
      <w:r>
        <w:t xml:space="preserve"> </w:t>
      </w:r>
      <w:hyperlink r:id="rId203">
        <w:r>
          <w:rPr>
            <w:rStyle w:val="Hyperlink"/>
          </w:rPr>
          <w:t xml:space="preserve">Metadata</w:t>
        </w:r>
      </w:hyperlink>
    </w:p>
    <w:bookmarkEnd w:id="212"/>
    <w:bookmarkStart w:id="214" w:name="iucn-range-rng_iucn"/>
    <w:p>
      <w:pPr>
        <w:pStyle w:val="Heading3"/>
      </w:pPr>
      <w:r>
        <w:t xml:space="preserve">6.2.7 IUCN Range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22"/>
        </w:numPr>
      </w:pPr>
      <w:r>
        <w:rPr>
          <w:b/>
          <w:bCs/>
        </w:rPr>
        <w:t xml:space="preserve">Models</w:t>
      </w:r>
      <w:r>
        <w:t xml:space="preserve">: 3,766</w:t>
      </w:r>
    </w:p>
    <w:p>
      <w:pPr>
        <w:pStyle w:val="Compact"/>
        <w:numPr>
          <w:ilvl w:val="0"/>
          <w:numId w:val="1022"/>
        </w:numPr>
      </w:pPr>
      <w:r>
        <w:rPr>
          <w:b/>
          <w:bCs/>
        </w:rPr>
        <w:t xml:space="preserve">Response</w:t>
      </w:r>
      <w:r>
        <w:t xml:space="preserve">: binary</w:t>
      </w:r>
    </w:p>
    <w:p>
      <w:pPr>
        <w:pStyle w:val="Compact"/>
        <w:numPr>
          <w:ilvl w:val="0"/>
          <w:numId w:val="1022"/>
        </w:numPr>
      </w:pPr>
      <w:r>
        <w:rPr>
          <w:b/>
          <w:bCs/>
        </w:rPr>
        <w:t xml:space="preserve">Cell values</w:t>
      </w:r>
      <w:r>
        <w:t xml:space="preserve">: CR:50, EN:25, VU:5, NT:2, LC:1, DD:1</w:t>
      </w:r>
    </w:p>
    <w:p>
      <w:pPr>
        <w:pStyle w:val="Compact"/>
        <w:numPr>
          <w:ilvl w:val="0"/>
          <w:numId w:val="1022"/>
        </w:numPr>
      </w:pPr>
      <w:r>
        <w:rPr>
          <w:b/>
          <w:bCs/>
        </w:rPr>
        <w:t xml:space="preserve">Coverage</w:t>
      </w:r>
      <w:r>
        <w:t xml:space="preserve">: Global</w:t>
      </w:r>
    </w:p>
    <w:p>
      <w:pPr>
        <w:pStyle w:val="Compact"/>
        <w:numPr>
          <w:ilvl w:val="0"/>
          <w:numId w:val="1022"/>
        </w:numPr>
      </w:pPr>
      <w:r>
        <w:rPr>
          <w:b/>
          <w:bCs/>
        </w:rPr>
        <w:t xml:space="preserve">Taxa</w:t>
      </w:r>
      <w:r>
        <w:t xml:space="preserve">: all taxa (except birds)</w:t>
      </w:r>
    </w:p>
    <w:p>
      <w:pPr>
        <w:pStyle w:val="Compact"/>
        <w:numPr>
          <w:ilvl w:val="0"/>
          <w:numId w:val="1022"/>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IUCN Red List of Threatened Species. Version 2025-2. &lt;www.iucnredlist.org&gt;. Downloaded on 21 January 2026.</w:t>
      </w:r>
    </w:p>
    <w:p>
      <w:pPr>
        <w:pStyle w:val="FirstParagraph"/>
      </w:pPr>
      <w:hyperlink r:id="rId213">
        <w:r>
          <w:rPr>
            <w:rStyle w:val="Hyperlink"/>
          </w:rPr>
          <w:t xml:space="preserve">Source</w:t>
        </w:r>
      </w:hyperlink>
    </w:p>
    <w:bookmarkEnd w:id="214"/>
    <w:bookmarkStart w:id="216" w:name="swotdps-turtle-range-rng_turtle_swot_dps"/>
    <w:p>
      <w:pPr>
        <w:pStyle w:val="Heading3"/>
      </w:pPr>
      <w:r>
        <w:t xml:space="preserve">6.2.8 SWOT+DPS Turtle Range (</w:t>
      </w:r>
      <w:r>
        <w:rPr>
          <w:rStyle w:val="VerbatimChar"/>
        </w:rPr>
        <w:t xml:space="preserve">rng_turtle_swot_dps</w:t>
      </w:r>
      <w:r>
        <w:t xml:space="preserve">)</w:t>
      </w:r>
    </w:p>
    <w:p>
      <w:pPr>
        <w:pStyle w:val="FirstParagraph"/>
      </w:pPr>
      <w:r>
        <w:t xml:space="preserve">SWOT sea turtle global distributions overlaid with NMFS Endangered Distinct Population Segments. EN DPS areas coded as Endangered (value=100), remainder as Threatened (value=50).</w:t>
      </w:r>
    </w:p>
    <w:p>
      <w:pPr>
        <w:pStyle w:val="Compact"/>
        <w:numPr>
          <w:ilvl w:val="0"/>
          <w:numId w:val="1023"/>
        </w:numPr>
      </w:pPr>
      <w:r>
        <w:rPr>
          <w:b/>
          <w:bCs/>
        </w:rPr>
        <w:t xml:space="preserve">Models</w:t>
      </w:r>
      <w:r>
        <w:t xml:space="preserve">: 6</w:t>
      </w:r>
    </w:p>
    <w:p>
      <w:pPr>
        <w:pStyle w:val="Compact"/>
        <w:numPr>
          <w:ilvl w:val="0"/>
          <w:numId w:val="1023"/>
        </w:numPr>
      </w:pPr>
      <w:r>
        <w:rPr>
          <w:b/>
          <w:bCs/>
        </w:rPr>
        <w:t xml:space="preserve">Response</w:t>
      </w:r>
      <w:r>
        <w:t xml:space="preserve">: binary</w:t>
      </w:r>
    </w:p>
    <w:p>
      <w:pPr>
        <w:pStyle w:val="Compact"/>
        <w:numPr>
          <w:ilvl w:val="0"/>
          <w:numId w:val="1023"/>
        </w:numPr>
      </w:pPr>
      <w:r>
        <w:rPr>
          <w:b/>
          <w:bCs/>
        </w:rPr>
        <w:t xml:space="preserve">Cell values</w:t>
      </w:r>
      <w:r>
        <w:t xml:space="preserve">: EN:100, TN:50</w:t>
      </w:r>
    </w:p>
    <w:p>
      <w:pPr>
        <w:pStyle w:val="Compact"/>
        <w:numPr>
          <w:ilvl w:val="0"/>
          <w:numId w:val="1023"/>
        </w:numPr>
      </w:pPr>
      <w:r>
        <w:rPr>
          <w:b/>
          <w:bCs/>
        </w:rPr>
        <w:t xml:space="preserve">Coverage</w:t>
      </w:r>
      <w:r>
        <w:t xml:space="preserve">: Global</w:t>
      </w:r>
    </w:p>
    <w:p>
      <w:pPr>
        <w:pStyle w:val="Compact"/>
        <w:numPr>
          <w:ilvl w:val="0"/>
          <w:numId w:val="1023"/>
        </w:numPr>
      </w:pPr>
      <w:r>
        <w:rPr>
          <w:b/>
          <w:bCs/>
        </w:rPr>
        <w:t xml:space="preserve">Taxa</w:t>
      </w:r>
      <w:r>
        <w:t xml:space="preserve">: turtles</w:t>
      </w:r>
    </w:p>
    <w:p>
      <w:pPr>
        <w:pStyle w:val="Compact"/>
        <w:numPr>
          <w:ilvl w:val="0"/>
          <w:numId w:val="1023"/>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Wallace BP et al. (2023) Marine turtle regional management units 2.0. Endangered Species Research 52:209-223. DOI:10.3354/esr01243</w:t>
      </w:r>
    </w:p>
    <w:p>
      <w:pPr>
        <w:pStyle w:val="FirstParagraph"/>
      </w:pPr>
      <w:hyperlink r:id="rId215">
        <w:r>
          <w:rPr>
            <w:rStyle w:val="Hyperlink"/>
          </w:rPr>
          <w:t xml:space="preserve">Source</w:t>
        </w:r>
      </w:hyperlink>
    </w:p>
    <w:bookmarkEnd w:id="216"/>
    <w:bookmarkEnd w:id="217"/>
    <w:bookmarkStart w:id="222" w:name="notes-on-individual-sources"/>
    <w:p>
      <w:pPr>
        <w:pStyle w:val="Heading2"/>
      </w:pPr>
      <w:r>
        <w:t xml:space="preserve">6.3 Notes on individual sources</w:t>
      </w:r>
    </w:p>
    <w:bookmarkStart w:id="218"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218"/>
    <w:bookmarkStart w:id="219"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219"/>
    <w:bookmarkStart w:id="220" w:name="Xbb8f0982e57d54d2adcffa1eee1d0f75a5898e2"/>
    <w:p>
      <w:pPr>
        <w:pStyle w:val="Heading3"/>
      </w:pPr>
      <w:r>
        <w:t xml:space="preserve">6.3.3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220"/>
    <w:bookmarkStart w:id="221" w:name="range-maps-as-masks"/>
    <w:p>
      <w:pPr>
        <w:pStyle w:val="Heading3"/>
      </w:pPr>
      <w:r>
        <w:t xml:space="preserve">6.3.4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221"/>
    <w:bookmarkEnd w:id="222"/>
    <w:bookmarkStart w:id="225"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usa05</w:t>
      </w:r>
      <w:r>
        <w:t xml:space="preserve"> </w:t>
      </w:r>
      <w:r>
        <w:t xml:space="preserve">grid (US study area, 0.05 deg (0-360 frame)): 3,103 × 2,006 cells of 0.05° at 0–360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662,075</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Applications/quarto/share/formats/docx/warning.png" id="224"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225"/>
    <w:bookmarkStart w:id="231"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226">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0" w:name="fig-vgpm"/>
          <w:p>
            <w:pPr>
              <w:pStyle w:val="Compact"/>
              <w:jc w:val="center"/>
            </w:pPr>
            <w:r>
              <w:drawing>
                <wp:inline>
                  <wp:extent cx="5334000" cy="3418702"/>
                  <wp:effectExtent b="0" l="0" r="0" t="0"/>
                  <wp:docPr descr="" title="" id="228" name="Picture"/>
                  <a:graphic>
                    <a:graphicData uri="http://schemas.openxmlformats.org/drawingml/2006/picture">
                      <pic:pic>
                        <pic:nvPicPr>
                          <pic:cNvPr descr="figures/vgpm2021_offhab.jpg" id="229" name="Picture"/>
                          <pic:cNvPicPr>
                            <a:picLocks noChangeArrowheads="1" noChangeAspect="1"/>
                          </pic:cNvPicPr>
                        </pic:nvPicPr>
                        <pic:blipFill>
                          <a:blip r:embed="rId227"/>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230"/>
        </w:tc>
      </w:tr>
    </w:tbl>
    <w:bookmarkEnd w:id="231"/>
    <w:bookmarkEnd w:id="232"/>
    <w:bookmarkStart w:id="252"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233"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24"/>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24"/>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233"/>
    <w:bookmarkStart w:id="238"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237"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234">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2">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235">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236">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3">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237"/>
          <w:p/>
        </w:tc>
      </w:tr>
    </w:tbl>
    <w:p>
      <w:pPr>
        <w:pStyle w:val="BodyText"/>
      </w:pPr>
      <w:r>
        <w:t xml:space="preserve">At each stage deprecated names resolve to their accepted synonyms, with the original source name kept alongside the accepted one.</w:t>
      </w:r>
    </w:p>
    <w:bookmarkEnd w:id="238"/>
    <w:bookmarkStart w:id="242"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239" w:name="tbl-species-categories"/>
          <w:p>
            <w:pPr>
              <w:jc w:val="center"/>
            </w:pPr>
            <w:pPr>
              <w:jc w:val="left"/>
              <w:spacing w:before="200"/>
              <w:pStyle w:val="ImageCaption"/>
            </w:pPr>
            <w:r>
              <w:t xml:space="preserve">Table 7.2: Species categories in v7c.</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8,243</w:t>
                  </w:r>
                </w:p>
              </w:tc>
              <w:tc>
                <w:tcPr/>
                <w:p>
                  <w:pPr>
                    <w:pStyle w:val="Compact"/>
                    <w:jc w:val="right"/>
                    <w:jc w:val="center"/>
                  </w:pPr>
                  <w:r>
                    <w:t xml:space="preserve">8,062</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6,679</w:t>
                  </w:r>
                </w:p>
              </w:tc>
              <w:tc>
                <w:tcPr/>
                <w:p>
                  <w:pPr>
                    <w:pStyle w:val="Compact"/>
                    <w:jc w:val="right"/>
                    <w:jc w:val="center"/>
                  </w:pPr>
                  <w:r>
                    <w:t xml:space="preserve">5,943</w:t>
                  </w:r>
                </w:p>
              </w:tc>
              <w:tc>
                <w:tcPr/>
                <w:p>
                  <w:pPr>
                    <w:pStyle w:val="Compact"/>
                    <w:jc w:val="center"/>
                    <w:jc w:val="center"/>
                  </w:pPr>
                  <w:r>
                    <w:t xml:space="preserve">Yes</w:t>
                  </w:r>
                </w:p>
              </w:tc>
            </w:tr>
            <w:tr>
              <w:tc>
                <w:tcPr/>
                <w:p>
                  <w:pPr>
                    <w:pStyle w:val="Compact"/>
                    <w:jc w:val="left"/>
                    <w:jc w:val="center"/>
                  </w:pPr>
                  <w:r>
                    <w:rPr>
                      <w:rStyle w:val="VerbatimChar"/>
                    </w:rPr>
                    <w:t xml:space="preserve">other</w:t>
                  </w:r>
                </w:p>
              </w:tc>
              <w:tc>
                <w:tcPr/>
                <w:p>
                  <w:pPr>
                    <w:pStyle w:val="Compact"/>
                    <w:jc w:val="right"/>
                    <w:jc w:val="center"/>
                  </w:pPr>
                  <w:r>
                    <w:t xml:space="preserve">1,129</w:t>
                  </w:r>
                </w:p>
              </w:tc>
              <w:tc>
                <w:tcPr/>
                <w:p>
                  <w:pPr>
                    <w:pStyle w:val="Compact"/>
                    <w:jc w:val="right"/>
                    <w:jc w:val="center"/>
                  </w:pPr>
                  <w:r>
                    <w:t xml:space="preserve">1,125</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614</w:t>
                  </w:r>
                </w:p>
              </w:tc>
              <w:tc>
                <w:tcPr/>
                <w:p>
                  <w:pPr>
                    <w:pStyle w:val="Compact"/>
                    <w:jc w:val="right"/>
                    <w:jc w:val="center"/>
                  </w:pPr>
                  <w:r>
                    <w:t xml:space="preserve">476</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775</w:t>
                  </w:r>
                </w:p>
              </w:tc>
              <w:tc>
                <w:tcPr/>
                <w:p>
                  <w:pPr>
                    <w:pStyle w:val="Compact"/>
                    <w:jc w:val="right"/>
                    <w:jc w:val="center"/>
                  </w:pPr>
                  <w:r>
                    <w:t xml:space="preserve">457</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89</w:t>
                  </w:r>
                </w:p>
              </w:tc>
              <w:tc>
                <w:tcPr/>
                <w:p>
                  <w:pPr>
                    <w:pStyle w:val="Compact"/>
                    <w:jc w:val="right"/>
                    <w:jc w:val="center"/>
                  </w:pPr>
                  <w:r>
                    <w:t xml:space="preserve">84</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6</w:t>
                  </w:r>
                </w:p>
              </w:tc>
              <w:tc>
                <w:tcPr/>
                <w:p>
                  <w:pPr>
                    <w:pStyle w:val="Compact"/>
                    <w:jc w:val="right"/>
                    <w:jc w:val="center"/>
                  </w:pPr>
                  <w:r>
                    <w:t xml:space="preserve">6</w:t>
                  </w:r>
                </w:p>
              </w:tc>
              <w:tc>
                <w:tcPr/>
                <w:p>
                  <w:pPr>
                    <w:pStyle w:val="Compact"/>
                    <w:jc w:val="center"/>
                    <w:jc w:val="center"/>
                  </w:pPr>
                  <w:r>
                    <w:t xml:space="preserve">Yes</w:t>
                  </w:r>
                </w:p>
              </w:tc>
            </w:tr>
            <w:tr>
              <w:tc>
                <w:tcPr/>
                <w:p>
                  <w:pPr>
                    <w:pStyle w:val="Compact"/>
                    <w:jc w:val="left"/>
                    <w:jc w:val="center"/>
                  </w:pPr>
                  <w:r>
                    <w:rPr>
                      <w:rStyle w:val="VerbatimChar"/>
                    </w:rPr>
                    <w:t xml:space="preserve">reptile</w:t>
                  </w:r>
                </w:p>
              </w:tc>
              <w:tc>
                <w:tcPr/>
                <w:p>
                  <w:pPr>
                    <w:pStyle w:val="Compact"/>
                    <w:jc w:val="right"/>
                    <w:jc w:val="center"/>
                  </w:pPr>
                  <w:r>
                    <w:t xml:space="preserve">26</w:t>
                  </w:r>
                </w:p>
              </w:tc>
              <w:tc>
                <w:tcPr/>
                <w:p>
                  <w:pPr>
                    <w:pStyle w:val="Compact"/>
                    <w:jc w:val="right"/>
                    <w:jc w:val="center"/>
                  </w:pPr>
                  <w:r>
                    <w:t xml:space="preserve">0</w:t>
                  </w:r>
                </w:p>
              </w:tc>
              <w:tc>
                <w:tcPr/>
                <w:p>
                  <w:pPr>
                    <w:pStyle w:val="Compact"/>
                    <w:jc w:val="center"/>
                    <w:jc w:val="center"/>
                  </w:pPr>
                  <w:r>
                    <w:rPr>
                      <w:b/>
                      <w:bCs/>
                    </w:rPr>
                    <w:t xml:space="preserve">No</w:t>
                  </w:r>
                </w:p>
              </w:tc>
            </w:tr>
          </w:tbl>
          <w:bookmarkEnd w:id="239"/>
          <w:p/>
        </w:tc>
      </w:tr>
    </w:tbl>
    <w:p>
      <w:pPr>
        <w:pStyle w:val="BodyText"/>
      </w:pPr>
      <w:r>
        <w:t xml:space="preserve">Categories present in the taxonomy but</w:t>
      </w:r>
      <w:r>
        <w:t xml:space="preserve"> </w:t>
      </w:r>
      <w:r>
        <w:rPr>
          <w:b/>
          <w:bCs/>
        </w:rPr>
        <w:t xml:space="preserve">not scored</w:t>
      </w:r>
      <w:r>
        <w:t xml:space="preserve"> </w:t>
      </w:r>
      <w:r>
        <w:t xml:space="preserve">in v7c:</w:t>
      </w:r>
      <w:r>
        <w:t xml:space="preserve"> </w:t>
      </w:r>
      <w:r>
        <w:rPr>
          <w:rStyle w:val="VerbatimChar"/>
        </w:rPr>
        <w:t xml:space="preserve">reptile</w:t>
      </w:r>
      <w:r>
        <w:t xml:space="preserve">. They are carried in the taxon table — the identity is real — but no metric aggregates them, so they contribute nothing to any score.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Applications/quarto/share/formats/docx/note.png" id="24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Compact"/>
              <w:numPr>
                <w:ilvl w:val="0"/>
                <w:numId w:val="1025"/>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25"/>
              </w:numPr>
            </w:pPr>
            <w:r>
              <w:rPr>
                <w:rStyle w:val="VerbatimChar"/>
                <w:b/>
                <w:bCs/>
              </w:rPr>
              <w:t xml:space="preserve">other</w:t>
            </w:r>
            <w:r>
              <w:t xml:space="preserve"> </w:t>
            </w:r>
            <w:r>
              <w:t xml:space="preserve">collects taxa this release’s assignment could not place. It is a symptom rather than a category, and later releases removed the need for it by assigning from the taxonomic hierarchy instead — see</w:t>
            </w:r>
            <w:r>
              <w:t xml:space="preserve"> </w:t>
            </w:r>
            <w:hyperlink w:anchor="sec-releases">
              <w:r>
                <w:rPr>
                  <w:rStyle w:val="Hyperlink"/>
                </w:rPr>
                <w:t xml:space="preserve">Releases</w:t>
              </w:r>
            </w:hyperlink>
            <w:r>
              <w:t xml:space="preserve">.</w:t>
            </w:r>
          </w:p>
          <w:p/>
        </w:tc>
      </w:tr>
    </w:tbl>
    <w:bookmarkEnd w:id="242"/>
    <w:bookmarkStart w:id="243"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predates the explicit marine-relevance cull. Marine status comes from WoRMS</w:t>
      </w:r>
      <w:r>
        <w:t xml:space="preserve"> </w:t>
      </w:r>
      <w:r>
        <w:rPr>
          <w:rStyle w:val="VerbatimChar"/>
        </w:rPr>
        <w:t xml:space="preserve">isMarine</w:t>
      </w:r>
      <w:r>
        <w:t xml:space="preserve">, with birds admitted through BirdLife instead, so the bird counts on this page are</w:t>
      </w:r>
      <w:r>
        <w:t xml:space="preserve"> </w:t>
      </w:r>
      <w:r>
        <w:t xml:space="preserve">broader than in later releases.</w:t>
      </w:r>
    </w:p>
    <w:bookmarkEnd w:id="243"/>
    <w:bookmarkStart w:id="247"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244" w:name="tbl-filter-funnel"/>
          <w:p>
            <w:pPr>
              <w:jc w:val="center"/>
            </w:pPr>
            <w:pPr>
              <w:jc w:val="left"/>
              <w:spacing w:before="200"/>
              <w:pStyle w:val="ImageCaption"/>
            </w:pPr>
            <w:r>
              <w:t xml:space="preserve">Table 7.3: Validity gates applied cumulatively to v7c’s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Has a merged distribution</w:t>
                  </w:r>
                </w:p>
              </w:tc>
              <w:tc>
                <w:tcPr/>
                <w:p>
                  <w:pPr>
                    <w:pStyle w:val="Compact"/>
                    <w:jc w:val="right"/>
                    <w:jc w:val="center"/>
                  </w:pPr>
                  <w:r>
                    <w:t xml:space="preserve">−1,173</w:t>
                  </w:r>
                </w:p>
              </w:tc>
              <w:tc>
                <w:tcPr/>
                <w:p>
                  <w:pPr>
                    <w:pStyle w:val="Compact"/>
                    <w:jc w:val="right"/>
                    <w:jc w:val="center"/>
                  </w:pPr>
                  <w:r>
                    <w:t xml:space="preserve">16,388</w:t>
                  </w:r>
                </w:p>
              </w:tc>
            </w:tr>
            <w:tr>
              <w:tc>
                <w:tcPr/>
                <w:p>
                  <w:pPr>
                    <w:pStyle w:val="Compact"/>
                    <w:jc w:val="left"/>
                    <w:jc w:val="center"/>
                  </w:pPr>
                  <w:r>
                    <w:t xml:space="preserve">Not extinct</w:t>
                  </w:r>
                </w:p>
              </w:tc>
              <w:tc>
                <w:tcPr/>
                <w:p>
                  <w:pPr>
                    <w:pStyle w:val="Compact"/>
                    <w:jc w:val="right"/>
                    <w:jc w:val="center"/>
                  </w:pPr>
                  <w:r>
                    <w:t xml:space="preserve">−21</w:t>
                  </w:r>
                </w:p>
              </w:tc>
              <w:tc>
                <w:tcPr/>
                <w:p>
                  <w:pPr>
                    <w:pStyle w:val="Compact"/>
                    <w:jc w:val="right"/>
                    <w:jc w:val="center"/>
                  </w:pPr>
                  <w:r>
                    <w:t xml:space="preserve">16,367</w:t>
                  </w:r>
                </w:p>
              </w:tc>
            </w:tr>
            <w:tr>
              <w:tc>
                <w:tcPr/>
                <w:p>
                  <w:pPr>
                    <w:pStyle w:val="Compact"/>
                    <w:jc w:val="left"/>
                    <w:jc w:val="center"/>
                  </w:pPr>
                  <w:r>
                    <w:t xml:space="preserve">Marine (WoRMS, or a BirdLife bird)</w:t>
                  </w:r>
                </w:p>
              </w:tc>
              <w:tc>
                <w:tcPr/>
                <w:p>
                  <w:pPr>
                    <w:pStyle w:val="Compact"/>
                    <w:jc w:val="right"/>
                    <w:jc w:val="center"/>
                  </w:pPr>
                  <w:r>
                    <w:t xml:space="preserve">−48</w:t>
                  </w:r>
                </w:p>
              </w:tc>
              <w:tc>
                <w:tcPr/>
                <w:p>
                  <w:pPr>
                    <w:pStyle w:val="Compact"/>
                    <w:jc w:val="right"/>
                    <w:jc w:val="center"/>
                  </w:pPr>
                  <w:r>
                    <w:t xml:space="preserve">16,319</w:t>
                  </w:r>
                </w:p>
              </w:tc>
            </w:tr>
            <w:tr>
              <w:tc>
                <w:tcPr/>
                <w:p>
                  <w:pPr>
                    <w:pStyle w:val="Compact"/>
                    <w:jc w:val="left"/>
                    <w:jc w:val="center"/>
                  </w:pPr>
                  <w:r>
                    <w:t xml:space="preserve">Valid for scoring (the release’s</w:t>
                  </w:r>
                  <w:r>
                    <w:t xml:space="preserve"> </w:t>
                  </w:r>
                  <w:r>
                    <w:rPr>
                      <w:rStyle w:val="VerbatimChar"/>
                    </w:rPr>
                    <w:t xml:space="preserve">is_ok</w:t>
                  </w:r>
                  <w:r>
                    <w:t xml:space="preserve">)</w:t>
                  </w:r>
                </w:p>
              </w:tc>
              <w:tc>
                <w:tcPr/>
                <w:p>
                  <w:pPr>
                    <w:pStyle w:val="Compact"/>
                    <w:jc w:val="right"/>
                    <w:jc w:val="center"/>
                  </w:pPr>
                  <w:r>
                    <w:t xml:space="preserve">−166</w:t>
                  </w:r>
                </w:p>
              </w:tc>
              <w:tc>
                <w:tcPr/>
                <w:p>
                  <w:pPr>
                    <w:pStyle w:val="Compact"/>
                    <w:jc w:val="right"/>
                    <w:jc w:val="center"/>
                  </w:pPr>
                  <w:r>
                    <w:t xml:space="preserve">16,153</w:t>
                  </w:r>
                </w:p>
              </w:tc>
            </w:tr>
          </w:tbl>
          <w:bookmarkEnd w:id="244"/>
          <w:p/>
        </w:tc>
      </w:tr>
    </w:tbl>
    <w:p>
      <w:pPr>
        <w:pStyle w:val="BodyText"/>
      </w:pPr>
      <w:r>
        <w:t xml:space="preserve">This yields</w:t>
      </w:r>
      <w:r>
        <w:t xml:space="preserve"> </w:t>
      </w:r>
      <w:r>
        <w:rPr>
          <w:b/>
          <w:bCs/>
        </w:rPr>
        <w:t xml:space="preserve">16,153 valid species</w:t>
      </w:r>
      <w:r>
        <w:t xml:space="preserve"> </w:t>
      </w:r>
      <w:r>
        <w:t xml:space="preserve">across the study area.</w:t>
      </w:r>
    </w:p>
    <w:p>
      <w:pPr>
        <w:pStyle w:val="BodyText"/>
      </w:pPr>
      <w:r>
        <w:t xml:space="preserve">Of those,</w:t>
      </w:r>
      <w:r>
        <w:t xml:space="preserve"> </w:t>
      </w:r>
      <w:r>
        <w:rPr>
          <w:b/>
          <w:bCs/>
        </w:rPr>
        <w:t xml:space="preserve">9,229</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5" name="Picture"/>
                  <a:graphic>
                    <a:graphicData uri="http://schemas.openxmlformats.org/drawingml/2006/picture">
                      <pic:pic>
                        <pic:nvPicPr>
                          <pic:cNvPr descr="/Applications/quarto/share/formats/docx/important.png" id="24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247"/>
    <w:bookmarkStart w:id="250" w:name="data-quality"/>
    <w:p>
      <w:pPr>
        <w:pStyle w:val="Heading2"/>
      </w:pPr>
      <w:r>
        <w:t xml:space="preserve">7.6 Data quality</w:t>
      </w:r>
    </w:p>
    <w:bookmarkStart w:id="248"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248"/>
    <w:bookmarkStart w:id="249"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249"/>
    <w:bookmarkEnd w:id="250"/>
    <w:bookmarkStart w:id="251"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251"/>
    <w:bookmarkEnd w:id="252"/>
    <w:bookmarkStart w:id="276"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bookmarkStart w:id="264" w:name="regulatory-framework"/>
    <w:p>
      <w:pPr>
        <w:pStyle w:val="Heading2"/>
      </w:pPr>
      <w:r>
        <w:t xml:space="preserve">8.1 Regulatory framework</w:t>
      </w:r>
    </w:p>
    <w:bookmarkStart w:id="254" w:name="endangered-species-act-esa"/>
    <w:p>
      <w:pPr>
        <w:pStyle w:val="Heading3"/>
      </w:pPr>
      <w:r>
        <w:t xml:space="preserve">8.1.1 Endangered Species Act (ESA)</w:t>
      </w:r>
    </w:p>
    <w:p>
      <w:pPr>
        <w:pStyle w:val="FirstParagraph"/>
      </w:pPr>
      <w:r>
        <w:t xml:space="preserve">The</w:t>
      </w:r>
      <w:r>
        <w:t xml:space="preserve"> </w:t>
      </w:r>
      <w:hyperlink r:id="rId253">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254"/>
    <w:bookmarkStart w:id="256"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255">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256"/>
    <w:bookmarkStart w:id="260"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257">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8" name="Picture"/>
                  <a:graphic>
                    <a:graphicData uri="http://schemas.openxmlformats.org/drawingml/2006/picture">
                      <pic:pic>
                        <pic:nvPicPr>
                          <pic:cNvPr descr="/Applications/quarto/share/formats/docx/important.png" id="25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260"/>
    <w:bookmarkStart w:id="263"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3">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Applications/quarto/share/formats/docx/note.png" id="2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63"/>
    <w:bookmarkEnd w:id="264"/>
    <w:bookmarkStart w:id="273"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67"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65"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65"/>
    </w:p>
    <w:tbl>
      <w:tblPr>
        <w:tblStyle w:val="Table"/>
        <w:tblW w:type="pct" w:w="5000"/>
        <w:tblLayout w:type="fixed"/>
        <w:tblLook w:firstRow="0" w:lastRow="0" w:firstColumn="0" w:lastColumn="0" w:noHBand="0" w:noVBand="0" w:val="0000"/>
      </w:tblPr>
      <w:tblGrid>
        <w:gridCol w:w="7920"/>
      </w:tblGrid>
      <w:tr>
        <w:tc>
          <w:tcPr/>
          <w:bookmarkStart w:id="266"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66"/>
          <w:p/>
        </w:tc>
      </w:tr>
    </w:tbl>
    <w:p>
      <w:pPr>
        <w:pStyle w:val="BodyText"/>
      </w:pPr>
      <w:r>
        <w:t xml:space="preserve">Worked examples:</w:t>
      </w:r>
    </w:p>
    <w:p>
      <w:pPr>
        <w:pStyle w:val="Compact"/>
        <w:numPr>
          <w:ilvl w:val="0"/>
          <w:numId w:val="1026"/>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26"/>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26"/>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26"/>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67"/>
    <w:bookmarkStart w:id="269"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68"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68"/>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69"/>
    <w:bookmarkStart w:id="270"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70"/>
    <w:bookmarkStart w:id="272"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1" w:name="tbl-er-dist"/>
          <w:p>
            <w:pPr>
              <w:jc w:val="center"/>
            </w:pPr>
            <w:pPr>
              <w:jc w:val="left"/>
              <w:spacing w:before="200"/>
              <w:pStyle w:val="ImageCaption"/>
            </w:pPr>
            <w:r>
              <w:t xml:space="preserve">Table 8.3: Distribution of the governing</w:t>
            </w:r>
            <w:r>
              <w:t xml:space="preserve"> </w:t>
            </w:r>
            <w:r>
              <w:rPr>
                <w:rStyle w:val="VerbatimChar"/>
              </w:rPr>
              <w:t xml:space="preserve">er_score</w:t>
            </w:r>
            <w:r>
              <w:t xml:space="preserve"> </w:t>
            </w:r>
            <w:r>
              <w:t xml:space="preserve">across v7c’s valid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er_score</w:t>
                  </w:r>
                </w:p>
              </w:tc>
              <w:tc>
                <w:tcPr/>
                <w:p>
                  <w:pPr>
                    <w:pStyle w:val="Compact"/>
                    <w:jc w:val="right"/>
                    <w:jc w:val="center"/>
                  </w:pPr>
                  <w:r>
                    <w:t xml:space="preserve">Species</w:t>
                  </w:r>
                </w:p>
              </w:tc>
              <w:tc>
                <w:tcPr/>
                <w:p>
                  <w:pPr>
                    <w:pStyle w:val="Compact"/>
                    <w:jc w:val="right"/>
                    <w:jc w:val="center"/>
                  </w:pPr>
                  <w:r>
                    <w:t xml:space="preserve">Share</w:t>
                  </w:r>
                </w:p>
              </w:tc>
            </w:tr>
            <w:tr>
              <w:tc>
                <w:tcPr/>
                <w:p>
                  <w:pPr>
                    <w:pStyle w:val="Compact"/>
                    <w:jc w:val="right"/>
                    <w:jc w:val="center"/>
                  </w:pPr>
                  <w:r>
                    <w:t xml:space="preserve">100</w:t>
                  </w:r>
                </w:p>
              </w:tc>
              <w:tc>
                <w:tcPr/>
                <w:p>
                  <w:pPr>
                    <w:pStyle w:val="Compact"/>
                    <w:jc w:val="right"/>
                    <w:jc w:val="center"/>
                  </w:pPr>
                  <w:r>
                    <w:t xml:space="preserve">44</w:t>
                  </w:r>
                </w:p>
              </w:tc>
              <w:tc>
                <w:tcPr/>
                <w:p>
                  <w:pPr>
                    <w:pStyle w:val="Compact"/>
                    <w:jc w:val="right"/>
                    <w:jc w:val="center"/>
                  </w:pPr>
                  <w:r>
                    <w:t xml:space="preserve">0.3%</w:t>
                  </w:r>
                </w:p>
              </w:tc>
            </w:tr>
            <w:tr>
              <w:tc>
                <w:tcPr/>
                <w:p>
                  <w:pPr>
                    <w:pStyle w:val="Compact"/>
                    <w:jc w:val="right"/>
                    <w:jc w:val="center"/>
                  </w:pPr>
                  <w:r>
                    <w:t xml:space="preserve">50</w:t>
                  </w:r>
                </w:p>
              </w:tc>
              <w:tc>
                <w:tcPr/>
                <w:p>
                  <w:pPr>
                    <w:pStyle w:val="Compact"/>
                    <w:jc w:val="right"/>
                    <w:jc w:val="center"/>
                  </w:pPr>
                  <w:r>
                    <w:t xml:space="preserve">54</w:t>
                  </w:r>
                </w:p>
              </w:tc>
              <w:tc>
                <w:tcPr/>
                <w:p>
                  <w:pPr>
                    <w:pStyle w:val="Compact"/>
                    <w:jc w:val="right"/>
                    <w:jc w:val="center"/>
                  </w:pPr>
                  <w:r>
                    <w:t xml:space="preserve">0.3%</w:t>
                  </w:r>
                </w:p>
              </w:tc>
            </w:tr>
            <w:tr>
              <w:tc>
                <w:tcPr/>
                <w:p>
                  <w:pPr>
                    <w:pStyle w:val="Compact"/>
                    <w:jc w:val="right"/>
                    <w:jc w:val="center"/>
                  </w:pPr>
                  <w:r>
                    <w:t xml:space="preserve">25</w:t>
                  </w:r>
                </w:p>
              </w:tc>
              <w:tc>
                <w:tcPr/>
                <w:p>
                  <w:pPr>
                    <w:pStyle w:val="Compact"/>
                    <w:jc w:val="right"/>
                    <w:jc w:val="center"/>
                  </w:pPr>
                  <w:r>
                    <w:t xml:space="preserve">104</w:t>
                  </w:r>
                </w:p>
              </w:tc>
              <w:tc>
                <w:tcPr/>
                <w:p>
                  <w:pPr>
                    <w:pStyle w:val="Compact"/>
                    <w:jc w:val="right"/>
                    <w:jc w:val="center"/>
                  </w:pPr>
                  <w:r>
                    <w:t xml:space="preserve">0.6%</w:t>
                  </w:r>
                </w:p>
              </w:tc>
            </w:tr>
            <w:tr>
              <w:tc>
                <w:tcPr/>
                <w:p>
                  <w:pPr>
                    <w:pStyle w:val="Compact"/>
                    <w:jc w:val="right"/>
                    <w:jc w:val="center"/>
                  </w:pPr>
                  <w:r>
                    <w:t xml:space="preserve">20</w:t>
                  </w:r>
                </w:p>
              </w:tc>
              <w:tc>
                <w:tcPr/>
                <w:p>
                  <w:pPr>
                    <w:pStyle w:val="Compact"/>
                    <w:jc w:val="right"/>
                    <w:jc w:val="center"/>
                  </w:pPr>
                  <w:r>
                    <w:t xml:space="preserve">44</w:t>
                  </w:r>
                </w:p>
              </w:tc>
              <w:tc>
                <w:tcPr/>
                <w:p>
                  <w:pPr>
                    <w:pStyle w:val="Compact"/>
                    <w:jc w:val="right"/>
                    <w:jc w:val="center"/>
                  </w:pPr>
                  <w:r>
                    <w:t xml:space="preserve">0.3%</w:t>
                  </w:r>
                </w:p>
              </w:tc>
            </w:tr>
            <w:tr>
              <w:tc>
                <w:tcPr/>
                <w:p>
                  <w:pPr>
                    <w:pStyle w:val="Compact"/>
                    <w:jc w:val="right"/>
                    <w:jc w:val="center"/>
                  </w:pPr>
                  <w:r>
                    <w:t xml:space="preserve">10</w:t>
                  </w:r>
                </w:p>
              </w:tc>
              <w:tc>
                <w:tcPr/>
                <w:p>
                  <w:pPr>
                    <w:pStyle w:val="Compact"/>
                    <w:jc w:val="right"/>
                    <w:jc w:val="center"/>
                  </w:pPr>
                  <w:r>
                    <w:t xml:space="preserve">121</w:t>
                  </w:r>
                </w:p>
              </w:tc>
              <w:tc>
                <w:tcPr/>
                <w:p>
                  <w:pPr>
                    <w:pStyle w:val="Compact"/>
                    <w:jc w:val="right"/>
                    <w:jc w:val="center"/>
                  </w:pPr>
                  <w:r>
                    <w:t xml:space="preserve">0.7%</w:t>
                  </w:r>
                </w:p>
              </w:tc>
            </w:tr>
            <w:tr>
              <w:tc>
                <w:tcPr/>
                <w:p>
                  <w:pPr>
                    <w:pStyle w:val="Compact"/>
                    <w:jc w:val="right"/>
                    <w:jc w:val="center"/>
                  </w:pPr>
                  <w:r>
                    <w:t xml:space="preserve">5</w:t>
                  </w:r>
                </w:p>
              </w:tc>
              <w:tc>
                <w:tcPr/>
                <w:p>
                  <w:pPr>
                    <w:pStyle w:val="Compact"/>
                    <w:jc w:val="right"/>
                    <w:jc w:val="center"/>
                  </w:pPr>
                  <w:r>
                    <w:t xml:space="preserve">105</w:t>
                  </w:r>
                </w:p>
              </w:tc>
              <w:tc>
                <w:tcPr/>
                <w:p>
                  <w:pPr>
                    <w:pStyle w:val="Compact"/>
                    <w:jc w:val="right"/>
                    <w:jc w:val="center"/>
                  </w:pPr>
                  <w:r>
                    <w:t xml:space="preserve">0.7%</w:t>
                  </w:r>
                </w:p>
              </w:tc>
            </w:tr>
            <w:tr>
              <w:tc>
                <w:tcPr/>
                <w:p>
                  <w:pPr>
                    <w:pStyle w:val="Compact"/>
                    <w:jc w:val="right"/>
                    <w:jc w:val="center"/>
                  </w:pPr>
                  <w:r>
                    <w:t xml:space="preserve">2</w:t>
                  </w:r>
                </w:p>
              </w:tc>
              <w:tc>
                <w:tcPr/>
                <w:p>
                  <w:pPr>
                    <w:pStyle w:val="Compact"/>
                    <w:jc w:val="right"/>
                    <w:jc w:val="center"/>
                  </w:pPr>
                  <w:r>
                    <w:t xml:space="preserve">102</w:t>
                  </w:r>
                </w:p>
              </w:tc>
              <w:tc>
                <w:tcPr/>
                <w:p>
                  <w:pPr>
                    <w:pStyle w:val="Compact"/>
                    <w:jc w:val="right"/>
                    <w:jc w:val="center"/>
                  </w:pPr>
                  <w:r>
                    <w:t xml:space="preserve">0.6%</w:t>
                  </w:r>
                </w:p>
              </w:tc>
            </w:tr>
            <w:tr>
              <w:tc>
                <w:tcPr/>
                <w:p>
                  <w:pPr>
                    <w:pStyle w:val="Compact"/>
                    <w:jc w:val="right"/>
                    <w:jc w:val="center"/>
                  </w:pPr>
                  <w:r>
                    <w:t xml:space="preserve">1</w:t>
                  </w:r>
                </w:p>
              </w:tc>
              <w:tc>
                <w:tcPr/>
                <w:p>
                  <w:pPr>
                    <w:pStyle w:val="Compact"/>
                    <w:jc w:val="right"/>
                    <w:jc w:val="center"/>
                  </w:pPr>
                  <w:r>
                    <w:t xml:space="preserve">15,579</w:t>
                  </w:r>
                </w:p>
              </w:tc>
              <w:tc>
                <w:tcPr/>
                <w:p>
                  <w:pPr>
                    <w:pStyle w:val="Compact"/>
                    <w:jc w:val="right"/>
                    <w:jc w:val="center"/>
                  </w:pPr>
                  <w:r>
                    <w:t xml:space="preserve">96.4%</w:t>
                  </w:r>
                </w:p>
              </w:tc>
            </w:tr>
          </w:tbl>
          <w:bookmarkEnd w:id="271"/>
          <w:p/>
        </w:tc>
      </w:tr>
    </w:tbl>
    <w:p>
      <w:pPr>
        <w:pStyle w:val="BodyText"/>
      </w:pPr>
      <w:r>
        <w:t xml:space="preserve">Of v7c’s 16,153 valid species,</w:t>
      </w:r>
      <w:r>
        <w:t xml:space="preserve"> </w:t>
      </w:r>
      <w:r>
        <w:rPr>
          <w:b/>
          <w:bCs/>
        </w:rPr>
        <w:t xml:space="preserve">62</w:t>
      </w:r>
      <w:r>
        <w:t xml:space="preserve"> </w:t>
      </w:r>
      <w:r>
        <w:t xml:space="preserve">carry the MMPA floor and</w:t>
      </w:r>
      <w:r>
        <w:t xml:space="preserve"> </w:t>
      </w:r>
      <w:r>
        <w:rPr>
          <w:b/>
          <w:bCs/>
        </w:rPr>
        <w:t xml:space="preserve">132</w:t>
      </w:r>
      <w:r>
        <w:t xml:space="preserve"> </w:t>
      </w:r>
      <w:r>
        <w:t xml:space="preserve">the MBTA floor.</w:t>
      </w:r>
    </w:p>
    <w:bookmarkEnd w:id="272"/>
    <w:bookmarkEnd w:id="273"/>
    <w:bookmarkStart w:id="274"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74"/>
    <w:bookmarkStart w:id="275"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75"/>
    <w:bookmarkEnd w:id="276"/>
    <w:bookmarkStart w:id="302"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Applications/quarto/share/formats/docx/tip.png" id="278" name="Picture"/>
                          <pic:cNvPicPr>
                            <a:picLocks noChangeArrowheads="1" noChangeAspect="1"/>
                          </pic:cNvPicPr>
                        </pic:nvPicPr>
                        <pic:blipFill>
                          <a:blip r:embed="rId1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79"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79"/>
    <w:bookmarkStart w:id="296"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83" w:name="fig-merge-pipeline"/>
          <w:p>
            <w:pPr>
              <w:jc w:val="center"/>
            </w:pPr>
            <w:r>
              <w:drawing>
                <wp:inline>
                  <wp:extent cx="5334000" cy="5351779"/>
                  <wp:effectExtent b="0" l="0" r="0" t="0"/>
                  <wp:docPr descr="" title="" id="281" name="Picture"/>
                  <a:graphic>
                    <a:graphicData uri="http://schemas.openxmlformats.org/drawingml/2006/picture">
                      <pic:pic>
                        <pic:nvPicPr>
                          <pic:cNvPr descr="model-merging_files/figure-docx/mermaid-figure-2.png" id="282" name="Picture"/>
                          <pic:cNvPicPr>
                            <a:picLocks noChangeArrowheads="1" noChangeAspect="1"/>
                          </pic:cNvPicPr>
                        </pic:nvPicPr>
                        <pic:blipFill>
                          <a:blip r:embed="rId280"/>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83"/>
        </w:tc>
      </w:tr>
    </w:tbl>
    <w:bookmarkStart w:id="284"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84"/>
    <w:bookmarkStart w:id="288"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85"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85"/>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Applications/quarto/share/formats/docx/important.png" id="28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88"/>
    <w:bookmarkStart w:id="289" w:name="step-3-two-surfaces-not-one"/>
    <w:p>
      <w:pPr>
        <w:pStyle w:val="Heading3"/>
      </w:pPr>
      <w:r>
        <w:t xml:space="preserve">9.2.3 Step 3 — two surfaces, not one</w:t>
      </w:r>
    </w:p>
    <w:bookmarkEnd w:id="289"/>
    <w:bookmarkStart w:id="291"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90"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90"/>
    </w:p>
    <w:p>
      <w:pPr>
        <w:pStyle w:val="FirstParagraph"/>
      </w:pPr>
      <w:r>
        <w:t xml:space="preserve">Critical-habitat designations then override with a maximum, so a designated cell is never scored below its designation.</w:t>
      </w:r>
    </w:p>
    <w:p>
      <w:pPr>
        <w:pStyle w:val="BodyText"/>
      </w:pPr>
      <w:r>
        <w:rPr>
          <w:b/>
          <w:bCs/>
        </w:rPr>
        <w:t xml:space="preserve">v7c edits the merged models after this rule, by ecoregion and by evidence</w:t>
      </w:r>
      <w:r>
        <w:t xml:space="preserve">, and leaves</w:t>
      </w:r>
      <w:r>
        <w:t xml:space="preserve"> </w:t>
      </w:r>
      <w:hyperlink w:anchor="eq-merge-turtle">
        <w:r>
          <w:rPr>
            <w:rStyle w:val="Hyperlink"/>
          </w:rPr>
          <w:t xml:space="preserve">Equation 9.2</w:t>
        </w:r>
      </w:hyperlink>
      <w:r>
        <w:t xml:space="preserve"> </w:t>
      </w:r>
      <w:r>
        <w:t xml:space="preserve">and the suitability surfaces exactly as v7 had them (no suitability threshold, the</w:t>
      </w:r>
      <w:r>
        <w:t xml:space="preserve"> </w:t>
      </w:r>
      <w:r>
        <w:t xml:space="preserve">range fill at 1 kept). Each cell belongs to the ecoregion covering most of it, and a species is</w:t>
      </w:r>
      <w:r>
        <w:t xml:space="preserve"> </w:t>
      </w:r>
      <w:r>
        <w:t xml:space="preserve">removed — the cell dropped, never set to zero — from an ecoregion listed in an evidence table of</w:t>
      </w:r>
      <w:r>
        <w:t xml:space="preserve"> </w:t>
      </w:r>
      <w:r>
        <w:t xml:space="preserve">species × ecoregion exclusions; every other cell keeps its v7 value, and a cell the species holds</w:t>
      </w:r>
      <w:r>
        <w:t xml:space="preserve"> </w:t>
      </w:r>
      <w:r>
        <w:t xml:space="preserve">under designated critical habitat is never removed.</w:t>
      </w:r>
    </w:p>
    <w:p>
      <w:pPr>
        <w:pStyle w:val="Compact"/>
        <w:numPr>
          <w:ilvl w:val="0"/>
          <w:numId w:val="1027"/>
        </w:numPr>
      </w:pPr>
      <w:r>
        <w:rPr>
          <w:b/>
          <w:bCs/>
        </w:rPr>
        <w:t xml:space="preserve">Turtle record rule</w:t>
      </w:r>
      <w:r>
        <w:t xml:space="preserve"> </w:t>
      </w:r>
      <w:r>
        <w:t xml:space="preserve">(</w:t>
      </w:r>
      <w:r>
        <w:rPr>
          <w:rStyle w:val="VerbatimChar"/>
        </w:rPr>
        <w:t xml:space="preserve">turtle_record_rule = on</w:t>
      </w:r>
      <w:r>
        <w:t xml:space="preserve">): a sea-turtle species is excluded from an</w:t>
      </w:r>
      <w:r>
        <w:t xml:space="preserve"> </w:t>
      </w:r>
      <w:r>
        <w:t xml:space="preserve">Alaska ecoregion where it has</w:t>
      </w:r>
      <w:r>
        <w:t xml:space="preserve"> </w:t>
      </w:r>
      <w:r>
        <w:rPr>
          <w:b/>
          <w:bCs/>
        </w:rPr>
        <w:t xml:space="preserve">never been recorded</w:t>
      </w:r>
      <w:r>
        <w:t xml:space="preserve"> </w:t>
      </w:r>
      <w:r>
        <w:t xml:space="preserve">in any observational channel — sightings,</w:t>
      </w:r>
      <w:r>
        <w:t xml:space="preserve"> </w:t>
      </w:r>
      <w:r>
        <w:t xml:space="preserve">strandings, bycatch, fishery observers, OBIS, GBIF and iNaturalist. Where it has been recorded,</w:t>
      </w:r>
      <w:r>
        <w:t xml:space="preserve"> </w:t>
      </w:r>
      <w:r>
        <w:t xml:space="preserve">however rarely, it keeps its v7 value: a down-weight shared across an ecoregion would cancel under</w:t>
      </w:r>
      <w:r>
        <w:t xml:space="preserve"> </w:t>
      </w:r>
      <w:r>
        <w:t xml:space="preserve">the ecoregional rescale (</w:t>
      </w:r>
      <w:hyperlink w:anchor="eq-ecoregion-rescale">
        <w:r>
          <w:rPr>
            <w:rStyle w:val="Hyperlink"/>
          </w:rPr>
          <w:t xml:space="preserve">Equation 10.4</w:t>
        </w:r>
      </w:hyperlink>
      <w:r>
        <w:t xml:space="preserve">), and no weight can take a species out of a cell under</w:t>
      </w:r>
      <w:r>
        <w:t xml:space="preserve"> </w:t>
      </w:r>
      <w:r>
        <w:t xml:space="preserve">the integer floor of 1.</w:t>
      </w:r>
    </w:p>
    <w:p>
      <w:pPr>
        <w:pStyle w:val="Compact"/>
        <w:numPr>
          <w:ilvl w:val="0"/>
          <w:numId w:val="1027"/>
        </w:numPr>
      </w:pPr>
      <w:r>
        <w:rPr>
          <w:b/>
          <w:bCs/>
        </w:rPr>
        <w:t xml:space="preserve">Right whale Gulf rule</w:t>
      </w:r>
      <w:r>
        <w:t xml:space="preserve"> </w:t>
      </w:r>
      <w:r>
        <w:t xml:space="preserve">(</w:t>
      </w:r>
      <w:r>
        <w:rPr>
          <w:rStyle w:val="VerbatimChar"/>
        </w:rPr>
        <w:t xml:space="preserve">right_whale_gulf_rule = on</w:t>
      </w:r>
      <w:r>
        <w:t xml:space="preserve">): the North Atlantic right whale is</w:t>
      </w:r>
      <w:r>
        <w:t xml:space="preserve"> </w:t>
      </w:r>
      <w:r>
        <w:t xml:space="preserve">excluded from the two Gulf of America ecoregions, outside its range, where its v7 presence came</w:t>
      </w:r>
      <w:r>
        <w:t xml:space="preserve"> </w:t>
      </w:r>
      <w:r>
        <w:t xml:space="preserve">only from the IUCN range polygon and AquaMaps</w:t>
      </w:r>
      <w:r>
        <w:t xml:space="preserve"> </w:t>
      </w:r>
      <w:r>
        <w:t xml:space="preserve">(Roberts et al. 2016; Ward-Geiger et al. 2011)</w:t>
      </w:r>
      <w:r>
        <w:t xml:space="preserve">.</w:t>
      </w:r>
    </w:p>
    <w:p>
      <w:pPr>
        <w:pStyle w:val="FirstParagraph"/>
      </w:pPr>
      <w:r>
        <w:t xml:space="preserve">The table applied is fingerprinted in the release as</w:t>
      </w:r>
      <w:r>
        <w:t xml:space="preserve"> </w:t>
      </w:r>
      <w:r>
        <w:rPr>
          <w:rStyle w:val="VerbatimChar"/>
        </w:rPr>
        <w:t xml:space="preserve">zone_exclusions_hash = 11f016d766f72876</w:t>
      </w:r>
      <w:r>
        <w:t xml:space="preserve">;</w:t>
      </w:r>
      <w:r>
        <w:t xml:space="preserve"> </w:t>
      </w:r>
      <w:r>
        <w:t xml:space="preserve">the rules as equations, the evidence per species, ecoregion and channel, and the cells each row</w:t>
      </w:r>
      <w:r>
        <w:t xml:space="preserve"> </w:t>
      </w:r>
      <w:r>
        <w:t xml:space="preserve">removes are in</w:t>
      </w:r>
      <w:r>
        <w:t xml:space="preserve"> </w:t>
      </w:r>
      <w:hyperlink w:anchor="sec-release-v7c">
        <w:r>
          <w:rPr>
            <w:rStyle w:val="Hyperlink"/>
          </w:rPr>
          <w:t xml:space="preserve">Chapter 4</w:t>
        </w:r>
      </w:hyperlink>
      <w:r>
        <w:t xml:space="preserve">. Turning both rules off reproduces v7’s merged models exactly.</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91"/>
    <w:bookmarkStart w:id="295"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92"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92"/>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3" name="Picture"/>
                  <a:graphic>
                    <a:graphicData uri="http://schemas.openxmlformats.org/drawingml/2006/picture">
                      <pic:pic>
                        <pic:nvPicPr>
                          <pic:cNvPr descr="/Applications/quarto/share/formats/docx/note.png" id="29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8"/>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8"/>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8"/>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95"/>
    <w:bookmarkEnd w:id="296"/>
    <w:bookmarkStart w:id="297"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97"/>
    <w:bookmarkStart w:id="298"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98"/>
    <w:bookmarkStart w:id="299" w:name="persisted-output"/>
    <w:p>
      <w:pPr>
        <w:pStyle w:val="Heading2"/>
      </w:pPr>
      <w:r>
        <w:t xml:space="preserve">9.5 Persisted output</w:t>
      </w:r>
    </w:p>
    <w:p>
      <w:pPr>
        <w:pStyle w:val="FirstParagraph"/>
      </w:pPr>
      <w:r>
        <w:t xml:space="preserve">The merged result is stored as:</w:t>
      </w:r>
    </w:p>
    <w:p>
      <w:pPr>
        <w:pStyle w:val="Compact"/>
        <w:numPr>
          <w:ilvl w:val="0"/>
          <w:numId w:val="1029"/>
        </w:numPr>
      </w:pPr>
      <w:r>
        <w:rPr>
          <w:rStyle w:val="VerbatimChar"/>
          <w:b/>
          <w:bCs/>
        </w:rPr>
        <w:t xml:space="preserve">model</w:t>
      </w:r>
      <w:r>
        <w:t xml:space="preserve"> </w:t>
      </w:r>
      <w:r>
        <w:t xml:space="preserve">— one row per merged model, keyed by</w:t>
      </w:r>
      <w:r>
        <w:t xml:space="preserve"> </w:t>
      </w:r>
      <w:r>
        <w:rPr>
          <w:rStyle w:val="VerbatimChar"/>
        </w:rPr>
        <w:t xml:space="preserve">mdl_seq</w:t>
      </w:r>
      <w:r>
        <w:t xml:space="preserve">.</w:t>
      </w:r>
    </w:p>
    <w:p>
      <w:pPr>
        <w:pStyle w:val="Compact"/>
        <w:numPr>
          <w:ilvl w:val="0"/>
          <w:numId w:val="1029"/>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bookmarkEnd w:id="299"/>
    <w:bookmarkStart w:id="300"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v7c this yields</w:t>
      </w:r>
      <w:r>
        <w:t xml:space="preserve"> </w:t>
      </w:r>
      <w:r>
        <w:rPr>
          <w:b/>
          <w:bCs/>
        </w:rPr>
        <w:t xml:space="preserve">16,153 valid species</w:t>
      </w:r>
      <w:r>
        <w:t xml:space="preserve"> </w:t>
      </w:r>
      <w:r>
        <w:t xml:space="preserve">across the study area, of which</w:t>
      </w:r>
      <w:r>
        <w:t xml:space="preserve"> </w:t>
      </w:r>
      <w:r>
        <w:rPr>
          <w:b/>
          <w:bCs/>
        </w:rPr>
        <w:t xml:space="preserve">9,229</w:t>
      </w:r>
      <w:r>
        <w:t xml:space="preserve"> </w:t>
      </w:r>
      <w:r>
        <w:t xml:space="preserve">contribute to scores within the 20 BOEM Program Areas of the current program cycle.</w:t>
      </w:r>
    </w:p>
    <w:bookmarkEnd w:id="300"/>
    <w:bookmarkStart w:id="301"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301"/>
    <w:bookmarkEnd w:id="302"/>
    <w:bookmarkStart w:id="345"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Applications/quarto/share/formats/docx/tip.png" id="304" name="Picture"/>
                          <pic:cNvPicPr>
                            <a:picLocks noChangeArrowheads="1" noChangeAspect="1"/>
                          </pic:cNvPicPr>
                        </pic:nvPicPr>
                        <pic:blipFill>
                          <a:blip r:embed="rId1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309"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305"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305"/>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308"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306"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306"/>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307"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307"/>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308"/>
    <w:bookmarkEnd w:id="309"/>
    <w:bookmarkStart w:id="311"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310" w:name="tbl-metrics"/>
          <w:p>
            <w:pPr>
              <w:jc w:val="center"/>
            </w:pPr>
            <w:pPr>
              <w:jc w:val="left"/>
              <w:spacing w:before="200"/>
              <w:pStyle w:val="ImageCaption"/>
            </w:pPr>
            <w:r>
              <w:t xml:space="preserve">Table 10.1: Cell-level metrics published by v7c.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1271"/>
              <w:gridCol w:w="6648"/>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extrisk_bird</w:t>
                  </w:r>
                </w:p>
              </w:tc>
              <w:tc>
                <w:tcPr/>
                <w:p>
                  <w:pPr>
                    <w:pStyle w:val="Compact"/>
                    <w:jc w:val="left"/>
                    <w:jc w:val="center"/>
                  </w:pPr>
                  <w:r>
                    <w:t xml:space="preserve">Extinction risk for bird</w:t>
                  </w:r>
                </w:p>
              </w:tc>
            </w:tr>
            <w:tr>
              <w:tc>
                <w:tcPr/>
                <w:p>
                  <w:pPr>
                    <w:pStyle w:val="Compact"/>
                    <w:jc w:val="left"/>
                    <w:jc w:val="center"/>
                  </w:pPr>
                  <w:r>
                    <w:rPr>
                      <w:rStyle w:val="VerbatimChar"/>
                    </w:rPr>
                    <w:t xml:space="preserve">extrisk_bird_ecoregion_rescaled</w:t>
                  </w:r>
                </w:p>
              </w:tc>
              <w:tc>
                <w:tcPr/>
                <w:p>
                  <w:pPr>
                    <w:pStyle w:val="Compact"/>
                    <w:jc w:val="left"/>
                    <w:jc w:val="center"/>
                  </w:pPr>
                  <w:r>
                    <w:t xml:space="preserve">Extinction risk for bird, rescaled to [0,100] based on Ecoregional min/max values</w:t>
                  </w:r>
                </w:p>
              </w:tc>
            </w:tr>
            <w:tr>
              <w:tc>
                <w:tcPr/>
                <w:p>
                  <w:pPr>
                    <w:pStyle w:val="Compact"/>
                    <w:jc w:val="left"/>
                    <w:jc w:val="center"/>
                  </w:pPr>
                  <w:r>
                    <w:rPr>
                      <w:rStyle w:val="VerbatimChar"/>
                    </w:rPr>
                    <w:t xml:space="preserve">extrisk_coral</w:t>
                  </w:r>
                </w:p>
              </w:tc>
              <w:tc>
                <w:tcPr/>
                <w:p>
                  <w:pPr>
                    <w:pStyle w:val="Compact"/>
                    <w:jc w:val="left"/>
                    <w:jc w:val="center"/>
                  </w:pPr>
                  <w:r>
                    <w:t xml:space="preserve">Extinction risk for coral</w:t>
                  </w:r>
                </w:p>
              </w:tc>
            </w:tr>
            <w:tr>
              <w:tc>
                <w:tcPr/>
                <w:p>
                  <w:pPr>
                    <w:pStyle w:val="Compact"/>
                    <w:jc w:val="left"/>
                    <w:jc w:val="center"/>
                  </w:pPr>
                  <w:r>
                    <w:rPr>
                      <w:rStyle w:val="VerbatimChar"/>
                    </w:rPr>
                    <w:t xml:space="preserve">extrisk_coral_ecoregion_rescaled</w:t>
                  </w:r>
                </w:p>
              </w:tc>
              <w:tc>
                <w:tcPr/>
                <w:p>
                  <w:pPr>
                    <w:pStyle w:val="Compact"/>
                    <w:jc w:val="left"/>
                    <w:jc w:val="center"/>
                  </w:pPr>
                  <w:r>
                    <w:t xml:space="preserve">Extinction risk for coral, rescaled to [0,100] based on Ecoregional min/max values</w:t>
                  </w:r>
                </w:p>
              </w:tc>
            </w:tr>
            <w:tr>
              <w:tc>
                <w:tcPr/>
                <w:p>
                  <w:pPr>
                    <w:pStyle w:val="Compact"/>
                    <w:jc w:val="left"/>
                    <w:jc w:val="center"/>
                  </w:pPr>
                  <w:r>
                    <w:rPr>
                      <w:rStyle w:val="VerbatimChar"/>
                    </w:rPr>
                    <w:t xml:space="preserve">extrisk_fish</w:t>
                  </w:r>
                </w:p>
              </w:tc>
              <w:tc>
                <w:tcPr/>
                <w:p>
                  <w:pPr>
                    <w:pStyle w:val="Compact"/>
                    <w:jc w:val="left"/>
                    <w:jc w:val="center"/>
                  </w:pPr>
                  <w:r>
                    <w:t xml:space="preserve">Extinction risk for fish</w:t>
                  </w:r>
                </w:p>
              </w:tc>
            </w:tr>
            <w:tr>
              <w:tc>
                <w:tcPr/>
                <w:p>
                  <w:pPr>
                    <w:pStyle w:val="Compact"/>
                    <w:jc w:val="left"/>
                    <w:jc w:val="center"/>
                  </w:pPr>
                  <w:r>
                    <w:rPr>
                      <w:rStyle w:val="VerbatimChar"/>
                    </w:rPr>
                    <w:t xml:space="preserve">extrisk_fish_ecoregion_rescaled</w:t>
                  </w:r>
                </w:p>
              </w:tc>
              <w:tc>
                <w:tcPr/>
                <w:p>
                  <w:pPr>
                    <w:pStyle w:val="Compact"/>
                    <w:jc w:val="left"/>
                    <w:jc w:val="center"/>
                  </w:pPr>
                  <w:r>
                    <w:t xml:space="preserve">Extinction risk for fish, rescaled to [0,100] based on Ecoregional min/max values</w:t>
                  </w: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 risk for invertebrate</w:t>
                  </w:r>
                </w:p>
              </w:tc>
            </w:tr>
            <w:tr>
              <w:tc>
                <w:tcPr/>
                <w:p>
                  <w:pPr>
                    <w:pStyle w:val="Compact"/>
                    <w:jc w:val="left"/>
                    <w:jc w:val="center"/>
                  </w:pPr>
                  <w:r>
                    <w:rPr>
                      <w:rStyle w:val="VerbatimChar"/>
                    </w:rPr>
                    <w:t xml:space="preserve">extrisk_invertebrate_ecoregion_rescaled</w:t>
                  </w:r>
                </w:p>
              </w:tc>
              <w:tc>
                <w:tcPr/>
                <w:p>
                  <w:pPr>
                    <w:pStyle w:val="Compact"/>
                    <w:jc w:val="left"/>
                    <w:jc w:val="center"/>
                  </w:pPr>
                  <w:r>
                    <w:t xml:space="preserve">Extinction risk for invertebrate, rescaled to [0,100] based on Ecoregional min/max values</w:t>
                  </w:r>
                </w:p>
              </w:tc>
            </w:tr>
            <w:tr>
              <w:tc>
                <w:tcPr/>
                <w:p>
                  <w:pPr>
                    <w:pStyle w:val="Compact"/>
                    <w:jc w:val="left"/>
                    <w:jc w:val="center"/>
                  </w:pPr>
                  <w:r>
                    <w:rPr>
                      <w:rStyle w:val="VerbatimChar"/>
                    </w:rPr>
                    <w:t xml:space="preserve">extrisk_mammal</w:t>
                  </w:r>
                </w:p>
              </w:tc>
              <w:tc>
                <w:tcPr/>
                <w:p>
                  <w:pPr>
                    <w:pStyle w:val="Compact"/>
                    <w:jc w:val="left"/>
                    <w:jc w:val="center"/>
                  </w:pPr>
                  <w:r>
                    <w:t xml:space="preserve">Extinction risk for mammal</w:t>
                  </w:r>
                </w:p>
              </w:tc>
            </w:tr>
            <w:tr>
              <w:tc>
                <w:tcPr/>
                <w:p>
                  <w:pPr>
                    <w:pStyle w:val="Compact"/>
                    <w:jc w:val="left"/>
                    <w:jc w:val="center"/>
                  </w:pPr>
                  <w:r>
                    <w:rPr>
                      <w:rStyle w:val="VerbatimChar"/>
                    </w:rPr>
                    <w:t xml:space="preserve">extrisk_mammal_ecoregion_rescaled</w:t>
                  </w:r>
                </w:p>
              </w:tc>
              <w:tc>
                <w:tcPr/>
                <w:p>
                  <w:pPr>
                    <w:pStyle w:val="Compact"/>
                    <w:jc w:val="left"/>
                    <w:jc w:val="center"/>
                  </w:pPr>
                  <w:r>
                    <w:t xml:space="preserve">Extinction risk for mammal, rescaled to [0,100] based on Ecoregional min/max values</w:t>
                  </w:r>
                </w:p>
              </w:tc>
            </w:tr>
            <w:tr>
              <w:tc>
                <w:tcPr/>
                <w:p>
                  <w:pPr>
                    <w:pStyle w:val="Compact"/>
                    <w:jc w:val="left"/>
                    <w:jc w:val="center"/>
                  </w:pPr>
                  <w:r>
                    <w:rPr>
                      <w:rStyle w:val="VerbatimChar"/>
                    </w:rPr>
                    <w:t xml:space="preserve">extrisk_other</w:t>
                  </w:r>
                </w:p>
              </w:tc>
              <w:tc>
                <w:tcPr/>
                <w:p>
                  <w:pPr>
                    <w:pStyle w:val="Compact"/>
                    <w:jc w:val="left"/>
                    <w:jc w:val="center"/>
                  </w:pPr>
                  <w:r>
                    <w:t xml:space="preserve">Extinction risk for other</w:t>
                  </w:r>
                </w:p>
              </w:tc>
            </w:tr>
            <w:tr>
              <w:tc>
                <w:tcPr/>
                <w:p>
                  <w:pPr>
                    <w:pStyle w:val="Compact"/>
                    <w:jc w:val="left"/>
                    <w:jc w:val="center"/>
                  </w:pPr>
                  <w:r>
                    <w:rPr>
                      <w:rStyle w:val="VerbatimChar"/>
                    </w:rPr>
                    <w:t xml:space="preserve">extrisk_other_ecoregion_rescaled</w:t>
                  </w:r>
                </w:p>
              </w:tc>
              <w:tc>
                <w:tcPr/>
                <w:p>
                  <w:pPr>
                    <w:pStyle w:val="Compact"/>
                    <w:jc w:val="left"/>
                    <w:jc w:val="center"/>
                  </w:pPr>
                  <w:r>
                    <w:t xml:space="preserve">Extinction risk for other, rescaled to [0,100] based on Ecoregional min/max values</w:t>
                  </w:r>
                </w:p>
              </w:tc>
            </w:tr>
            <w:tr>
              <w:tc>
                <w:tcPr/>
                <w:p>
                  <w:pPr>
                    <w:pStyle w:val="Compact"/>
                    <w:jc w:val="left"/>
                    <w:jc w:val="center"/>
                  </w:pPr>
                  <w:r>
                    <w:rPr>
                      <w:rStyle w:val="VerbatimChar"/>
                    </w:rPr>
                    <w:t xml:space="preserve">extrisk_turtle</w:t>
                  </w:r>
                </w:p>
              </w:tc>
              <w:tc>
                <w:tcPr/>
                <w:p>
                  <w:pPr>
                    <w:pStyle w:val="Compact"/>
                    <w:jc w:val="left"/>
                    <w:jc w:val="center"/>
                  </w:pPr>
                  <w:r>
                    <w:t xml:space="preserve">Extinction risk for turtle</w:t>
                  </w:r>
                </w:p>
              </w:tc>
            </w:tr>
            <w:tr>
              <w:tc>
                <w:tcPr/>
                <w:p>
                  <w:pPr>
                    <w:pStyle w:val="Compact"/>
                    <w:jc w:val="left"/>
                    <w:jc w:val="center"/>
                  </w:pPr>
                  <w:r>
                    <w:rPr>
                      <w:rStyle w:val="VerbatimChar"/>
                    </w:rPr>
                    <w:t xml:space="preserve">extrisk_turtle_ecoregion_rescaled</w:t>
                  </w:r>
                </w:p>
              </w:tc>
              <w:tc>
                <w:tcPr/>
                <w:p>
                  <w:pPr>
                    <w:pStyle w:val="Compact"/>
                    <w:jc w:val="left"/>
                    <w:jc w:val="center"/>
                  </w:pPr>
                  <w:r>
                    <w:t xml:space="preserve">Extinction risk for turtle, rescaled to [0,100] based on Ecoregional min/max values</w:t>
                  </w: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Oregon State Vertically Generalized Production Model (VGPM) from Visible Infrared Imaging Radiometer Suite (VIIRS) satellite data (mg C / m^2 / day) from daily averages available as monthly averaged to annual and averaged to overall for the most recently available full years of data 2014 to 2023</w:t>
                  </w:r>
                </w:p>
              </w:tc>
            </w:tr>
            <w:tr>
              <w:tc>
                <w:tcPr/>
                <w:p>
                  <w:pPr>
                    <w:pStyle w:val="Compact"/>
                    <w:jc w:val="left"/>
                    <w:jc w:val="center"/>
                  </w:pPr>
                  <w:r>
                    <w:rPr>
                      <w:rStyle w:val="VerbatimChar"/>
                    </w:rPr>
                    <w:t xml:space="preserve">primprod_ecoregion_rescaled</w:t>
                  </w:r>
                </w:p>
              </w:tc>
              <w:tc>
                <w:tcPr/>
                <w:p>
                  <w:pPr>
                    <w:pStyle w:val="Compact"/>
                    <w:jc w:val="left"/>
                    <w:jc w:val="center"/>
                  </w:pPr>
                  <w:r>
                    <w:t xml:space="preserve">Primary productivity rescaled to [0,100] based on Ecoregional min/max values</w:t>
                  </w: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Combined score of extinction risk per species category and primary productivity, equally weighted (and each previously rescaled [0,100] based on Ecoregional min/max values)</w:t>
                  </w:r>
                </w:p>
              </w:tc>
            </w:tr>
          </w:tbl>
          <w:bookmarkEnd w:id="310"/>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bird</w:t>
      </w:r>
      <w:r>
        <w:t xml:space="preserve">,</w:t>
      </w:r>
      <w:r>
        <w:t xml:space="preserve"> </w:t>
      </w:r>
      <w:r>
        <w:rPr>
          <w:rStyle w:val="VerbatimChar"/>
        </w:rPr>
        <w:t xml:space="preserve">coral</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311"/>
    <w:bookmarkStart w:id="315"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312"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312"/>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Applications/quarto/share/formats/docx/important.png" id="31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315"/>
    <w:bookmarkStart w:id="321"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316" w:name="tbl-zones"/>
          <w:p>
            <w:pPr>
              <w:jc w:val="center"/>
            </w:pPr>
            <w:pPr>
              <w:jc w:val="left"/>
              <w:spacing w:before="200"/>
              <w:pStyle w:val="ImageCaption"/>
            </w:pPr>
            <w:r>
              <w:t xml:space="preserve">Table 10.2: Spatial units v7c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Planning Area</w:t>
                  </w:r>
                </w:p>
              </w:tc>
              <w:tc>
                <w:tcPr/>
                <w:p>
                  <w:pPr>
                    <w:pStyle w:val="Compact"/>
                    <w:jc w:val="left"/>
                    <w:jc w:val="center"/>
                  </w:pPr>
                  <w:r>
                    <w:rPr>
                      <w:rStyle w:val="VerbatimChar"/>
                    </w:rPr>
                    <w:t xml:space="preserve">planarea_key</w:t>
                  </w:r>
                </w:p>
              </w:tc>
              <w:tc>
                <w:tcPr/>
                <w:p>
                  <w:pPr>
                    <w:pStyle w:val="Compact"/>
                    <w:jc w:val="right"/>
                    <w:jc w:val="center"/>
                  </w:pPr>
                  <w:r>
                    <w:t xml:space="preserve">36</w:t>
                  </w:r>
                </w:p>
              </w:tc>
              <w:tc>
                <w:tcPr/>
                <w:p>
                  <w:pPr>
                    <w:pStyle w:val="Compact"/>
                    <w:jc w:val="left"/>
                    <w:jc w:val="center"/>
                  </w:pPr>
                  <w:r>
                    <w:rPr>
                      <w:rStyle w:val="VerbatimChar"/>
                    </w:rPr>
                    <w:t xml:space="preserve">planarea_2025-06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5</w:t>
                  </w:r>
                </w:p>
              </w:tc>
              <w:tc>
                <w:tcPr/>
                <w:p>
                  <w:pPr>
                    <w:pStyle w:val="Compact"/>
                    <w:jc w:val="left"/>
                    <w:jc w:val="center"/>
                  </w:pPr>
                  <w:r>
                    <w:rPr>
                      <w:rStyle w:val="VerbatimChar"/>
                    </w:rPr>
                    <w:t xml:space="preserve">subregion_2025-06</w:t>
                  </w:r>
                </w:p>
              </w:tc>
            </w:tr>
          </w:tbl>
          <w:bookmarkEnd w:id="316"/>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320"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319" w:name="fig-map-ecoregions-scoring"/>
          <w:p>
            <w:pPr>
              <w:pStyle w:val="Compact"/>
              <w:jc w:val="center"/>
            </w:pPr>
            <w:r>
              <w:drawing>
                <wp:inline>
                  <wp:extent cx="5334000" cy="3182620"/>
                  <wp:effectExtent b="0" l="0" r="0" t="0"/>
                  <wp:docPr descr="" title="" id="317" name="Picture"/>
                  <a:graphic>
                    <a:graphicData uri="http://schemas.openxmlformats.org/drawingml/2006/picture">
                      <pic:pic>
                        <pic:nvPicPr>
                          <pic:cNvPr descr="figures/map-ecoregions-static.png" id="318" name="Picture"/>
                          <pic:cNvPicPr>
                            <a:picLocks noChangeArrowheads="1" noChangeAspect="1"/>
                          </pic:cNvPicPr>
                        </pic:nvPicPr>
                        <pic:blipFill>
                          <a:blip r:embed="rId18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319"/>
        </w:tc>
      </w:tr>
    </w:tbl>
    <w:bookmarkEnd w:id="320"/>
    <w:bookmarkEnd w:id="321"/>
    <w:bookmarkStart w:id="322"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322"/>
    <w:bookmarkStart w:id="326"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323"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323"/>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Start w:id="325" w:name="coverage-floor"/>
    <w:p>
      <w:pPr>
        <w:pStyle w:val="Heading3"/>
      </w:pPr>
      <w:r>
        <w:t xml:space="preserve">10.6.1 Coverage floor</w:t>
      </w:r>
    </w:p>
    <w:p>
      <w:pPr>
        <w:pStyle w:val="FirstParagraph"/>
      </w:pPr>
      <w:r>
        <w:rPr>
          <w:b/>
          <w:bCs/>
        </w:rPr>
        <w:t xml:space="preserve">In v7c</w:t>
      </w:r>
      <w:r>
        <w:t xml:space="preserve">, a component (a species category, or primary productivity) is</w:t>
      </w:r>
      <w:r>
        <w:t xml:space="preserve"> </w:t>
      </w:r>
      <w:r>
        <w:rPr>
          <w:i/>
          <w:iCs/>
        </w:rPr>
        <w:t xml:space="preserve">reportable</w:t>
      </w:r>
      <w:r>
        <w:t xml:space="preserve"> </w:t>
      </w:r>
      <w:r>
        <w:t xml:space="preserve">for a Program Area only where its scored cells cover a large enough share of that area:</w:t>
      </w:r>
    </w:p>
    <w:p>
      <w:pPr>
        <w:pStyle w:val="BodyText"/>
      </w:pPr>
      <w:bookmarkStart w:id="324" w:name="eq-coverage-floor"/>
      <m:oMathPara>
        <m:oMathParaPr>
          <m:jc m:val="center"/>
        </m:oMathParaPr>
        <m:oMath>
          <m:sSub>
            <m:e>
              <m:r>
                <m:rPr>
                  <m:nor/>
                  <m:sty m:val="p"/>
                </m:rPr>
                <m:t>coverage</m:t>
              </m:r>
            </m:e>
            <m:sub>
              <m:r>
                <m:t>z</m:t>
              </m:r>
              <m:r>
                <m:t>o</m:t>
              </m:r>
              <m:r>
                <m:t>n</m:t>
              </m:r>
              <m:r>
                <m:t>e</m:t>
              </m:r>
              <m:r>
                <m:rPr>
                  <m:sty m:val="p"/>
                </m:rPr>
                <m:t>,</m:t>
              </m:r>
              <m:r>
                <m:t> </m:t>
              </m:r>
              <m:r>
                <m:t>c</m:t>
              </m:r>
              <m:r>
                <m:t>o</m:t>
              </m:r>
              <m:r>
                <m:t>m</m:t>
              </m:r>
              <m:r>
                <m:t>p</m:t>
              </m:r>
              <m:r>
                <m:t>o</m:t>
              </m:r>
              <m:r>
                <m:t>n</m:t>
              </m:r>
              <m:r>
                <m:t>e</m:t>
              </m:r>
              <m:r>
                <m:t>n</m:t>
              </m:r>
              <m:r>
                <m:t>t</m:t>
              </m:r>
            </m:sub>
          </m:sSub>
          <m:r>
            <m:rPr>
              <m:sty m:val="p"/>
            </m:rPr>
            <m:t>=</m:t>
          </m:r>
          <m:f>
            <m:fPr>
              <m:type m:val="bar"/>
            </m:fPr>
            <m:num>
              <m:nary>
                <m:naryPr>
                  <m:chr m:val="∑"/>
                  <m:limLoc m:val="undOvr"/>
                  <m:subHide m:val="off"/>
                  <m:supHide m:val="on"/>
                </m:naryPr>
                <m:sub>
                  <m:r>
                    <m:t>c</m:t>
                  </m:r>
                  <m:r>
                    <m:t> </m:t>
                  </m:r>
                  <m:r>
                    <m:rPr>
                      <m:sty m:val="p"/>
                    </m:rPr>
                    <m:t>∈</m:t>
                  </m:r>
                  <m:r>
                    <m:t> </m:t>
                  </m:r>
                  <m:r>
                    <m:t>z</m:t>
                  </m:r>
                  <m:r>
                    <m:t>o</m:t>
                  </m:r>
                  <m:r>
                    <m:t>n</m:t>
                  </m:r>
                  <m:r>
                    <m:t>e</m:t>
                  </m:r>
                  <m:r>
                    <m:rPr>
                      <m:sty m:val="p"/>
                    </m:rPr>
                    <m:t>,</m:t>
                  </m:r>
                  <m:r>
                    <m:t> </m:t>
                  </m:r>
                  <m:r>
                    <m:rPr>
                      <m:nor/>
                      <m:sty m:val="p"/>
                    </m:rPr>
                    <m:t>scored</m:t>
                  </m:r>
                </m:sub>
                <m:sup>
                  <m:r>
                    <m:t>​</m:t>
                  </m:r>
                </m:sup>
                <m:e>
                  <m:sSub>
                    <m:e>
                      <m:r>
                        <m:t>w</m:t>
                      </m:r>
                    </m:e>
                    <m:sub>
                      <m:r>
                        <m:t>c</m:t>
                      </m:r>
                    </m:sub>
                  </m:sSub>
                </m:e>
              </m:nary>
            </m:num>
            <m:den>
              <m:nary>
                <m:naryPr>
                  <m:chr m:val="∑"/>
                  <m:limLoc m:val="undOvr"/>
                  <m:subHide m:val="off"/>
                  <m:supHide m:val="on"/>
                </m:naryPr>
                <m:sub>
                  <m:r>
                    <m:t>c</m:t>
                  </m:r>
                  <m:r>
                    <m:t> </m:t>
                  </m:r>
                  <m:r>
                    <m:rPr>
                      <m:sty m:val="p"/>
                    </m:rPr>
                    <m:t>∈</m:t>
                  </m:r>
                  <m:r>
                    <m:t> </m:t>
                  </m:r>
                  <m:r>
                    <m:t>z</m:t>
                  </m:r>
                  <m:r>
                    <m:t>o</m:t>
                  </m:r>
                  <m:r>
                    <m:t>n</m:t>
                  </m:r>
                  <m:r>
                    <m:t>e</m:t>
                  </m:r>
                </m:sub>
                <m:sup>
                  <m:r>
                    <m:t>​</m:t>
                  </m:r>
                </m:sup>
                <m:e>
                  <m:sSub>
                    <m:e>
                      <m:r>
                        <m:t>w</m:t>
                      </m:r>
                    </m:e>
                    <m:sub>
                      <m:r>
                        <m:t>c</m:t>
                      </m:r>
                    </m:sub>
                  </m:sSub>
                </m:e>
              </m:nary>
            </m:den>
          </m:f>
          <m:r>
            <m:t> </m:t>
          </m:r>
          <m:r>
            <m:rPr>
              <m:sty m:val="p"/>
            </m:rPr>
            <m:t>,</m:t>
          </m:r>
          <m:r>
            <m:t>  </m:t>
          </m:r>
          <m:r>
            <m:rPr>
              <m:nor/>
              <m:sty m:val="p"/>
            </m:rPr>
            <m:t>reportable</m:t>
          </m:r>
          <m:r>
            <m:rPr>
              <m:sty m:val="p"/>
            </m:rPr>
            <m:t>⇔</m:t>
          </m:r>
          <m:sSub>
            <m:e>
              <m:r>
                <m:rPr>
                  <m:nor/>
                  <m:sty m:val="p"/>
                </m:rPr>
                <m:t>coverage</m:t>
              </m:r>
            </m:e>
            <m:sub>
              <m:r>
                <m:t>z</m:t>
              </m:r>
              <m:r>
                <m:t>o</m:t>
              </m:r>
              <m:r>
                <m:t>n</m:t>
              </m:r>
              <m:r>
                <m:t>e</m:t>
              </m:r>
              <m:r>
                <m:rPr>
                  <m:sty m:val="p"/>
                </m:rPr>
                <m:t>,</m:t>
              </m:r>
              <m:r>
                <m:t> </m:t>
              </m:r>
              <m:r>
                <m:t>c</m:t>
              </m:r>
              <m:r>
                <m:t>o</m:t>
              </m:r>
              <m:r>
                <m:t>m</m:t>
              </m:r>
              <m:r>
                <m:t>p</m:t>
              </m:r>
              <m:r>
                <m:t>o</m:t>
              </m:r>
              <m:r>
                <m:t>n</m:t>
              </m:r>
              <m:r>
                <m:t>e</m:t>
              </m:r>
              <m:r>
                <m:t>n</m:t>
              </m:r>
              <m:r>
                <m:t>t</m:t>
              </m:r>
            </m:sub>
          </m:sSub>
          <m:r>
            <m:rPr>
              <m:sty m:val="p"/>
            </m:rPr>
            <m:t>≥</m:t>
          </m:r>
          <m:r>
            <m:t>κ</m:t>
          </m:r>
          <m:r>
            <m:t>  </m:t>
          </m:r>
          <m:r>
            <m:rPr>
              <m:sty m:val="p"/>
            </m:rPr>
            <m:t>(</m:t>
          </m:r>
          <m:r>
            <m:t>10.6</m:t>
          </m:r>
          <m:r>
            <m:rPr>
              <m:sty m:val="p"/>
            </m:rPr>
            <m:t>)</m:t>
          </m:r>
        </m:oMath>
      </m:oMathPara>
      <w:bookmarkEnd w:id="324"/>
    </w:p>
    <w:p>
      <w:pPr>
        <w:pStyle w:val="FirstParagraph"/>
      </w:pPr>
      <w:r>
        <w:t xml:space="preserve">where</w:t>
      </w:r>
      <w:r>
        <w:t xml:space="preserve"> </w:t>
      </w:r>
      <m:oMath>
        <m:sSub>
          <m:e>
            <m:r>
              <m:t>w</m:t>
            </m:r>
          </m:e>
          <m:sub>
            <m:r>
              <m:t>c</m:t>
            </m:r>
          </m:sub>
        </m:sSub>
      </m:oMath>
      <w:r>
        <w:t xml:space="preserve"> </w:t>
      </w:r>
      <w:r>
        <w:t xml:space="preserve">is the share of cell</w:t>
      </w:r>
      <w:r>
        <w:t xml:space="preserve"> </w:t>
      </w:r>
      <m:oMath>
        <m:r>
          <m:t>c</m:t>
        </m:r>
      </m:oMath>
      <w:r>
        <w:t xml:space="preserve"> </w:t>
      </w:r>
      <w:r>
        <w:t xml:space="preserve">lying inside the Program Area, and</w:t>
      </w:r>
      <w:r>
        <w:t xml:space="preserve"> </w:t>
      </w:r>
      <m:oMath>
        <m:r>
          <m:t>κ</m:t>
        </m:r>
      </m:oMath>
      <w:r>
        <w:t xml:space="preserve"> </w:t>
      </w:r>
      <w:r>
        <w:t xml:space="preserve">= 5%. Below</w:t>
      </w:r>
      <w:r>
        <w:t xml:space="preserve"> </w:t>
      </w:r>
      <w:r>
        <w:t xml:space="preserve">the floor the component is</w:t>
      </w:r>
      <w:r>
        <w:t xml:space="preserve"> </w:t>
      </w:r>
      <w:r>
        <w:rPr>
          <w:b/>
          <w:bCs/>
        </w:rPr>
        <w:t xml:space="preserve">not reportable</w:t>
      </w:r>
      <w:r>
        <w:t xml:space="preserve">: it renders as no data, is excluded from the composite</w:t>
      </w:r>
      <w:r>
        <w:t xml:space="preserve"> </w:t>
      </w:r>
      <w:r>
        <w:t xml:space="preserve">exactly as a component with no scored cells already is, and is never published as a zero (a zero</w:t>
      </w:r>
      <w:r>
        <w:t xml:space="preserve"> </w:t>
      </w:r>
      <w:r>
        <w:t xml:space="preserve">would pull the composite down for a reason unrelated to sensitivity). The rule is geometric — defined</w:t>
      </w:r>
      <w:r>
        <w:t xml:space="preserve"> </w:t>
      </w:r>
      <w:r>
        <w:t xml:space="preserve">on which cells carry a value, not on the value itself. The composite itself is not subject to the</w:t>
      </w:r>
      <w:r>
        <w:t xml:space="preserve"> </w:t>
      </w:r>
      <w:r>
        <w:t xml:space="preserve">floor; it averages whichever components are reportable. On v7’s data the floor removes exactly one</w:t>
      </w:r>
      <w:r>
        <w:t xml:space="preserve"> </w:t>
      </w:r>
      <w:r>
        <w:t xml:space="preserve">of 151 Program Area × component pairs (sea turtles in St. George Basin, at 1.5 % coverage); in v7c the turtle record rule removes all but a sliver of the turtle cells of St. George</w:t>
      </w:r>
      <w:r>
        <w:t xml:space="preserve"> </w:t>
      </w:r>
      <w:r>
        <w:t xml:space="preserve">Basin and the Aleutian Arc (cells that belong by majority to the Gulf of Alaska ecoregion), and the</w:t>
      </w:r>
      <w:r>
        <w:t xml:space="preserve"> </w:t>
      </w:r>
      <w:r>
        <w:t xml:space="preserve">floor then removes both remaining pairs, at a small fraction of one percent coverage, so the two rules</w:t>
      </w:r>
      <w:r>
        <w:t xml:space="preserve"> </w:t>
      </w:r>
      <w:r>
        <w:t xml:space="preserve">together leave neither area with a turtle component (</w:t>
      </w:r>
      <w:hyperlink w:anchor="sec-release-v7c">
        <w:r>
          <w:rPr>
            <w:rStyle w:val="Hyperlink"/>
          </w:rPr>
          <w:t xml:space="preserve">Chapter 4</w:t>
        </w:r>
      </w:hyperlink>
      <w:r>
        <w:t xml:space="preserve">).</w:t>
      </w:r>
      <w:r>
        <w:t xml:space="preserve"> </w:t>
      </w:r>
      <w:r>
        <w:t xml:space="preserve">The next-lowest pair is High Arctic</w:t>
      </w:r>
      <w:r>
        <w:t xml:space="preserve"> </w:t>
      </w:r>
      <w:r>
        <w:t xml:space="preserve">corals at 7.3 %, so any floor between 2 % and 7 % gives the same answer.</w:t>
      </w:r>
    </w:p>
    <w:bookmarkEnd w:id="325"/>
    <w:bookmarkEnd w:id="326"/>
    <w:bookmarkStart w:id="343" w:name="visualization"/>
    <w:p>
      <w:pPr>
        <w:pStyle w:val="Heading2"/>
      </w:pPr>
      <w:r>
        <w:t xml:space="preserve">10.7 Visualization</w:t>
      </w:r>
    </w:p>
    <w:bookmarkStart w:id="331"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30"/>
        </w:numPr>
      </w:pPr>
      <w:r>
        <w:rPr>
          <w:b/>
          <w:bCs/>
        </w:rPr>
        <w:t xml:space="preserve">petal length</w:t>
      </w:r>
      <w:r>
        <w:t xml:space="preserve"> </w:t>
      </w:r>
      <w:r>
        <w:t xml:space="preserve">— the rescaled score (0–100) for that category; longer means more sensitive</w:t>
      </w:r>
    </w:p>
    <w:p>
      <w:pPr>
        <w:pStyle w:val="Compact"/>
        <w:numPr>
          <w:ilvl w:val="0"/>
          <w:numId w:val="1030"/>
        </w:numPr>
      </w:pPr>
      <w:r>
        <w:rPr>
          <w:b/>
          <w:bCs/>
        </w:rPr>
        <w:t xml:space="preserve">petal width</w:t>
      </w:r>
      <w:r>
        <w:t xml:space="preserve"> </w:t>
      </w:r>
      <w:r>
        <w:t xml:space="preserve">— that category’s weight in the composite; wider means more influence</w:t>
      </w:r>
    </w:p>
    <w:p>
      <w:pPr>
        <w:pStyle w:val="Compact"/>
        <w:numPr>
          <w:ilvl w:val="0"/>
          <w:numId w:val="1030"/>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330" w:name="fig-flower-programareas"/>
          <w:p>
            <w:pPr>
              <w:pStyle w:val="Compact"/>
              <w:jc w:val="center"/>
            </w:pPr>
            <w:r>
              <w:drawing>
                <wp:inline>
                  <wp:extent cx="5334000" cy="3556000"/>
                  <wp:effectExtent b="0" l="0" r="0" t="0"/>
                  <wp:docPr descr="" title="" id="328" name="Picture"/>
                  <a:graphic>
                    <a:graphicData uri="http://schemas.openxmlformats.org/drawingml/2006/picture">
                      <pic:pic>
                        <pic:nvPicPr>
                          <pic:cNvPr descr="figures/flower-plot_programareas.png" id="329" name="Picture"/>
                          <pic:cNvPicPr>
                            <a:picLocks noChangeArrowheads="1" noChangeAspect="1"/>
                          </pic:cNvPicPr>
                        </pic:nvPicPr>
                        <pic:blipFill>
                          <a:blip r:embed="rId32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330"/>
        </w:tc>
      </w:tr>
    </w:tbl>
    <w:p>
      <w:pPr>
        <w:pStyle w:val="BodyText"/>
      </w:pPr>
      <w:r>
        <w:t xml:space="preserve">It lets a reader see at a glance which ecological elements drive sensitivity in an area. The scores app implements an interactive version.</w:t>
      </w:r>
    </w:p>
    <w:bookmarkEnd w:id="331"/>
    <w:bookmarkStart w:id="340"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335" w:name="fig-treemap"/>
          <w:p>
            <w:pPr>
              <w:pStyle w:val="Compact"/>
              <w:jc w:val="center"/>
            </w:pPr>
            <w:r>
              <w:drawing>
                <wp:inline>
                  <wp:extent cx="5118100" cy="4572000"/>
                  <wp:effectExtent b="0" l="0" r="0" t="0"/>
                  <wp:docPr descr="" title="" id="333" name="Picture"/>
                  <a:graphic>
                    <a:graphicData uri="http://schemas.openxmlformats.org/drawingml/2006/picture">
                      <pic:pic>
                        <pic:nvPicPr>
                          <pic:cNvPr descr="figures/treeamap_extrisk-taxa.png" id="334" name="Picture"/>
                          <pic:cNvPicPr>
                            <a:picLocks noChangeArrowheads="1" noChangeAspect="1"/>
                          </pic:cNvPicPr>
                        </pic:nvPicPr>
                        <pic:blipFill>
                          <a:blip r:embed="rId332"/>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33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9" w:name="fig-treemap-zoom"/>
          <w:p>
            <w:pPr>
              <w:pStyle w:val="Compact"/>
              <w:jc w:val="center"/>
            </w:pPr>
            <w:r>
              <w:drawing>
                <wp:inline>
                  <wp:extent cx="5334000" cy="3673186"/>
                  <wp:effectExtent b="0" l="0" r="0" t="0"/>
                  <wp:docPr descr="" title="" id="337" name="Picture"/>
                  <a:graphic>
                    <a:graphicData uri="http://schemas.openxmlformats.org/drawingml/2006/picture">
                      <pic:pic>
                        <pic:nvPicPr>
                          <pic:cNvPr descr="figures/treeamap_extrisk-taxa_zoom.png" id="338" name="Picture"/>
                          <pic:cNvPicPr>
                            <a:picLocks noChangeArrowheads="1" noChangeAspect="1"/>
                          </pic:cNvPicPr>
                        </pic:nvPicPr>
                        <pic:blipFill>
                          <a:blip r:embed="rId336"/>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339"/>
        </w:tc>
      </w:tr>
    </w:tbl>
    <w:bookmarkEnd w:id="340"/>
    <w:bookmarkStart w:id="341"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341"/>
    <w:bookmarkStart w:id="342" w:name="interactive-maps"/>
    <w:p>
      <w:pPr>
        <w:pStyle w:val="Heading3"/>
      </w:pPr>
      <w:r>
        <w:t xml:space="preserve">10.7.4 Interactive maps</w:t>
      </w:r>
    </w:p>
    <w:p>
      <w:pPr>
        <w:pStyle w:val="FirstParagraph"/>
      </w:pPr>
      <w:r>
        <w:t xml:space="preserve">The</w:t>
      </w:r>
      <w:r>
        <w:t xml:space="preserve"> </w:t>
      </w:r>
      <w:hyperlink r:id="rId24">
        <w:r>
          <w:rPr>
            <w:rStyle w:val="Hyperlink"/>
          </w:rPr>
          <w:t xml:space="preserve">Atlas</w:t>
        </w:r>
      </w:hyperlink>
      <w:r>
        <w:t xml:space="preserve"> </w:t>
      </w:r>
      <w:r>
        <w:t xml:space="preserve">presents the results, rendering</w:t>
      </w:r>
      <w:r>
        <w:t xml:space="preserve"> </w:t>
      </w:r>
      <w:r>
        <w:rPr>
          <w:b/>
          <w:bCs/>
        </w:rPr>
        <w:t xml:space="preserve">any published release</w:t>
      </w:r>
      <w:r>
        <w:t xml:space="preserve"> </w:t>
      </w:r>
      <w:r>
        <w:t xml:space="preserve">rather than being frozen to one. It has two lenses:</w:t>
      </w:r>
    </w:p>
    <w:p>
      <w:pPr>
        <w:pStyle w:val="Compact"/>
        <w:numPr>
          <w:ilvl w:val="0"/>
          <w:numId w:val="1031"/>
        </w:numPr>
      </w:pPr>
      <w:hyperlink r:id="rId21">
        <w:r>
          <w:rPr>
            <w:rStyle w:val="Hyperlink"/>
            <w:b/>
            <w:bCs/>
          </w:rPr>
          <w:t xml:space="preserve">Scores</w:t>
        </w:r>
      </w:hyperlink>
      <w:r>
        <w:t xml:space="preserve"> </w:t>
      </w:r>
      <w:r>
        <w:t xml:space="preserve">— composite and per-category sensitivity by zone, with flower plots and component tables (see</w:t>
      </w:r>
      <w:r>
        <w:t xml:space="preserve"> </w:t>
      </w:r>
      <w:hyperlink w:anchor="sec-app-atlas">
        <w:r>
          <w:rPr>
            <w:rStyle w:val="Hyperlink"/>
          </w:rPr>
          <w:t xml:space="preserve">Chapter 21</w:t>
        </w:r>
      </w:hyperlink>
      <w:r>
        <w:t xml:space="preserve">)</w:t>
      </w:r>
    </w:p>
    <w:p>
      <w:pPr>
        <w:pStyle w:val="Compact"/>
        <w:numPr>
          <w:ilvl w:val="0"/>
          <w:numId w:val="1031"/>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atlas">
        <w:r>
          <w:rPr>
            <w:rStyle w:val="Hyperlink"/>
          </w:rPr>
          <w:t xml:space="preserve">Chapter 21</w:t>
        </w:r>
      </w:hyperlink>
      <w:r>
        <w:t xml:space="preserve">)</w:t>
      </w:r>
    </w:p>
    <w:p>
      <w:pPr>
        <w:pStyle w:val="FirstParagraph"/>
      </w:pPr>
      <w:r>
        <w:t xml:space="preserve">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release (a restricted pre-release is reached only on the review host, at</w:t>
      </w:r>
      <w:r>
        <w:t xml:space="preserve"> </w:t>
      </w:r>
      <w:r>
        <w:rPr>
          <w:rStyle w:val="VerbatimChar"/>
        </w:rPr>
        <w:t xml:space="preserve">/{version}/atlas/</w:t>
      </w:r>
      <w:r>
        <w:t xml:space="preserve">). The separate Scores and Species Shiny apps that earlier editions of this book described are retired, and their links redirect to the Atlas. See</w:t>
      </w:r>
      <w:r>
        <w:t xml:space="preserve"> </w:t>
      </w:r>
      <w:hyperlink w:anchor="sec-apps">
        <w:r>
          <w:rPr>
            <w:rStyle w:val="Hyperlink"/>
          </w:rPr>
          <w:t xml:space="preserve">Chapter 19</w:t>
        </w:r>
      </w:hyperlink>
      <w:r>
        <w:t xml:space="preserve">.</w:t>
      </w:r>
    </w:p>
    <w:bookmarkEnd w:id="342"/>
    <w:bookmarkEnd w:id="343"/>
    <w:bookmarkStart w:id="344"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344"/>
    <w:bookmarkEnd w:id="345"/>
    <w:bookmarkStart w:id="348"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346">
        <w:r>
          <w:rPr>
            <w:rStyle w:val="Hyperlink"/>
          </w:rPr>
          <w:t xml:space="preserve">workflows index</w:t>
        </w:r>
      </w:hyperlink>
      <w:r>
        <w:t xml:space="preserve">, which lists every notebook in the pipeline with its current dependency graph.</w:t>
      </w:r>
    </w:p>
    <w:p>
      <w:pPr>
        <w:pStyle w:val="BodyText"/>
      </w:pPr>
      <w:r>
        <w:t xml:space="preserve"> </w:t>
      </w:r>
    </w:p>
    <w:bookmarkStart w:id="347" w:name="mst-walkthrough-root"/>
    <w:bookmarkEnd w:id="347"/>
    <w:bookmarkEnd w:id="348"/>
    <w:bookmarkStart w:id="355"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353"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2" w:name="fig-cum-effects"/>
          <w:p>
            <w:pPr>
              <w:pStyle w:val="Compact"/>
              <w:jc w:val="center"/>
            </w:pPr>
            <w:r>
              <w:drawing>
                <wp:inline>
                  <wp:extent cx="5334000" cy="3953635"/>
                  <wp:effectExtent b="0" l="0" r="0" t="0"/>
                  <wp:docPr descr="" title="" id="350" name="Picture"/>
                  <a:graphic>
                    <a:graphicData uri="http://schemas.openxmlformats.org/drawingml/2006/picture">
                      <pic:pic>
                        <pic:nvPicPr>
                          <pic:cNvPr descr="figures/goodale2016_cumulative-effects.png" id="351" name="Picture"/>
                          <pic:cNvPicPr>
                            <a:picLocks noChangeArrowheads="1" noChangeAspect="1"/>
                          </pic:cNvPicPr>
                        </pic:nvPicPr>
                        <pic:blipFill>
                          <a:blip r:embed="rId349"/>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352"/>
        </w:tc>
      </w:tr>
    </w:tbl>
    <w:bookmarkEnd w:id="353"/>
    <w:bookmarkStart w:id="354" w:name="oil-gas"/>
    <w:p>
      <w:pPr>
        <w:pStyle w:val="Heading2"/>
      </w:pPr>
      <w:r>
        <w:t xml:space="preserve">12.2 Oil &amp; Gas</w:t>
      </w:r>
    </w:p>
    <w:bookmarkEnd w:id="354"/>
    <w:bookmarkEnd w:id="355"/>
    <w:bookmarkStart w:id="413" w:name="sec-software"/>
    <w:p>
      <w:pPr>
        <w:pStyle w:val="Heading1"/>
      </w:pPr>
      <w:r>
        <w:t xml:space="preserve">13. Software</w:t>
      </w:r>
    </w:p>
    <w:bookmarkStart w:id="412"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32"/>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32"/>
        </w:numPr>
      </w:pPr>
      <w:r>
        <w:rPr>
          <w:b/>
          <w:bCs/>
        </w:rPr>
        <w:t xml:space="preserve">database</w:t>
      </w:r>
      <w:r>
        <w:t xml:space="preserve"> </w:t>
      </w:r>
      <w:r>
        <w:t xml:space="preserve">— a columnar, embedded analytic database (</w:t>
      </w:r>
      <w:hyperlink r:id="rId356">
        <w:r>
          <w:rPr>
            <w:rStyle w:val="Hyperlink"/>
            <w:b/>
            <w:bCs/>
          </w:rPr>
          <w:t xml:space="preserve">DuckDB</w:t>
        </w:r>
      </w:hyperlink>
      <w:r>
        <w:t xml:space="preserve">) as the single source of truth for species distributions, per-cell scores and derived per-zone metrics;</w:t>
      </w:r>
    </w:p>
    <w:p>
      <w:pPr>
        <w:pStyle w:val="Compact"/>
        <w:numPr>
          <w:ilvl w:val="0"/>
          <w:numId w:val="1032"/>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32"/>
        </w:numPr>
      </w:pPr>
      <w:r>
        <w:rPr>
          <w:b/>
          <w:bCs/>
        </w:rPr>
        <w:t xml:space="preserve">APIs</w:t>
      </w:r>
      <w:r>
        <w:t xml:space="preserve"> </w:t>
      </w:r>
      <w:r>
        <w:t xml:space="preserve">— a custom R</w:t>
      </w:r>
      <w:r>
        <w:t xml:space="preserve"> </w:t>
      </w:r>
      <w:hyperlink r:id="rId357">
        <w:r>
          <w:rPr>
            <w:rStyle w:val="VerbatimChar"/>
          </w:rPr>
          <w:t xml:space="preserve">plumber</w:t>
        </w:r>
      </w:hyperlink>
      <w:r>
        <w:t xml:space="preserve"> </w:t>
      </w:r>
      <w:r>
        <w:t xml:space="preserve">API for data requests,</w:t>
      </w:r>
      <w:r>
        <w:t xml:space="preserve"> </w:t>
      </w:r>
      <w:hyperlink r:id="rId358">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32"/>
        </w:numPr>
      </w:pPr>
      <w:r>
        <w:rPr>
          <w:b/>
          <w:bCs/>
        </w:rPr>
        <w:t xml:space="preserve">libraries</w:t>
      </w:r>
      <w:r>
        <w:t xml:space="preserve"> </w:t>
      </w:r>
      <w:r>
        <w:t xml:space="preserve">— re-usable documented functions as the</w:t>
      </w:r>
      <w:r>
        <w:t xml:space="preserve"> </w:t>
      </w:r>
      <w:hyperlink r:id="rId359">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32"/>
        </w:numPr>
      </w:pPr>
      <w:r>
        <w:rPr>
          <w:b/>
          <w:bCs/>
        </w:rPr>
        <w:t xml:space="preserve">applications</w:t>
      </w:r>
      <w:r>
        <w:t xml:space="preserve"> </w:t>
      </w:r>
      <w:r>
        <w:t xml:space="preserve">— the static, in-browser</w:t>
      </w:r>
      <w:r>
        <w:t xml:space="preserve"> </w:t>
      </w:r>
      <w:r>
        <w:rPr>
          <w:b/>
          <w:bCs/>
        </w:rPr>
        <w:t xml:space="preserve">Atlas</w:t>
      </w:r>
      <w:r>
        <w:t xml:space="preserve">, which combines COG raster layers with static</w:t>
      </w:r>
      <w:r>
        <w:t xml:space="preserve"> </w:t>
      </w:r>
      <w:hyperlink r:id="rId360">
        <w:r>
          <w:rPr>
            <w:rStyle w:val="Hyperlink"/>
          </w:rPr>
          <w:t xml:space="preserve">PMTiles</w:t>
        </w:r>
      </w:hyperlink>
      <w:r>
        <w:t xml:space="preserve"> </w:t>
      </w:r>
      <w:r>
        <w:t xml:space="preserve">vector layers and per-zone choropleth fills computed in the browser, rendering</w:t>
      </w:r>
      <w:r>
        <w:t xml:space="preserve"> </w:t>
      </w:r>
      <w:r>
        <w:rPr>
          <w:b/>
          <w:bCs/>
        </w:rPr>
        <w:t xml:space="preserve">any published release</w:t>
      </w:r>
      <w:r>
        <w:t xml:space="preserve"> </w:t>
      </w:r>
      <w:r>
        <w:t xml:space="preserve">(it replaced the earlier</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Shiny apps);</w:t>
      </w:r>
    </w:p>
    <w:p>
      <w:pPr>
        <w:pStyle w:val="Compact"/>
        <w:numPr>
          <w:ilvl w:val="0"/>
          <w:numId w:val="1032"/>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364" w:name="fig-architecture"/>
          <w:p>
            <w:pPr>
              <w:jc w:val="center"/>
            </w:pPr>
            <w:r>
              <w:drawing>
                <wp:inline>
                  <wp:extent cx="5334000" cy="2087880"/>
                  <wp:effectExtent b="0" l="0" r="0" t="0"/>
                  <wp:docPr descr="" title="" id="362" name="Picture"/>
                  <a:graphic>
                    <a:graphicData uri="http://schemas.openxmlformats.org/drawingml/2006/picture">
                      <pic:pic>
                        <pic:nvPicPr>
                          <pic:cNvPr descr="software_files/figure-docx/mermaid-figure-6.png" id="363" name="Picture"/>
                          <pic:cNvPicPr>
                            <a:picLocks noChangeArrowheads="1" noChangeAspect="1"/>
                          </pic:cNvPicPr>
                        </pic:nvPicPr>
                        <pic:blipFill>
                          <a:blip r:embed="rId361"/>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364"/>
        </w:tc>
      </w:tr>
    </w:tbl>
    <w:bookmarkStart w:id="366" w:name="interactive-applications"/>
    <w:p>
      <w:pPr>
        <w:pStyle w:val="Heading3"/>
      </w:pPr>
      <w:r>
        <w:t xml:space="preserve">13.1.1 Interactive Applications</w:t>
      </w:r>
    </w:p>
    <w:p>
      <w:pPr>
        <w:pStyle w:val="FirstParagraph"/>
      </w:pPr>
      <w:r>
        <w:t xml:space="preserve">The project’s interactive application, the Atlas (</w:t>
      </w:r>
      <w:hyperlink w:anchor="sec-apps">
        <w:r>
          <w:rPr>
            <w:rStyle w:val="Hyperlink"/>
          </w:rPr>
          <w:t xml:space="preserve">Chapter 19</w:t>
        </w:r>
      </w:hyperlink>
      <w:r>
        <w:t xml:space="preserve">), lets users visualize the data, explore the results, and interact with the data in a more intuitive way. It is a static web app that computes scores, tables and reports in the browser. Earlier editions of the MST were instead served by two applications built with the</w:t>
      </w:r>
      <w:r>
        <w:t xml:space="preserve"> </w:t>
      </w:r>
      <w:hyperlink r:id="rId365">
        <w:r>
          <w:rPr>
            <w:rStyle w:val="VerbatimChar"/>
          </w:rPr>
          <w:t xml:space="preserve">shiny</w:t>
        </w:r>
      </w:hyperlink>
      <w:r>
        <w:t xml:space="preserve"> </w:t>
      </w:r>
      <w:r>
        <w:t xml:space="preserve">package in R</w:t>
      </w:r>
      <w:r>
        <w:t xml:space="preserve"> </w:t>
      </w:r>
      <w:r>
        <w:t xml:space="preserve">(Chang et al. 2024)</w:t>
      </w:r>
      <w:r>
        <w:t xml:space="preserve">, now retired; the diagrams in this chapter were drawn for that design, so where they show a Shiny server, the Atlas does that work in the browser, with the same COG, PMTiles and Parquet data underneath.</w:t>
      </w:r>
    </w:p>
    <w:bookmarkEnd w:id="366"/>
    <w:bookmarkStart w:id="391"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67">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68">
        <w:r>
          <w:rPr>
            <w:rStyle w:val="Hyperlink"/>
          </w:rPr>
          <w:t xml:space="preserve">Cloud-Optimized Geospatial Formats Guide</w:t>
        </w:r>
      </w:hyperlink>
      <w:r>
        <w:t xml:space="preserve">) that transfers only the pixels / features visible in the current viewport:</w:t>
      </w:r>
    </w:p>
    <w:p>
      <w:pPr>
        <w:pStyle w:val="Compact"/>
        <w:numPr>
          <w:ilvl w:val="0"/>
          <w:numId w:val="1033"/>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33"/>
        </w:numPr>
      </w:pPr>
      <w:r>
        <w:rPr>
          <w:b/>
          <w:bCs/>
        </w:rPr>
        <w:t xml:space="preserve">Vector polygons</w:t>
      </w:r>
      <w:r>
        <w:t xml:space="preserve"> </w:t>
      </w:r>
      <w:r>
        <w:t xml:space="preserve">(Program Areas, Ecoregions, Planning Areas, …) are served as static</w:t>
      </w:r>
      <w:r>
        <w:t xml:space="preserve"> </w:t>
      </w:r>
      <w:hyperlink r:id="rId360">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33"/>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73"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34"/>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34"/>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72" w:name="fig-raster"/>
          <w:p>
            <w:pPr>
              <w:jc w:val="center"/>
            </w:pPr>
            <w:r>
              <w:drawing>
                <wp:inline>
                  <wp:extent cx="5334000" cy="2895599"/>
                  <wp:effectExtent b="0" l="0" r="0" t="0"/>
                  <wp:docPr descr="" title="" id="370" name="Picture"/>
                  <a:graphic>
                    <a:graphicData uri="http://schemas.openxmlformats.org/drawingml/2006/picture">
                      <pic:pic>
                        <pic:nvPicPr>
                          <pic:cNvPr descr="software_files/figure-docx/mermaid-figure-10.png" id="371" name="Picture"/>
                          <pic:cNvPicPr>
                            <a:picLocks noChangeArrowheads="1" noChangeAspect="1"/>
                          </pic:cNvPicPr>
                        </pic:nvPicPr>
                        <pic:blipFill>
                          <a:blip r:embed="rId369"/>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72"/>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73"/>
    <w:bookmarkStart w:id="380"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360">
        <w:r>
          <w:rPr>
            <w:rStyle w:val="Hyperlink"/>
          </w:rPr>
          <w:t xml:space="preserve">PMTiles</w:t>
        </w:r>
      </w:hyperlink>
      <w:r>
        <w:t xml:space="preserve"> </w:t>
      </w:r>
      <w:r>
        <w:t xml:space="preserve">archives offline via</w:t>
      </w:r>
      <w:r>
        <w:t xml:space="preserve"> </w:t>
      </w:r>
      <w:hyperlink r:id="rId374">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8" w:name="fig-pmtiles"/>
          <w:p>
            <w:pPr>
              <w:jc w:val="center"/>
            </w:pPr>
            <w:r>
              <w:drawing>
                <wp:inline>
                  <wp:extent cx="5334000" cy="1866900"/>
                  <wp:effectExtent b="0" l="0" r="0" t="0"/>
                  <wp:docPr descr="" title="" id="376" name="Picture"/>
                  <a:graphic>
                    <a:graphicData uri="http://schemas.openxmlformats.org/drawingml/2006/picture">
                      <pic:pic>
                        <pic:nvPicPr>
                          <pic:cNvPr descr="software_files/figure-docx/mermaid-figure-9.png" id="377" name="Picture"/>
                          <pic:cNvPicPr>
                            <a:picLocks noChangeArrowheads="1" noChangeAspect="1"/>
                          </pic:cNvPicPr>
                        </pic:nvPicPr>
                        <pic:blipFill>
                          <a:blip r:embed="rId375"/>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78"/>
        </w:tc>
      </w:tr>
    </w:tbl>
    <w:p>
      <w:pPr>
        <w:pStyle w:val="BodyText"/>
      </w:pPr>
      <w:r>
        <w:t xml:space="preserve">This is a deliberate simplification from the prior architecture which used PostgreSQL + PostGIS +</w:t>
      </w:r>
      <w:r>
        <w:t xml:space="preserve"> </w:t>
      </w:r>
      <w:hyperlink r:id="rId379">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80"/>
    <w:bookmarkStart w:id="385"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(This describes the retired Shiny design; the Atlas applies the same idea in the browser, coloring the static PMTiles geometry from per-zone scores it reads for the release.) The Shiny server handled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mapped</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4" w:name="fig-choropleth"/>
          <w:p>
            <w:pPr>
              <w:jc w:val="center"/>
            </w:pPr>
            <w:r>
              <w:drawing>
                <wp:inline>
                  <wp:extent cx="5334000" cy="2339340"/>
                  <wp:effectExtent b="0" l="0" r="0" t="0"/>
                  <wp:docPr descr="" title="" id="382" name="Picture"/>
                  <a:graphic>
                    <a:graphicData uri="http://schemas.openxmlformats.org/drawingml/2006/picture">
                      <pic:pic>
                        <pic:nvPicPr>
                          <pic:cNvPr descr="software_files/figure-docx/mermaid-figure-8.png" id="383" name="Picture"/>
                          <pic:cNvPicPr>
                            <a:picLocks noChangeArrowheads="1" noChangeAspect="1"/>
                          </pic:cNvPicPr>
                        </pic:nvPicPr>
                        <pic:blipFill>
                          <a:blip r:embed="rId381"/>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84"/>
        </w:tc>
      </w:tr>
    </w:tbl>
    <w:bookmarkEnd w:id="385"/>
    <w:bookmarkStart w:id="390"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9" w:name="fig-data-pipeline"/>
          <w:p>
            <w:pPr>
              <w:jc w:val="center"/>
            </w:pPr>
            <w:r>
              <w:drawing>
                <wp:inline>
                  <wp:extent cx="5334000" cy="3055619"/>
                  <wp:effectExtent b="0" l="0" r="0" t="0"/>
                  <wp:docPr descr="" title="" id="387" name="Picture"/>
                  <a:graphic>
                    <a:graphicData uri="http://schemas.openxmlformats.org/drawingml/2006/picture">
                      <pic:pic>
                        <pic:nvPicPr>
                          <pic:cNvPr descr="software_files/figure-docx/mermaid-figure-7.png" id="388" name="Picture"/>
                          <pic:cNvPicPr>
                            <a:picLocks noChangeArrowheads="1" noChangeAspect="1"/>
                          </pic:cNvPicPr>
                        </pic:nvPicPr>
                        <pic:blipFill>
                          <a:blip r:embed="rId386"/>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89"/>
        </w:tc>
      </w:tr>
    </w:tbl>
    <w:bookmarkEnd w:id="390"/>
    <w:bookmarkEnd w:id="391"/>
    <w:bookmarkStart w:id="406" w:name="github-repositories"/>
    <w:p>
      <w:pPr>
        <w:pStyle w:val="Heading3"/>
      </w:pPr>
      <w:r>
        <w:t xml:space="preserve">13.1.3 Github Repositories</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jc w:val="left"/>
            </w:pPr>
            <w:r>
              <w:t xml:space="preserve">repo</w:t>
            </w:r>
          </w:p>
        </w:tc>
        <w:tc>
          <w:tcPr/>
          <w:p>
            <w:pPr>
              <w:pStyle w:val="Compact"/>
              <w:jc w:val="left"/>
            </w:pPr>
            <w:r>
              <w:t xml:space="preserve">description</w:t>
            </w:r>
          </w:p>
        </w:tc>
      </w:tr>
      <w:tr>
        <w:tc>
          <w:tcPr/>
          <w:p>
            <w:pPr>
              <w:pStyle w:val="Compact"/>
              <w:jc w:val="left"/>
            </w:pPr>
            <w:hyperlink r:id="rId392">
              <w:r>
                <w:rPr>
                  <w:rStyle w:val="Hyperlink"/>
                </w:rPr>
                <w:t xml:space="preserve">.github</w:t>
              </w:r>
            </w:hyperlink>
          </w:p>
        </w:tc>
        <w:tc>
          <w:tcPr/>
          <w:p>
            <w:pPr>
              <w:pStyle w:val="Compact"/>
              <w:jc w:val="left"/>
            </w:pPr>
            <w:r>
              <w:t xml:space="preserve">organization README</w:t>
            </w:r>
          </w:p>
        </w:tc>
      </w:tr>
      <w:tr>
        <w:tc>
          <w:tcPr/>
          <w:p>
            <w:pPr>
              <w:pStyle w:val="Compact"/>
              <w:jc w:val="left"/>
            </w:pPr>
            <w:hyperlink r:id="rId393">
              <w:r>
                <w:rPr>
                  <w:rStyle w:val="Hyperlink"/>
                </w:rPr>
                <w:t xml:space="preserve">analytics</w:t>
              </w:r>
            </w:hyperlink>
          </w:p>
        </w:tc>
        <w:tc>
          <w:tcPr/>
          <w:p>
            <w:pPr>
              <w:pStyle w:val="Compact"/>
              <w:jc w:val="left"/>
            </w:pPr>
            <w:r>
              <w:t xml:space="preserve">NA</w:t>
            </w:r>
          </w:p>
        </w:tc>
      </w:tr>
      <w:tr>
        <w:tc>
          <w:tcPr/>
          <w:p>
            <w:pPr>
              <w:pStyle w:val="Compact"/>
              <w:jc w:val="left"/>
            </w:pPr>
            <w:hyperlink r:id="rId394">
              <w:r>
                <w:rPr>
                  <w:rStyle w:val="Hyperlink"/>
                </w:rPr>
                <w:t xml:space="preserve">api</w:t>
              </w:r>
            </w:hyperlink>
          </w:p>
        </w:tc>
        <w:tc>
          <w:tcPr/>
          <w:p>
            <w:pPr>
              <w:pStyle w:val="Compact"/>
              <w:jc w:val="left"/>
            </w:pPr>
            <w:r>
              <w:t xml:space="preserve">application programming interface (API) using R Plumber package</w:t>
            </w:r>
          </w:p>
        </w:tc>
      </w:tr>
      <w:tr>
        <w:tc>
          <w:tcPr/>
          <w:p>
            <w:pPr>
              <w:pStyle w:val="Compact"/>
              <w:jc w:val="left"/>
            </w:pPr>
            <w:hyperlink r:id="rId395">
              <w:r>
                <w:rPr>
                  <w:rStyle w:val="Hyperlink"/>
                </w:rPr>
                <w:t xml:space="preserve">app</w:t>
              </w:r>
            </w:hyperlink>
          </w:p>
        </w:tc>
        <w:tc>
          <w:tcPr/>
          <w:p>
            <w:pPr>
              <w:pStyle w:val="Compact"/>
              <w:jc w:val="left"/>
            </w:pPr>
            <w:r>
              <w:t xml:space="preserve">app for viewing and summarizing MST composite scores and individual species distributions</w:t>
            </w:r>
          </w:p>
        </w:tc>
      </w:tr>
      <w:tr>
        <w:tc>
          <w:tcPr/>
          <w:p>
            <w:pPr>
              <w:pStyle w:val="Compact"/>
              <w:jc w:val="left"/>
            </w:pPr>
            <w:hyperlink r:id="rId396">
              <w:r>
                <w:rPr>
                  <w:rStyle w:val="Hyperlink"/>
                </w:rPr>
                <w:t xml:space="preserve">apps</w:t>
              </w:r>
            </w:hyperlink>
          </w:p>
        </w:tc>
        <w:tc>
          <w:tcPr/>
          <w:p>
            <w:pPr>
              <w:pStyle w:val="Compact"/>
              <w:jc w:val="left"/>
            </w:pPr>
            <w:r>
              <w:t xml:space="preserve">Shiny applications</w:t>
            </w:r>
          </w:p>
        </w:tc>
      </w:tr>
      <w:tr>
        <w:tc>
          <w:tcPr/>
          <w:p>
            <w:pPr>
              <w:pStyle w:val="Compact"/>
              <w:jc w:val="left"/>
            </w:pPr>
            <w:hyperlink r:id="rId397">
              <w:r>
                <w:rPr>
                  <w:rStyle w:val="Hyperlink"/>
                </w:rPr>
                <w:t xml:space="preserve">atlas</w:t>
              </w:r>
            </w:hyperlink>
          </w:p>
        </w:tc>
        <w:tc>
          <w:tcPr/>
          <w:p>
            <w:pPr>
              <w:pStyle w:val="Compact"/>
              <w:jc w:val="left"/>
            </w:pPr>
            <w:r>
              <w:t xml:space="preserve">Marine Sensitivity Atlas: one static browser app for scores, species, places and reports, reading the published marine-atlas release</w:t>
            </w:r>
          </w:p>
        </w:tc>
      </w:tr>
      <w:tr>
        <w:tc>
          <w:tcPr/>
          <w:p>
            <w:pPr>
              <w:pStyle w:val="Compact"/>
              <w:jc w:val="left"/>
            </w:pPr>
            <w:hyperlink r:id="rId398">
              <w:r>
                <w:rPr>
                  <w:rStyle w:val="Hyperlink"/>
                </w:rPr>
                <w:t xml:space="preserve">docs</w:t>
              </w:r>
            </w:hyperlink>
          </w:p>
        </w:tc>
        <w:tc>
          <w:tcPr/>
          <w:p>
            <w:pPr>
              <w:pStyle w:val="Compact"/>
              <w:jc w:val="left"/>
            </w:pPr>
            <w:r>
              <w:t xml:space="preserve">documentation for BOEM’s offshore environmental sensitivity index products</w:t>
            </w:r>
          </w:p>
        </w:tc>
      </w:tr>
      <w:tr>
        <w:tc>
          <w:tcPr/>
          <w:p>
            <w:pPr>
              <w:pStyle w:val="Compact"/>
              <w:jc w:val="left"/>
            </w:pPr>
            <w:hyperlink r:id="rId399">
              <w:r>
                <w:rPr>
                  <w:rStyle w:val="Hyperlink"/>
                </w:rPr>
                <w:t xml:space="preserve">manuscripts</w:t>
              </w:r>
            </w:hyperlink>
          </w:p>
        </w:tc>
        <w:tc>
          <w:tcPr/>
          <w:p>
            <w:pPr>
              <w:pStyle w:val="Compact"/>
              <w:jc w:val="left"/>
            </w:pPr>
            <w:r>
              <w:t xml:space="preserve">Manuscripts with review of sensitivities by industry and receptors (species, habitats, human uses)</w:t>
            </w:r>
          </w:p>
        </w:tc>
      </w:tr>
      <w:tr>
        <w:tc>
          <w:tcPr/>
          <w:p>
            <w:pPr>
              <w:pStyle w:val="Compact"/>
              <w:jc w:val="left"/>
            </w:pPr>
            <w:hyperlink r:id="rId400">
              <w:r>
                <w:rPr>
                  <w:rStyle w:val="Hyperlink"/>
                </w:rPr>
                <w:t xml:space="preserve">MarineSensitivity.github.io</w:t>
              </w:r>
            </w:hyperlink>
          </w:p>
        </w:tc>
        <w:tc>
          <w:tcPr/>
          <w:p>
            <w:pPr>
              <w:pStyle w:val="Compact"/>
              <w:jc w:val="left"/>
            </w:pPr>
            <w:r>
              <w:t xml:space="preserve">default website</w:t>
            </w:r>
          </w:p>
        </w:tc>
      </w:tr>
      <w:tr>
        <w:tc>
          <w:tcPr/>
          <w:p>
            <w:pPr>
              <w:pStyle w:val="Compact"/>
              <w:jc w:val="left"/>
            </w:pPr>
            <w:hyperlink r:id="rId401">
              <w:r>
                <w:rPr>
                  <w:rStyle w:val="Hyperlink"/>
                </w:rPr>
                <w:t xml:space="preserve">msens</w:t>
              </w:r>
            </w:hyperlink>
          </w:p>
        </w:tc>
        <w:tc>
          <w:tcPr/>
          <w:p>
            <w:pPr>
              <w:pStyle w:val="Compact"/>
              <w:jc w:val="left"/>
            </w:pPr>
            <w:r>
              <w:t xml:space="preserve">R library of functions for mapping marine sensitivities, sponsored by BOEM</w:t>
            </w:r>
          </w:p>
        </w:tc>
      </w:tr>
      <w:tr>
        <w:tc>
          <w:tcPr/>
          <w:p>
            <w:pPr>
              <w:pStyle w:val="Compact"/>
              <w:jc w:val="left"/>
            </w:pPr>
            <w:hyperlink r:id="rId402">
              <w:r>
                <w:rPr>
                  <w:rStyle w:val="Hyperlink"/>
                </w:rPr>
                <w:t xml:space="preserve">objectives</w:t>
              </w:r>
            </w:hyperlink>
          </w:p>
        </w:tc>
        <w:tc>
          <w:tcPr/>
          <w:p>
            <w:pPr>
              <w:pStyle w:val="Compact"/>
              <w:jc w:val="left"/>
            </w:pPr>
            <w:r>
              <w:t xml:space="preserve">repository for issues spanning multiple repositories and doing big picture roadmapping</w:t>
            </w:r>
          </w:p>
        </w:tc>
      </w:tr>
      <w:tr>
        <w:tc>
          <w:tcPr/>
          <w:p>
            <w:pPr>
              <w:pStyle w:val="Compact"/>
              <w:jc w:val="left"/>
            </w:pPr>
            <w:hyperlink r:id="rId403">
              <w:r>
                <w:rPr>
                  <w:rStyle w:val="Hyperlink"/>
                </w:rPr>
                <w:t xml:space="preserve">server</w:t>
              </w:r>
            </w:hyperlink>
          </w:p>
        </w:tc>
        <w:tc>
          <w:tcPr/>
          <w:p>
            <w:pPr>
              <w:pStyle w:val="Compact"/>
              <w:jc w:val="left"/>
            </w:pPr>
            <w:r>
              <w:t xml:space="preserve">server setup for R Shiny apps, RStudio IDE, Caddy web server, h3 TiTiler service and Varnish cache</w:t>
            </w:r>
          </w:p>
        </w:tc>
      </w:tr>
      <w:tr>
        <w:tc>
          <w:tcPr/>
          <w:p>
            <w:pPr>
              <w:pStyle w:val="Compact"/>
              <w:jc w:val="left"/>
            </w:pPr>
            <w:hyperlink r:id="rId404">
              <w:r>
                <w:rPr>
                  <w:rStyle w:val="Hyperlink"/>
                </w:rPr>
                <w:t xml:space="preserve">stac-sdm</w:t>
              </w:r>
            </w:hyperlink>
          </w:p>
        </w:tc>
        <w:tc>
          <w:tcPr/>
          <w:p>
            <w:pPr>
              <w:pStyle w:val="Compact"/>
              <w:jc w:val="left"/>
            </w:pPr>
            <w:r>
              <w:t xml:space="preserve">STAC extension for Species Distribution Models (SDMs)</w:t>
            </w:r>
          </w:p>
        </w:tc>
      </w:tr>
      <w:tr>
        <w:tc>
          <w:tcPr/>
          <w:p>
            <w:pPr>
              <w:pStyle w:val="Compact"/>
              <w:jc w:val="left"/>
            </w:pPr>
            <w:hyperlink r:id="rId405">
              <w:r>
                <w:rPr>
                  <w:rStyle w:val="Hyperlink"/>
                </w:rPr>
                <w:t xml:space="preserve">workflows</w:t>
              </w:r>
            </w:hyperlink>
          </w:p>
        </w:tc>
        <w:tc>
          <w:tcPr/>
          <w:p>
            <w:pPr>
              <w:pStyle w:val="Compact"/>
              <w:jc w:val="left"/>
            </w:pPr>
            <w:r>
              <w:t xml:space="preserve">scripts for testing data analytics and visualization as well as production workflows</w:t>
            </w:r>
          </w:p>
        </w:tc>
      </w:tr>
    </w:tbl>
    <w:bookmarkEnd w:id="406"/>
    <w:bookmarkStart w:id="411" w:name="software-components"/>
    <w:p>
      <w:pPr>
        <w:pStyle w:val="Heading3"/>
      </w:pPr>
      <w:r>
        <w:t xml:space="preserve">13.1.4 Software Components</w:t>
      </w:r>
    </w:p>
    <w:bookmarkStart w:id="407" w:name="list-components"/>
    <w:bookmarkEnd w:id="407"/>
    <w:p>
      <w:pPr>
        <w:pStyle w:val="FirstParagraph"/>
      </w:pPr>
      <w:r>
        <w:drawing>
          <wp:inline>
            <wp:extent cx="5334000" cy="5215816"/>
            <wp:effectExtent b="0" l="0" r="0" t="0"/>
            <wp:docPr descr="" title="" id="409" name="Picture"/>
            <a:graphic>
              <a:graphicData uri="http://schemas.openxmlformats.org/drawingml/2006/picture">
                <pic:pic>
                  <pic:nvPicPr>
                    <pic:cNvPr descr="figures/listing-software.png" id="410" name="Picture"/>
                    <pic:cNvPicPr>
                      <a:picLocks noChangeArrowheads="1" noChangeAspect="1"/>
                    </pic:cNvPicPr>
                  </pic:nvPicPr>
                  <pic:blipFill>
                    <a:blip r:embed="rId408"/>
                    <a:stretch>
                      <a:fillRect/>
                    </a:stretch>
                  </pic:blipFill>
                  <pic:spPr bwMode="auto">
                    <a:xfrm>
                      <a:off x="0" y="0"/>
                      <a:ext cx="5334000" cy="5215816"/>
                    </a:xfrm>
                    <a:prstGeom prst="rect">
                      <a:avLst/>
                    </a:prstGeom>
                    <a:noFill/>
                    <a:ln w="9525">
                      <a:noFill/>
                      <a:headEnd/>
                      <a:tailEnd/>
                    </a:ln>
                  </pic:spPr>
                </pic:pic>
              </a:graphicData>
            </a:graphic>
          </wp:inline>
        </w:drawing>
      </w:r>
    </w:p>
    <w:bookmarkEnd w:id="411"/>
    <w:bookmarkEnd w:id="412"/>
    <w:bookmarkEnd w:id="413"/>
    <w:bookmarkStart w:id="462" w:name="sec-server"/>
    <w:p>
      <w:pPr>
        <w:pStyle w:val="Heading1"/>
      </w:pPr>
      <w:r>
        <w:t xml:space="preserve">14. Server</w:t>
      </w:r>
    </w:p>
    <w:p>
      <w:pPr>
        <w:pStyle w:val="FirstParagraph"/>
      </w:pPr>
      <w:r>
        <w:t xml:space="preserve">The server is for serving up any web services outside those of Github (e.g.,</w:t>
      </w:r>
      <w:r>
        <w:t xml:space="preserve"> </w:t>
      </w:r>
      <w:hyperlink r:id="rId414">
        <w:r>
          <w:rPr>
            <w:rStyle w:val="Hyperlink"/>
          </w:rPr>
          <w:t xml:space="preserve">website</w:t>
        </w:r>
      </w:hyperlink>
      <w:r>
        <w:t xml:space="preserve">,</w:t>
      </w:r>
      <w:r>
        <w:t xml:space="preserve"> </w:t>
      </w:r>
      <w:hyperlink r:id="rId415">
        <w:r>
          <w:rPr>
            <w:rStyle w:val="Hyperlink"/>
          </w:rPr>
          <w:t xml:space="preserve">docs</w:t>
        </w:r>
      </w:hyperlink>
      <w:r>
        <w:t xml:space="preserve"> </w:t>
      </w:r>
      <w:r>
        <w:t xml:space="preserve">and R package</w:t>
      </w:r>
      <w:r>
        <w:t xml:space="preserve"> </w:t>
      </w:r>
      <w:hyperlink r:id="rId416">
        <w:r>
          <w:rPr>
            <w:rStyle w:val="Hyperlink"/>
          </w:rPr>
          <w:t xml:space="preserve">msens</w:t>
        </w:r>
      </w:hyperlink>
      <w:r>
        <w:t xml:space="preserve">) using</w:t>
      </w:r>
      <w:r>
        <w:t xml:space="preserve"> </w:t>
      </w:r>
      <w:hyperlink r:id="rId417">
        <w:r>
          <w:rPr>
            <w:rStyle w:val="Hyperlink"/>
          </w:rPr>
          <w:t xml:space="preserve">Docker</w:t>
        </w:r>
      </w:hyperlink>
      <w:r>
        <w:t xml:space="preserve"> </w:t>
      </w:r>
      <w:r>
        <w:t xml:space="preserve">(see the</w:t>
      </w:r>
      <w:r>
        <w:t xml:space="preserve"> </w:t>
      </w:r>
      <w:hyperlink r:id="rId418">
        <w:r>
          <w:rPr>
            <w:rStyle w:val="Hyperlink"/>
          </w:rPr>
          <w:t xml:space="preserve">docker-compose.yml</w:t>
        </w:r>
      </w:hyperlink>
      <w:r>
        <w:t xml:space="preserve">; with reverse proxying from subdomains to ports by</w:t>
      </w:r>
      <w:r>
        <w:t xml:space="preserve"> </w:t>
      </w:r>
      <w:hyperlink r:id="rId419">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435"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420">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423"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35"/>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35"/>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35"/>
        </w:numPr>
      </w:pPr>
      <w:r>
        <w:t xml:space="preserve">Firewall (security group)</w:t>
      </w:r>
      <w:r>
        <w:br/>
      </w:r>
      <w:r>
        <w:t xml:space="preserve">New security group</w:t>
      </w:r>
    </w:p>
    <w:p>
      <w:pPr>
        <w:pStyle w:val="Compact"/>
        <w:numPr>
          <w:ilvl w:val="0"/>
          <w:numId w:val="1035"/>
        </w:numPr>
      </w:pPr>
      <w:r>
        <w:t xml:space="preserve">Storage (volumes)</w:t>
      </w:r>
      <w:r>
        <w:br/>
      </w:r>
      <w:r>
        <w:t xml:space="preserve">2 volume(s)</w:t>
      </w:r>
    </w:p>
    <w:p>
      <w:pPr>
        <w:pStyle w:val="Compact"/>
        <w:numPr>
          <w:ilvl w:val="1"/>
          <w:numId w:val="1036"/>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36"/>
        </w:numPr>
      </w:pPr>
      <w:r>
        <w:rPr>
          <w:b/>
          <w:bCs/>
        </w:rPr>
        <w:t xml:space="preserve">60 GB</w:t>
      </w:r>
      <w:r>
        <w:br/>
      </w:r>
      <w:r>
        <w:rPr>
          <w:rStyle w:val="VerbatimChar"/>
        </w:rPr>
        <w:t xml:space="preserve">/share</w:t>
      </w:r>
      <w:r>
        <w:t xml:space="preserve"> </w:t>
      </w:r>
      <w:r>
        <w:t xml:space="preserve">for all data, persistent and to be backed up</w:t>
      </w:r>
    </w:p>
    <w:bookmarkStart w:id="422" w:name="allocate-ip-address"/>
    <w:p>
      <w:pPr>
        <w:pStyle w:val="Heading4"/>
      </w:pPr>
      <w:r>
        <w:t xml:space="preserve">14.1.1.1 allocate IP address</w:t>
      </w:r>
    </w:p>
    <w:p>
      <w:pPr>
        <w:numPr>
          <w:ilvl w:val="0"/>
          <w:numId w:val="1037"/>
        </w:numPr>
      </w:pPr>
      <w:hyperlink r:id="rId421">
        <w:r>
          <w:rPr>
            <w:rStyle w:val="Hyperlink"/>
          </w:rPr>
          <w:t xml:space="preserve">Elastic IP addresses | EC2 | us-east-1</w:t>
        </w:r>
      </w:hyperlink>
      <w:r>
        <w:t xml:space="preserve"> </w:t>
      </w:r>
      <w:r>
        <w:t xml:space="preserve">for persistent IP address</w:t>
      </w:r>
    </w:p>
    <w:p>
      <w:pPr>
        <w:numPr>
          <w:ilvl w:val="0"/>
          <w:numId w:val="1037"/>
        </w:numPr>
      </w:pPr>
      <w:r>
        <w:t xml:space="preserve">Allocated IPv4 address:</w:t>
      </w:r>
      <w:r>
        <w:t xml:space="preserve"> </w:t>
      </w:r>
      <w:r>
        <w:rPr>
          <w:rStyle w:val="VerbatimChar"/>
        </w:rPr>
        <w:t xml:space="preserve">100.25.173.0</w:t>
      </w:r>
    </w:p>
    <w:p>
      <w:pPr>
        <w:numPr>
          <w:ilvl w:val="0"/>
          <w:numId w:val="1037"/>
        </w:numPr>
      </w:pPr>
      <w:r>
        <w:t xml:space="preserve">Associate Elastic IP address</w:t>
      </w:r>
    </w:p>
    <w:bookmarkEnd w:id="422"/>
    <w:bookmarkEnd w:id="423"/>
    <w:bookmarkStart w:id="428"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425" w:name="set-hostname"/>
    <w:p>
      <w:pPr>
        <w:pStyle w:val="Heading4"/>
      </w:pPr>
      <w:r>
        <w:t xml:space="preserve">14.1.2.1 set hostname</w:t>
      </w:r>
    </w:p>
    <w:p>
      <w:pPr>
        <w:pStyle w:val="Compact"/>
        <w:numPr>
          <w:ilvl w:val="0"/>
          <w:numId w:val="1038"/>
        </w:numPr>
      </w:pPr>
      <w:hyperlink r:id="rId424">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425"/>
    <w:bookmarkStart w:id="427"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9"/>
        </w:numPr>
      </w:pPr>
      <w:hyperlink r:id="rId426">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427"/>
    <w:bookmarkEnd w:id="428"/>
    <w:bookmarkStart w:id="432" w:name="install-docker"/>
    <w:p>
      <w:pPr>
        <w:pStyle w:val="Heading3"/>
      </w:pPr>
      <w:r>
        <w:t xml:space="preserve">14.1.3 install docker</w:t>
      </w:r>
    </w:p>
    <w:p>
      <w:pPr>
        <w:pStyle w:val="FirstParagraph"/>
      </w:pPr>
      <w:r>
        <w:t xml:space="preserve">Following:</w:t>
      </w:r>
    </w:p>
    <w:p>
      <w:pPr>
        <w:pStyle w:val="Compact"/>
        <w:numPr>
          <w:ilvl w:val="0"/>
          <w:numId w:val="1040"/>
        </w:numPr>
      </w:pPr>
      <w:hyperlink r:id="rId429">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431" w:name="run-docker-compose"/>
    <w:p>
      <w:pPr>
        <w:pStyle w:val="Heading4"/>
      </w:pPr>
      <w:r>
        <w:t xml:space="preserve">14.1.3.1 run docker compose</w:t>
      </w:r>
    </w:p>
    <w:p>
      <w:pPr>
        <w:pStyle w:val="Compact"/>
        <w:numPr>
          <w:ilvl w:val="0"/>
          <w:numId w:val="1041"/>
        </w:numPr>
      </w:pPr>
      <w:r>
        <w:t xml:space="preserve">/Users/bbest/My Drive/private/</w:t>
      </w:r>
      <w:hyperlink r:id="rId430">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431"/>
    <w:bookmarkEnd w:id="432"/>
    <w:bookmarkStart w:id="434"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433">
        <w:r>
          <w:rPr>
            <w:rStyle w:val="Hyperlink"/>
          </w:rPr>
          <w:t xml:space="preserve">Automate snapshot lifecycles - Amazon Elastic Compute Cloud</w:t>
        </w:r>
      </w:hyperlink>
      <w:r>
        <w:t xml:space="preserve">, created two policies:</w:t>
      </w:r>
    </w:p>
    <w:p>
      <w:pPr>
        <w:pStyle w:val="Compact"/>
        <w:numPr>
          <w:ilvl w:val="0"/>
          <w:numId w:val="1042"/>
        </w:numPr>
      </w:pPr>
      <w:r>
        <w:rPr>
          <w:b/>
          <w:bCs/>
        </w:rPr>
        <w:t xml:space="preserve">bkup_msens-share_daily</w:t>
      </w:r>
      <w:r>
        <w:t xml:space="preserve"> </w:t>
      </w:r>
      <w:r>
        <w:t xml:space="preserve">every 24 hrs at 09:00 UTC, max of 7</w:t>
      </w:r>
    </w:p>
    <w:p>
      <w:pPr>
        <w:pStyle w:val="Compact"/>
        <w:numPr>
          <w:ilvl w:val="0"/>
          <w:numId w:val="1042"/>
        </w:numPr>
      </w:pPr>
      <w:r>
        <w:rPr>
          <w:b/>
          <w:bCs/>
        </w:rPr>
        <w:t xml:space="preserve">bkup_msens-share_weekly</w:t>
      </w:r>
      <w:r>
        <w:t xml:space="preserve"> </w:t>
      </w:r>
      <w:r>
        <w:t xml:space="preserve">every Monday 09:00 UTC, max of 8</w:t>
      </w:r>
    </w:p>
    <w:bookmarkEnd w:id="434"/>
    <w:bookmarkEnd w:id="435"/>
    <w:bookmarkStart w:id="436"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418">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(and the retired aliases / ?ver=</w:t>
      </w:r>
      <w:r>
        <w:br/>
      </w:r>
      <w:r>
        <w:rPr>
          <w:rStyle w:val="CommentTok"/>
        </w:rPr>
        <w:t xml:space="preserve">      # spellings) for these straight to the review host's Atlas, ONE hop (Atlas</w:t>
      </w:r>
      <w:r>
        <w:br/>
      </w:r>
      <w:r>
        <w:rPr>
          <w:rStyle w:val="CommentTok"/>
        </w:rPr>
        <w:t xml:space="preserve">      # cutover B2, caddy/atlas_cutover_public.caddy), instead of the public Atlas.</w:t>
      </w:r>
      <w:r>
        <w:br/>
      </w:r>
      <w:r>
        <w:rPr>
          <w:rStyle w:val="CommentTok"/>
        </w:rPr>
        <w:t xml:space="preserve">      # Kept in the server .env beside PREVIEW_REVIEWERS_&lt;VER&gt;; DEPLOY_CADDY asserts</w:t>
      </w:r>
      <w:r>
        <w:br/>
      </w:r>
      <w:r>
        <w:rPr>
          <w:rStyle w:val="CommentTok"/>
        </w:rPr>
        <w:t xml:space="preserve">      # it against versions.json BEFORE it restarts anything. UNSET (or empty) it</w:t>
      </w:r>
      <w:r>
        <w:br/>
      </w:r>
      <w:r>
        <w:rPr>
          <w:rStyle w:val="CommentTok"/>
        </w:rPr>
        <w:t xml:space="preserve">      # defaults to the no-match value `__none__`, and then restricted versions are</w:t>
      </w:r>
      <w:r>
        <w:br/>
      </w:r>
      <w:r>
        <w:rPr>
          <w:rStyle w:val="CommentTok"/>
        </w:rPr>
        <w:t xml:space="preserve">      # sent to the PUBLIC Atlas instead of the review host: that fails closed (the</w:t>
      </w:r>
      <w:r>
        <w:br/>
      </w:r>
      <w:r>
        <w:rPr>
          <w:rStyle w:val="CommentTok"/>
        </w:rPr>
        <w:t xml:space="preserve">      # app says "under review") but is the wrong door, and the deploy check refuses</w:t>
      </w:r>
      <w:r>
        <w:br/>
      </w:r>
      <w:r>
        <w:rPr>
          <w:rStyle w:val="CommentTok"/>
        </w:rPr>
        <w:t xml:space="preserve">      # it. Use `__none__` explicitly only while no release is restricted.</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PUBLIC app host's Atlas cutover redirects (B2, 2026-10-16), imported by</w:t>
      </w:r>
      <w:r>
        <w:br/>
      </w:r>
      <w:r>
        <w:rPr>
          <w:rStyle w:val="CommentTok"/>
        </w:rPr>
        <w:t xml:space="preserve">      # the app.marinesensitivity.org vhost (single-file bind mount, same restart</w:t>
      </w:r>
      <w:r>
        <w:br/>
      </w:r>
      <w:r>
        <w:rPr>
          <w:rStyle w:val="CommentTok"/>
        </w:rPr>
        <w:t xml:space="preserve">      # rule). A NEW mount: `up -d --no-deps caddy` recreates the container for it.</w:t>
      </w:r>
      <w:r>
        <w:br/>
      </w:r>
      <w:r>
        <w:rPr>
          <w:rStyle w:val="AttributeTok"/>
        </w:rPr>
        <w:t xml:space="preserve">      </w:t>
      </w:r>
      <w:r>
        <w:rPr>
          <w:rStyle w:val="KeywordTok"/>
        </w:rPr>
        <w:t xml:space="preserve">-</w:t>
      </w:r>
      <w:r>
        <w:rPr>
          <w:rStyle w:val="AttributeTok"/>
        </w:rPr>
        <w:t xml:space="preserve"> ./caddy/atlas_cutover_public.caddy:/etc/caddy/atlas_cutover_public.caddy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436"/>
    <w:bookmarkStart w:id="439" w:name="dns"/>
    <w:p>
      <w:pPr>
        <w:pStyle w:val="Heading2"/>
      </w:pPr>
      <w:r>
        <w:t xml:space="preserve">14.3 DNS</w:t>
      </w:r>
    </w:p>
    <w:p>
      <w:pPr>
        <w:pStyle w:val="FirstParagraph"/>
      </w:pPr>
      <w:r>
        <w:t xml:space="preserve">The domain name server (DNS) records are managed by</w:t>
      </w:r>
      <w:r>
        <w:t xml:space="preserve"> </w:t>
      </w:r>
      <w:hyperlink r:id="rId437">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438">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439"/>
    <w:bookmarkStart w:id="441"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440">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and /gazetteer/</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 the SAME public Shiny Server (:3838, /share/shiny_apps) as app.*, so scores and</w:t>
      </w:r>
      <w:r>
        <w:br/>
      </w:r>
      <w:r>
        <w:rPr>
          <w:rStyle w:val="VerbatimChar"/>
        </w:rPr>
        <w:t xml:space="preserve">    # species were reachable here too: the Atlas cutover (B2) redirects them from this host</w:t>
      </w:r>
      <w:r>
        <w:br/>
      </w:r>
      <w:r>
        <w:rPr>
          <w:rStyle w:val="VerbatimChar"/>
        </w:rPr>
        <w:t xml:space="preserve">    # as well, or /scores/ and /species/ would bypass it. Only the scores/species shapes</w:t>
      </w:r>
      <w:r>
        <w:br/>
      </w:r>
      <w:r>
        <w:rPr>
          <w:rStyle w:val="VerbatimChar"/>
        </w:rPr>
        <w:t xml:space="preserve">    # (and the retired aliases) match; every other app on this host proxies as before.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ATLAS CUTOVER B2 (2026-10-16): the Shiny /scores and /species apps are</w:t>
      </w:r>
      <w:r>
        <w:br/>
      </w:r>
      <w:r>
        <w:rPr>
          <w:rStyle w:val="VerbatimChar"/>
        </w:rPr>
        <w:t xml:space="preserve">    # replaced by the static Atlas (https://marinesensitivity.org/atlas/), and</w:t>
      </w:r>
      <w:r>
        <w:br/>
      </w:r>
      <w:r>
        <w:rPr>
          <w:rStyle w:val="VerbatimChar"/>
        </w:rPr>
        <w:t xml:space="preserve">    # every Shiny URL -- /{ver}/scores|species/, the unversioned /scores/ and</w:t>
      </w:r>
      <w:r>
        <w:br/>
      </w:r>
      <w:r>
        <w:rPr>
          <w:rStyle w:val="VerbatimChar"/>
        </w:rPr>
        <w:t xml:space="preserve">    # /species/ (+ ?ver=), and the retired /mapgl /mapsp /mapgl_v{n} /mapsp_v{n}</w:t>
      </w:r>
      <w:r>
        <w:br/>
      </w:r>
      <w:r>
        <w:rPr>
          <w:rStyle w:val="VerbatimChar"/>
        </w:rPr>
        <w:t xml:space="preserve">    # /scores_v{n} /species_v{n} aliases -- 302s into it with the query carried</w:t>
      </w:r>
      <w:r>
        <w:br/>
      </w:r>
      <w:r>
        <w:rPr>
          <w:rStyle w:val="VerbatimChar"/>
        </w:rPr>
        <w:t xml:space="preserve">    # verbatim (the Atlas rewrites mdl_key / mdl_seq itself). A RESTRICTED version</w:t>
      </w:r>
      <w:r>
        <w:br/>
      </w:r>
      <w:r>
        <w:rPr>
          <w:rStyle w:val="VerbatimChar"/>
        </w:rPr>
        <w:t xml:space="preserve">    # (PREVIEW_RESTRICTED_VERSIONS: a regex alternation such as "v8|v9" from the</w:t>
      </w:r>
      <w:r>
        <w:br/>
      </w:r>
      <w:r>
        <w:rPr>
          <w:rStyle w:val="VerbatimChar"/>
        </w:rPr>
        <w:t xml:space="preserve">    # server .env -- the same manual step as PREVIEW_REVIEWERS_&lt;VER&gt; and</w:t>
      </w:r>
      <w:r>
        <w:br/>
      </w:r>
      <w:r>
        <w:rPr>
          <w:rStyle w:val="VerbatimChar"/>
        </w:rPr>
        <w:t xml:space="preserve">    # CF_ACCESS_AUD, asserted against versions.json by DEPLOY_CADDY before it</w:t>
      </w:r>
      <w:r>
        <w:br/>
      </w:r>
      <w:r>
        <w:rPr>
          <w:rStyle w:val="VerbatimChar"/>
        </w:rPr>
        <w:t xml:space="preserve">    # restarts anything) goes straight to https://preview.marinesensitivity.org/</w:t>
      </w:r>
      <w:r>
        <w:br/>
      </w:r>
      <w:r>
        <w:rPr>
          <w:rStyle w:val="VerbatimChar"/>
        </w:rPr>
        <w:t xml:space="preserve">    # {ver}/atlas/. If it is UNSET it matches nothing, so restricted versions land</w:t>
      </w:r>
      <w:r>
        <w:br/>
      </w:r>
      <w:r>
        <w:rPr>
          <w:rStyle w:val="VerbatimChar"/>
        </w:rPr>
        <w:t xml:space="preserve">    # on the PUBLIC Atlas: that fails closed ("under review"), but it is the wrong</w:t>
      </w:r>
      <w:r>
        <w:br/>
      </w:r>
      <w:r>
        <w:rPr>
          <w:rStyle w:val="VerbatimChar"/>
        </w:rPr>
        <w:t xml:space="preserve">    # door and the deploy check exists to catch it. All 302 until B3 flips the</w:t>
      </w:r>
      <w:r>
        <w:br/>
      </w:r>
      <w:r>
        <w:rPr>
          <w:rStyle w:val="VerbatimChar"/>
        </w:rPr>
        <w:t xml:space="preserve">    # public ones to 301: a cached 301 would outlive a rollback. The rules, their</w:t>
      </w:r>
      <w:r>
        <w:br/>
      </w:r>
      <w:r>
        <w:rPr>
          <w:rStyle w:val="VerbatimChar"/>
        </w:rPr>
        <w:t xml:space="preserve">    # order and why live in atlas_cutover_public.caddy, which</w:t>
      </w:r>
      <w:r>
        <w:br/>
      </w:r>
      <w:r>
        <w:rPr>
          <w:rStyle w:val="VerbatimChar"/>
        </w:rPr>
        <w:t xml:space="preserve">    # caddy/test/atlas_cutover_local.sh proves.</w:t>
      </w:r>
      <w:r>
        <w:br/>
      </w:r>
      <w:r>
        <w:rPr>
          <w:rStyle w:val="VerbatimChar"/>
        </w:rPr>
        <w:t xml:space="preserve">    #</w:t>
      </w:r>
      <w:r>
        <w:br/>
      </w:r>
      <w:r>
        <w:rPr>
          <w:rStyle w:val="VerbatimChar"/>
        </w:rPr>
        <w:t xml:space="preserve">    # Before B2 this block held the `&amp;{query}` aliases and the restricted-version</w:t>
      </w:r>
      <w:r>
        <w:br/>
      </w:r>
      <w:r>
        <w:rPr>
          <w:rStyle w:val="VerbatimChar"/>
        </w:rPr>
        <w:t xml:space="preserve">    # 302 (MarineSensitivity/apps#6: a redir target carrying its own query REPLACES</w:t>
      </w:r>
      <w:r>
        <w:br/>
      </w:r>
      <w:r>
        <w:rPr>
          <w:rStyle w:val="VerbatimChar"/>
        </w:rPr>
        <w:t xml:space="preserve">    # the incoming one). Rolling back = revert the B2 server merge AND the</w:t>
      </w:r>
      <w:r>
        <w:br/>
      </w:r>
      <w:r>
        <w:rPr>
          <w:rStyle w:val="VerbatimChar"/>
        </w:rPr>
        <w:t xml:space="preserve">    # workflows merge (its DEPLOY_CADDY assertions expect the redirects), then</w:t>
      </w:r>
      <w:r>
        <w:br/>
      </w:r>
      <w:r>
        <w:rPr>
          <w:rStyle w:val="VerbatimChar"/>
        </w:rPr>
        <w:t xml:space="preserve">    # DEPLOY_CADDY=1.</w:t>
      </w:r>
      <w:r>
        <w:br/>
      </w:r>
      <w:r>
        <w:rPr>
          <w:rStyle w:val="VerbatimChar"/>
        </w:rPr>
        <w:t xml:space="preserve">    #</w:t>
      </w:r>
      <w:r>
        <w:br/>
      </w:r>
      <w:r>
        <w:rPr>
          <w:rStyle w:val="VerbatimChar"/>
        </w:rPr>
        <w:t xml:space="preserve">    # The bare host root has nothing to show any more: send it to the Atlas.</w:t>
      </w:r>
      <w:r>
        <w:br/>
      </w:r>
      <w:r>
        <w:rPr>
          <w:rStyle w:val="VerbatimChar"/>
        </w:rPr>
        <w:t xml:space="preserve">    # (shiny.* roots are left alone: they list that Shiny Server's other apps.)</w:t>
      </w:r>
      <w:r>
        <w:br/>
      </w:r>
      <w:r>
        <w:rPr>
          <w:rStyle w:val="VerbatimChar"/>
        </w:rPr>
        <w:t xml:space="preserve">    redir / https://marinesensitivity.org/atlas/ 302</w:t>
      </w:r>
      <w:r>
        <w:br/>
      </w:r>
      <w:r>
        <w:br/>
      </w:r>
      <w:r>
        <w:rPr>
          <w:rStyle w:val="VerbatimChar"/>
        </w:rPr>
        <w:t xml:space="preserve">    import atlas_cutover_public.caddy</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href="https://marinesensitivity.org/atlas/"&gt;the Atlas&lt;/a&gt;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 same Shiny Server as app.* / shiny.marinesensitivity.org: see the Atlas cutover note there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441"/>
    <w:bookmarkStart w:id="461"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453" w:name="app-data-plane"/>
    <w:p>
      <w:pPr>
        <w:pStyle w:val="Heading3"/>
      </w:pPr>
      <w:r>
        <w:t xml:space="preserve">14.5.1 App + data plane</w:t>
      </w:r>
    </w:p>
    <w:p>
      <w:pPr>
        <w:numPr>
          <w:ilvl w:val="0"/>
          <w:numId w:val="1043"/>
        </w:numPr>
      </w:pPr>
      <w:r>
        <w:rPr>
          <w:b/>
          <w:bCs/>
        </w:rPr>
        <w:t xml:space="preserve">app</w:t>
      </w:r>
      <w:r>
        <w:t xml:space="preserve"> </w:t>
      </w:r>
      <w:r>
        <w:t xml:space="preserve">(</w:t>
      </w:r>
      <w:r>
        <w:rPr>
          <w:rStyle w:val="VerbatimChar"/>
        </w:rPr>
        <w:t xml:space="preserve">app.marinesensitivity.org</w:t>
      </w:r>
      <w:r>
        <w:t xml:space="preserve">) /</w:t>
      </w:r>
      <w:r>
        <w:t xml:space="preserve"> </w:t>
      </w:r>
      <w:hyperlink r:id="rId442">
        <w:r>
          <w:rPr>
            <w:rStyle w:val="Hyperlink"/>
            <w:b/>
            <w:bCs/>
          </w:rPr>
          <w:t xml:space="preserve">shiny</w:t>
        </w:r>
      </w:hyperlink>
      <w:r>
        <w:br/>
      </w:r>
      <w:r>
        <w:rPr>
          <w:i/>
          <w:iCs/>
        </w:rPr>
        <w:t xml:space="preserve">app: retired, redirects to the Atlas</w:t>
      </w:r>
      <w:r>
        <w:t xml:space="preserve"> </w:t>
      </w:r>
      <w:r>
        <w:t xml:space="preserve">— this host formerly served the two interactive Shiny 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from the</w:t>
      </w:r>
      <w:r>
        <w:t xml:space="preserve"> </w:t>
      </w:r>
      <w:r>
        <w:rPr>
          <w:rStyle w:val="VerbatimChar"/>
        </w:rPr>
        <w:t xml:space="preserve">rstudio</w:t>
      </w:r>
      <w:r>
        <w:t xml:space="preserve"> </w:t>
      </w:r>
      <w:r>
        <w:t xml:space="preserve">container’s Shiny Server on internal port 3838, each rendering any published release from the URL path (e.g. </w:t>
      </w:r>
      <w:r>
        <w:rPr>
          <w:rStyle w:val="VerbatimChar"/>
        </w:rPr>
        <w:t xml:space="preserve">/v8/scores/</w:t>
      </w:r>
      <w:r>
        <w:t xml:space="preserve">). Since the Atlas became the project’s application (October 2026) Caddy answers</w:t>
      </w:r>
      <w:r>
        <w:t xml:space="preserve"> </w:t>
      </w:r>
      <w:r>
        <w:rPr>
          <w:b/>
          <w:bCs/>
        </w:rPr>
        <w:t xml:space="preserve">every</w:t>
      </w:r>
      <w:r>
        <w:t xml:space="preserve"> </w:t>
      </w:r>
      <w:r>
        <w:t xml:space="preserve">URL those apps ever had with a</w:t>
      </w:r>
      <w:r>
        <w:t xml:space="preserve"> </w:t>
      </w:r>
      <w:r>
        <w:rPr>
          <w:b/>
          <w:bCs/>
        </w:rPr>
        <w:t xml:space="preserve">redirect (HTTP 302 until the retired Shiny blocks are removed; the public ones then become permanent 301s) to the equivalent Atlas view, query carried</w:t>
      </w:r>
      <w:r>
        <w:t xml:space="preserve">:</w:t>
      </w:r>
      <w:r>
        <w:t xml:space="preserve"> </w:t>
      </w:r>
      <w:r>
        <w:rPr>
          <w:rStyle w:val="VerbatimChar"/>
        </w:rPr>
        <w:t xml:space="preserve">/{ver}/scores/</w:t>
      </w:r>
      <w:r>
        <w:t xml:space="preserve"> </w:t>
      </w:r>
      <w:r>
        <w:t xml:space="preserve">and</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(a restricted release’s go to its Atlas on the review host). The bare host root</w:t>
      </w:r>
      <w:r>
        <w:t xml:space="preserve"> </w:t>
      </w:r>
      <w:r>
        <w:rPr>
          <w:rStyle w:val="VerbatimChar"/>
        </w:rPr>
        <w:t xml:space="preserve">app.marinesensitivity.org/</w:t>
      </w:r>
      <w:r>
        <w:t xml:space="preserve"> </w:t>
      </w:r>
      <w:r>
        <w:t xml:space="preserve">also goes to the Atlas. So every link printed in a published report keeps working, but the Shiny apps are no longer reachable through the proxy; their source stays in the</w:t>
      </w:r>
      <w:r>
        <w:t xml:space="preserve"> </w:t>
      </w:r>
      <w:r>
        <w:rPr>
          <w:rStyle w:val="VerbatimChar"/>
        </w:rPr>
        <w:t xml:space="preserve">apps</w:t>
      </w:r>
      <w:r>
        <w:t xml:space="preserve"> </w:t>
      </w:r>
      <w:r>
        <w:t xml:space="preserve">repository.</w:t>
      </w:r>
      <w:r>
        <w:t xml:space="preserve"> </w:t>
      </w:r>
      <w:r>
        <w:rPr>
          <w:rStyle w:val="VerbatimChar"/>
        </w:rPr>
        <w:t xml:space="preserve">shiny.marinesensitivity.org</w:t>
      </w:r>
      <w:r>
        <w:t xml:space="preserve"> </w:t>
      </w:r>
      <w:r>
        <w:t xml:space="preserve">is the same Shiny Server’s own host; its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paths redirect to the Atlas the same way, and its other apps are unchanged. The Atlas itself is a static site on GitHub Pages (</w:t>
      </w:r>
      <w:r>
        <w:rPr>
          <w:rStyle w:val="VerbatimChar"/>
        </w:rPr>
        <w:t xml:space="preserve">marinesensitivity.org/atlas/</w:t>
      </w:r>
      <w:r>
        <w:t xml:space="preserve">) and, for restricted releases,</w:t>
      </w:r>
      <w:r>
        <w:t xml:space="preserve"> </w:t>
      </w:r>
      <w:r>
        <w:rPr>
          <w:rStyle w:val="VerbatimChar"/>
        </w:rPr>
        <w:t xml:space="preserve">preview.marinesensitivity.org/{ver}/atlas/</w:t>
      </w:r>
      <w:r>
        <w:t xml:space="preserve">.</w:t>
      </w:r>
      <w:r>
        <w:br/>
      </w:r>
      <w:r>
        <w:drawing>
          <wp:inline>
            <wp:extent cx="2857500" cy="1428750"/>
            <wp:effectExtent b="0" l="0" r="0" t="0"/>
            <wp:docPr descr="" title="" id="444" name="Picture"/>
            <a:graphic>
              <a:graphicData uri="http://schemas.openxmlformats.org/drawingml/2006/picture">
                <pic:pic>
                  <pic:nvPicPr>
                    <pic:cNvPr descr="figures/server/shiny.png" id="445" name="Picture"/>
                    <pic:cNvPicPr>
                      <a:picLocks noChangeArrowheads="1" noChangeAspect="1"/>
                    </pic:cNvPicPr>
                  </pic:nvPicPr>
                  <pic:blipFill>
                    <a:blip r:embed="rId443"/>
                    <a:stretch>
                      <a:fillRect/>
                    </a:stretch>
                  </pic:blipFill>
                  <pic:spPr bwMode="auto">
                    <a:xfrm>
                      <a:off x="0" y="0"/>
                      <a:ext cx="2857500" cy="1428750"/>
                    </a:xfrm>
                    <a:prstGeom prst="rect">
                      <a:avLst/>
                    </a:prstGeom>
                    <a:noFill/>
                    <a:ln w="9525">
                      <a:noFill/>
                      <a:headEnd/>
                      <a:tailEnd/>
                    </a:ln>
                  </pic:spPr>
                </pic:pic>
              </a:graphicData>
            </a:graphic>
          </wp:inline>
        </w:drawing>
      </w:r>
      <w:r>
        <w:br/>
      </w:r>
      <w:hyperlink r:id="rId446">
        <w:r>
          <w:rPr>
            <w:rStyle w:val="Hyperlink"/>
          </w:rPr>
          <w:t xml:space="preserve">Shiny Server docs</w:t>
        </w:r>
      </w:hyperlink>
    </w:p>
    <w:p>
      <w:pPr>
        <w:numPr>
          <w:ilvl w:val="0"/>
          <w:numId w:val="1043"/>
        </w:numPr>
      </w:pPr>
      <w:hyperlink r:id="rId447">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43"/>
        </w:numPr>
      </w:pPr>
      <w:hyperlink r:id="rId448">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358">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43"/>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43"/>
        </w:numPr>
      </w:pPr>
      <w:hyperlink r:id="rId449">
        <w:r>
          <w:rPr>
            <w:rStyle w:val="Hyperlink"/>
            <w:b/>
            <w:bCs/>
          </w:rPr>
          <w:t xml:space="preserve">api</w:t>
        </w:r>
      </w:hyperlink>
      <w:r>
        <w:br/>
      </w:r>
      <w:r>
        <w:rPr>
          <w:i/>
          <w:iCs/>
        </w:rPr>
        <w:t xml:space="preserve">custom R</w:t>
      </w:r>
      <w:r>
        <w:rPr>
          <w:i/>
          <w:iCs/>
        </w:rPr>
        <w:t xml:space="preserve"> </w:t>
      </w:r>
      <w:hyperlink r:id="rId357">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451" name="Picture"/>
            <a:graphic>
              <a:graphicData uri="http://schemas.openxmlformats.org/drawingml/2006/picture">
                <pic:pic>
                  <pic:nvPicPr>
                    <pic:cNvPr descr="figures/server/api.png" id="452" name="Picture"/>
                    <pic:cNvPicPr>
                      <a:picLocks noChangeArrowheads="1" noChangeAspect="1"/>
                    </pic:cNvPicPr>
                  </pic:nvPicPr>
                  <pic:blipFill>
                    <a:blip r:embed="rId450"/>
                    <a:stretch>
                      <a:fillRect/>
                    </a:stretch>
                  </pic:blipFill>
                  <pic:spPr bwMode="auto">
                    <a:xfrm>
                      <a:off x="0" y="0"/>
                      <a:ext cx="2857500" cy="2046839"/>
                    </a:xfrm>
                    <a:prstGeom prst="rect">
                      <a:avLst/>
                    </a:prstGeom>
                    <a:noFill/>
                    <a:ln w="9525">
                      <a:noFill/>
                      <a:headEnd/>
                      <a:tailEnd/>
                    </a:ln>
                  </pic:spPr>
                </pic:pic>
              </a:graphicData>
            </a:graphic>
          </wp:inline>
        </w:drawing>
      </w:r>
    </w:p>
    <w:bookmarkEnd w:id="453"/>
    <w:bookmarkStart w:id="459" w:name="admin"/>
    <w:p>
      <w:pPr>
        <w:pStyle w:val="Heading3"/>
      </w:pPr>
      <w:r>
        <w:t xml:space="preserve">14.5.2 Admin</w:t>
      </w:r>
    </w:p>
    <w:p>
      <w:pPr>
        <w:numPr>
          <w:ilvl w:val="0"/>
          <w:numId w:val="1044"/>
        </w:numPr>
      </w:pPr>
      <w:hyperlink r:id="rId454">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456" name="Picture"/>
            <a:graphic>
              <a:graphicData uri="http://schemas.openxmlformats.org/drawingml/2006/picture">
                <pic:pic>
                  <pic:nvPicPr>
                    <pic:cNvPr descr="figures/server/rstudio.png" id="457" name="Picture"/>
                    <pic:cNvPicPr>
                      <a:picLocks noChangeArrowheads="1" noChangeAspect="1"/>
                    </pic:cNvPicPr>
                  </pic:nvPicPr>
                  <pic:blipFill>
                    <a:blip r:embed="rId455"/>
                    <a:stretch>
                      <a:fillRect/>
                    </a:stretch>
                  </pic:blipFill>
                  <pic:spPr bwMode="auto">
                    <a:xfrm>
                      <a:off x="0" y="0"/>
                      <a:ext cx="2857500" cy="1926878"/>
                    </a:xfrm>
                    <a:prstGeom prst="rect">
                      <a:avLst/>
                    </a:prstGeom>
                    <a:noFill/>
                    <a:ln w="9525">
                      <a:noFill/>
                      <a:headEnd/>
                      <a:tailEnd/>
                    </a:ln>
                  </pic:spPr>
                </pic:pic>
              </a:graphicData>
            </a:graphic>
          </wp:inline>
        </w:drawing>
      </w:r>
      <w:r>
        <w:br/>
      </w:r>
      <w:hyperlink r:id="rId458">
        <w:r>
          <w:rPr>
            <w:rStyle w:val="Hyperlink"/>
          </w:rPr>
          <w:t xml:space="preserve">Posit RStudio Server</w:t>
        </w:r>
      </w:hyperlink>
    </w:p>
    <w:p>
      <w:pPr>
        <w:numPr>
          <w:ilvl w:val="0"/>
          <w:numId w:val="1044"/>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459"/>
    <w:bookmarkStart w:id="460" w:name="retired"/>
    <w:p>
      <w:pPr>
        <w:pStyle w:val="Heading3"/>
      </w:pPr>
      <w:r>
        <w:t xml:space="preserve">14.5.3 Retired</w:t>
      </w:r>
    </w:p>
    <w:p>
      <w:pPr>
        <w:numPr>
          <w:ilvl w:val="0"/>
          <w:numId w:val="1045"/>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45"/>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460"/>
    <w:bookmarkEnd w:id="461"/>
    <w:bookmarkEnd w:id="462"/>
    <w:bookmarkStart w:id="497"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v7c</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Applications/quarto/share/formats/docx/note.png" id="4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470" w:name="table-and-column-naming-conventions"/>
    <w:p>
      <w:pPr>
        <w:pStyle w:val="Heading2"/>
      </w:pPr>
      <w:r>
        <w:t xml:space="preserve">15.1 Table and column naming conventions</w:t>
      </w:r>
    </w:p>
    <w:p>
      <w:pPr>
        <w:pStyle w:val="Compact"/>
        <w:numPr>
          <w:ilvl w:val="0"/>
          <w:numId w:val="1046"/>
        </w:numPr>
      </w:pPr>
      <w:r>
        <w:t xml:space="preserve">Table names are singular and lower case.</w:t>
      </w:r>
    </w:p>
    <w:p>
      <w:pPr>
        <w:pStyle w:val="Compact"/>
        <w:numPr>
          <w:ilvl w:val="0"/>
          <w:numId w:val="1046"/>
        </w:numPr>
      </w:pPr>
      <w:r>
        <w:t xml:space="preserve">Unique identifier columns are suffixed with:</w:t>
      </w:r>
    </w:p>
    <w:p>
      <w:pPr>
        <w:pStyle w:val="Compact"/>
        <w:numPr>
          <w:ilvl w:val="1"/>
          <w:numId w:val="1047"/>
        </w:numPr>
      </w:pPr>
      <w:r>
        <w:rPr>
          <w:rStyle w:val="VerbatimChar"/>
        </w:rPr>
        <w:t xml:space="preserve">*_id</w:t>
      </w:r>
      <w:r>
        <w:t xml:space="preserve"> </w:t>
      </w:r>
      <w:r>
        <w:t xml:space="preserve">for unique integer keys (stable across rebuilds);</w:t>
      </w:r>
    </w:p>
    <w:p>
      <w:pPr>
        <w:pStyle w:val="Compact"/>
        <w:numPr>
          <w:ilvl w:val="1"/>
          <w:numId w:val="1047"/>
        </w:numPr>
      </w:pPr>
      <w:r>
        <w:rPr>
          <w:rStyle w:val="VerbatimChar"/>
        </w:rPr>
        <w:t xml:space="preserve">*_key</w:t>
      </w:r>
      <w:r>
        <w:t xml:space="preserve"> </w:t>
      </w:r>
      <w:r>
        <w:t xml:space="preserve">for unique string keys (human-readable and stable across releases);</w:t>
      </w:r>
    </w:p>
    <w:p>
      <w:pPr>
        <w:pStyle w:val="Compact"/>
        <w:numPr>
          <w:ilvl w:val="1"/>
          <w:numId w:val="1047"/>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46"/>
        </w:numPr>
      </w:pPr>
      <w:r>
        <w:t xml:space="preserve">Column names are singular and use</w:t>
      </w:r>
      <w:r>
        <w:t xml:space="preserve"> </w:t>
      </w:r>
      <w:r>
        <w:rPr>
          <w:rStyle w:val="VerbatimChar"/>
        </w:rPr>
        <w:t xml:space="preserve">snake_case</w:t>
      </w:r>
      <w:r>
        <w:t xml:space="preserve">.</w:t>
      </w:r>
    </w:p>
    <w:p>
      <w:pPr>
        <w:pStyle w:val="Compact"/>
        <w:numPr>
          <w:ilvl w:val="0"/>
          <w:numId w:val="1046"/>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Applications/quarto/share/formats/docx/important.png" id="46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467" w:name="tbl-db-tables"/>
          <w:p>
            <w:pPr>
              <w:jc w:val="center"/>
            </w:pPr>
            <w:pPr>
              <w:jc w:val="left"/>
              <w:spacing w:before="200"/>
              <w:pStyle w:val="ImageCaption"/>
            </w:pPr>
            <w:r>
              <w:t xml:space="preserve">Table 15.1: Tables published by v7c, with row counts read from the release itself.</w:t>
            </w:r>
          </w:p>
          <w:tbl>
            <w:tblPr>
              <w:tblStyle w:val="Table"/>
              <w:tblW w:type="pct" w:w="5000"/>
              <w:tblLayout w:type="fixed"/>
              <w:tblLook w:firstRow="1" w:lastRow="0" w:firstColumn="0" w:lastColumn="0" w:noHBand="0" w:noVBand="0" w:val="0020"/>
            </w:tblPr>
            <w:tblGrid>
              <w:gridCol w:w="649"/>
              <w:gridCol w:w="476"/>
              <w:gridCol w:w="6794"/>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662,075</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17,561</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32,315</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51</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21,880,374</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73</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5,214,822</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1,166</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126,825</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9</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31,690</w:t>
                  </w:r>
                </w:p>
              </w:tc>
              <w:tc>
                <w:tcPr/>
                <w:p>
                  <w:pPr>
                    <w:pStyle w:val="Compact"/>
                    <w:jc w:val="left"/>
                    <w:jc w:val="center"/>
                  </w:pPr>
                  <w:r>
                    <w:t xml:space="preserve">Which models fed which taxon — the taxon to model relation.</w:t>
                  </w:r>
                </w:p>
              </w:tc>
            </w:tr>
            <w:tr>
              <w:tc>
                <w:tcPr/>
                <w:p>
                  <w:pPr>
                    <w:pStyle w:val="Compact"/>
                    <w:jc w:val="left"/>
                    <w:jc w:val="center"/>
                  </w:pPr>
                  <w:r>
                    <w:rPr>
                      <w:rStyle w:val="VerbatimChar"/>
                    </w:rPr>
                    <w:t xml:space="preserve">listing</w:t>
                  </w:r>
                </w:p>
              </w:tc>
              <w:tc>
                <w:tcPr/>
                <w:p>
                  <w:pPr>
                    <w:pStyle w:val="Compact"/>
                    <w:jc w:val="right"/>
                    <w:jc w:val="center"/>
                  </w:pPr>
                  <w:r>
                    <w:t xml:space="preserve">718</w:t>
                  </w:r>
                </w:p>
              </w:tc>
              <w:tc>
                <w:tcPr/>
                <w:p>
                  <w:pPr>
                    <w:pStyle w:val="Compact"/>
                    <w:jc w:val="left"/>
                    <w:jc w:val="center"/>
                  </w:pPr>
                  <w:r>
                    <w:t xml:space="preserve">US federal listing lookup (ESA status, MMPA and MBTA protection).</w:t>
                  </w:r>
                </w:p>
              </w:tc>
            </w:tr>
            <w:tr>
              <w:tc>
                <w:tcPr/>
                <w:p>
                  <w:pPr>
                    <w:pStyle w:val="Compact"/>
                    <w:jc w:val="left"/>
                    <w:jc w:val="center"/>
                  </w:pPr>
                  <w:r>
                    <w:rPr>
                      <w:rStyle w:val="VerbatimChar"/>
                    </w:rPr>
                    <w:t xml:space="preserve">native_asset</w:t>
                  </w:r>
                </w:p>
              </w:tc>
              <w:tc>
                <w:tcPr/>
                <w:p>
                  <w:pPr>
                    <w:pStyle w:val="Compact"/>
                    <w:jc w:val="right"/>
                    <w:jc w:val="center"/>
                  </w:pPr>
                  <w:r>
                    <w:t xml:space="preserve">49,331</w:t>
                  </w:r>
                </w:p>
              </w:tc>
              <w:tc>
                <w:tcPr/>
                <w:p>
                  <w:pPr>
                    <w:pStyle w:val="Compact"/>
                    <w:jc w:val="left"/>
                    <w:jc w:val="center"/>
                  </w:pPr>
                  <w:r>
                    <w:t xml:space="preserve">Per-release pointers from each model to its distribution files (COGs, PMTiles) in the asset store (</w:t>
                  </w:r>
                  <w:hyperlink w:anchor="sec-asset-store">
                    <w:r>
                      <w:rPr>
                        <w:rStyle w:val="Hyperlink"/>
                      </w:rPr>
                      <w:t xml:space="preserve">Section 15.3</w:t>
                    </w:r>
                  </w:hyperlink>
                  <w:r>
                    <w:t xml:space="preserve">); the Atlas reads it to draw each input.</w:t>
                  </w:r>
                </w:p>
              </w:tc>
            </w:tr>
          </w:tbl>
          <w:bookmarkEnd w:id="467"/>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Applications/quarto/share/formats/docx/note.png" id="46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v7c</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 Sections that depend on these are omitted from this build rather than described from another release.</w:t>
            </w:r>
          </w:p>
          <w:p/>
        </w:tc>
      </w:tr>
    </w:tbl>
    <w:bookmarkEnd w:id="470"/>
    <w:bookmarkStart w:id="484" w:name="schema"/>
    <w:p>
      <w:pPr>
        <w:pStyle w:val="Heading2"/>
      </w:pPr>
      <w:r>
        <w:t xml:space="preserve">15.2 Schema</w:t>
      </w:r>
    </w:p>
    <w:p>
      <w:pPr>
        <w:pStyle w:val="FirstParagraph"/>
      </w:pPr>
      <w:r>
        <w:t xml:space="preserve">The columns of each published table, read from the release:</w:t>
      </w:r>
    </w:p>
    <w:bookmarkStart w:id="471"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width_km2</w:t>
            </w:r>
          </w:p>
        </w:tc>
        <w:tc>
          <w:tcPr/>
          <w:p>
            <w:pPr>
              <w:pStyle w:val="Compact"/>
              <w:jc w:val="left"/>
            </w:pPr>
            <w:r>
              <w:t xml:space="preserve">DOUBLE</w:t>
            </w:r>
          </w:p>
        </w:tc>
      </w:tr>
    </w:tbl>
    <w:bookmarkEnd w:id="471"/>
    <w:bookmarkStart w:id="472"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n_ds</w:t>
            </w:r>
          </w:p>
        </w:tc>
        <w:tc>
          <w:tcPr/>
          <w:p>
            <w:pPr>
              <w:pStyle w:val="Compact"/>
              <w:jc w:val="left"/>
            </w:pPr>
            <w:r>
              <w:t xml:space="preserve">INTEGER</w:t>
            </w:r>
          </w:p>
        </w:tc>
      </w:tr>
      <w:tr>
        <w:tc>
          <w:tcPr/>
          <w:p>
            <w:pPr>
              <w:pStyle w:val="Compact"/>
              <w:jc w:val="left"/>
            </w:pPr>
            <w:r>
              <w:t xml:space="preserve">ms_merge</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worms_id</w:t>
            </w:r>
          </w:p>
        </w:tc>
        <w:tc>
          <w:tcPr/>
          <w:p>
            <w:pPr>
              <w:pStyle w:val="Compact"/>
              <w:jc w:val="left"/>
            </w:pPr>
            <w:r>
              <w:t xml:space="preserve">INTEGER</w:t>
            </w:r>
          </w:p>
        </w:tc>
      </w:tr>
      <w:tr>
        <w:tc>
          <w:tcPr/>
          <w:p>
            <w:pPr>
              <w:pStyle w:val="Compact"/>
              <w:jc w:val="left"/>
            </w:pPr>
            <w:r>
              <w:t xml:space="preserve">redlist_code</w:t>
            </w:r>
          </w:p>
        </w:tc>
        <w:tc>
          <w:tcPr/>
          <w:p>
            <w:pPr>
              <w:pStyle w:val="Compact"/>
              <w:jc w:val="left"/>
            </w:pPr>
            <w:r>
              <w:t xml:space="preserve">VARCHAR</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is_ok</w:t>
            </w:r>
          </w:p>
        </w:tc>
        <w:tc>
          <w:tcPr/>
          <w:p>
            <w:pPr>
              <w:pStyle w:val="Compact"/>
              <w:jc w:val="left"/>
            </w:pPr>
            <w:r>
              <w:t xml:space="preserve">BOOLEAN</w:t>
            </w:r>
          </w:p>
        </w:tc>
      </w:tr>
      <w:tr>
        <w:tc>
          <w:tcPr/>
          <w:p>
            <w:pPr>
              <w:pStyle w:val="Compact"/>
              <w:jc w:val="left"/>
            </w:pPr>
            <w:r>
              <w:t xml:space="preserve">worms_taxonomic_status</w:t>
            </w:r>
          </w:p>
        </w:tc>
        <w:tc>
          <w:tcPr/>
          <w:p>
            <w:pPr>
              <w:pStyle w:val="Compact"/>
              <w:jc w:val="left"/>
            </w:pPr>
            <w:r>
              <w:t xml:space="preserve">VARCHAR</w:t>
            </w:r>
          </w:p>
        </w:tc>
      </w:tr>
      <w:tr>
        <w:tc>
          <w:tcPr/>
          <w:p>
            <w:pPr>
              <w:pStyle w:val="Compact"/>
              <w:jc w:val="left"/>
            </w:pPr>
            <w:r>
              <w:t xml:space="preserve">is_er_spatial</w:t>
            </w:r>
          </w:p>
        </w:tc>
        <w:tc>
          <w:tcPr/>
          <w:p>
            <w:pPr>
              <w:pStyle w:val="Compact"/>
              <w:jc w:val="left"/>
            </w:pPr>
            <w:r>
              <w:t xml:space="preserve">BOOLEAN</w:t>
            </w:r>
          </w:p>
        </w:tc>
      </w:tr>
    </w:tbl>
    <w:bookmarkEnd w:id="472"/>
    <w:bookmarkStart w:id="473"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taxa</w:t>
            </w:r>
          </w:p>
        </w:tc>
        <w:tc>
          <w:tcPr/>
          <w:p>
            <w:pPr>
              <w:pStyle w:val="Compact"/>
              <w:jc w:val="left"/>
            </w:pPr>
            <w:r>
              <w:t xml:space="preserve">VARCHAR</w:t>
            </w:r>
          </w:p>
        </w:tc>
      </w:tr>
      <w:tr>
        <w:tc>
          <w:tcPr/>
          <w:p>
            <w:pPr>
              <w:pStyle w:val="Compact"/>
              <w:jc w:val="left"/>
            </w:pPr>
            <w:r>
              <w:t xml:space="preserve">time_period</w:t>
            </w:r>
          </w:p>
        </w:tc>
        <w:tc>
          <w:tcPr/>
          <w:p>
            <w:pPr>
              <w:pStyle w:val="Compact"/>
              <w:jc w:val="left"/>
            </w:pPr>
            <w:r>
              <w:t xml:space="preserve">VARCHAR</w:t>
            </w:r>
          </w:p>
        </w:tc>
      </w:tr>
      <w:tr>
        <w:tc>
          <w:tcPr/>
          <w:p>
            <w:pPr>
              <w:pStyle w:val="Compact"/>
              <w:jc w:val="left"/>
            </w:pPr>
            <w:r>
              <w:t xml:space="preserve">region</w:t>
            </w:r>
          </w:p>
        </w:tc>
        <w:tc>
          <w:tcPr/>
          <w:p>
            <w:pPr>
              <w:pStyle w:val="Compact"/>
              <w:jc w:val="left"/>
            </w:pPr>
            <w:r>
              <w:t xml:space="preserve">VARCHAR</w:t>
            </w:r>
          </w:p>
        </w:tc>
      </w:tr>
      <w:tr>
        <w:tc>
          <w:tcPr/>
          <w:p>
            <w:pPr>
              <w:pStyle w:val="Compact"/>
              <w:jc w:val="left"/>
            </w:pPr>
            <w:r>
              <w:t xml:space="preserve">mdl_type</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73"/>
    <w:bookmarkStart w:id="474"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metric_title</w:t>
            </w:r>
          </w:p>
        </w:tc>
        <w:tc>
          <w:tcPr/>
          <w:p>
            <w:pPr>
              <w:pStyle w:val="Compact"/>
              <w:jc w:val="left"/>
            </w:pPr>
            <w:r>
              <w:t xml:space="preserve">VARCHAR</w:t>
            </w:r>
          </w:p>
        </w:tc>
      </w:tr>
      <w:tr>
        <w:tc>
          <w:tcPr/>
          <w:p>
            <w:pPr>
              <w:pStyle w:val="Compact"/>
              <w:jc w:val="left"/>
            </w:pPr>
            <w:r>
              <w:t xml:space="preserve">metric_abbrev</w:t>
            </w:r>
          </w:p>
        </w:tc>
        <w:tc>
          <w:tcPr/>
          <w:p>
            <w:pPr>
              <w:pStyle w:val="Compact"/>
              <w:jc w:val="left"/>
            </w:pPr>
            <w:r>
              <w:t xml:space="preserve">VARCHAR</w:t>
            </w:r>
          </w:p>
        </w:tc>
      </w:tr>
    </w:tbl>
    <w:bookmarkEnd w:id="474"/>
    <w:bookmarkStart w:id="475"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75"/>
    <w:bookmarkStart w:id="476"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value</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76"/>
    <w:bookmarkStart w:id="477"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77"/>
    <w:bookmarkStart w:id="478"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78"/>
    <w:bookmarkStart w:id="479"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zone_tbl</w:t>
            </w:r>
          </w:p>
        </w:tc>
        <w:tc>
          <w:tcPr/>
          <w:p>
            <w:pPr>
              <w:pStyle w:val="Compact"/>
              <w:jc w:val="left"/>
            </w:pPr>
            <w:r>
              <w:t xml:space="preserve">VARCHAR</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rl_code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is_er_spatial</w:t>
            </w:r>
          </w:p>
        </w:tc>
        <w:tc>
          <w:tcPr/>
          <w:p>
            <w:pPr>
              <w:pStyle w:val="Compact"/>
              <w:jc w:val="left"/>
            </w:pPr>
            <w:r>
              <w:t xml:space="preserve">BOOLEAN</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suit_rl</w:t>
            </w:r>
          </w:p>
        </w:tc>
        <w:tc>
          <w:tcPr/>
          <w:p>
            <w:pPr>
              <w:pStyle w:val="Compact"/>
              <w:jc w:val="left"/>
            </w:pPr>
            <w:r>
              <w:t xml:space="preserve">DOUBLE</w:t>
            </w:r>
          </w:p>
        </w:tc>
      </w:tr>
      <w:tr>
        <w:tc>
          <w:tcPr/>
          <w:p>
            <w:pPr>
              <w:pStyle w:val="Compact"/>
              <w:jc w:val="left"/>
            </w:pPr>
            <w:r>
              <w:t xml:space="preserve">suit_rl_area</w:t>
            </w:r>
          </w:p>
        </w:tc>
        <w:tc>
          <w:tcPr/>
          <w:p>
            <w:pPr>
              <w:pStyle w:val="Compact"/>
              <w:jc w:val="left"/>
            </w:pPr>
            <w:r>
              <w:t xml:space="preserve">DOUBLE</w:t>
            </w:r>
          </w:p>
        </w:tc>
      </w:tr>
      <w:tr>
        <w:tc>
          <w:tcPr/>
          <w:p>
            <w:pPr>
              <w:pStyle w:val="Compact"/>
              <w:jc w:val="left"/>
            </w:pPr>
            <w:r>
              <w:t xml:space="preserve">cat_suit_rl_area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79"/>
    <w:bookmarkStart w:id="480"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spatial_res_deg</w:t>
            </w:r>
          </w:p>
        </w:tc>
        <w:tc>
          <w:tcPr/>
          <w:p>
            <w:pPr>
              <w:pStyle w:val="Compact"/>
              <w:jc w:val="left"/>
            </w:pPr>
            <w:r>
              <w:t xml:space="preserve">DOUBLE</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name_display</w:t>
            </w:r>
          </w:p>
        </w:tc>
        <w:tc>
          <w:tcPr/>
          <w:p>
            <w:pPr>
              <w:pStyle w:val="Compact"/>
              <w:jc w:val="left"/>
            </w:pPr>
            <w:r>
              <w:t xml:space="preserve">VARCHAR</w:t>
            </w:r>
          </w:p>
        </w:tc>
      </w:tr>
      <w:tr>
        <w:tc>
          <w:tcPr/>
          <w:p>
            <w:pPr>
              <w:pStyle w:val="Compact"/>
              <w:jc w:val="left"/>
            </w:pPr>
            <w:r>
              <w:t xml:space="preserve">value_info</w:t>
            </w:r>
          </w:p>
        </w:tc>
        <w:tc>
          <w:tcPr/>
          <w:p>
            <w:pPr>
              <w:pStyle w:val="Compact"/>
              <w:jc w:val="left"/>
            </w:pPr>
            <w:r>
              <w:t xml:space="preserve">VARCHAR</w:t>
            </w:r>
          </w:p>
        </w:tc>
      </w:tr>
      <w:tr>
        <w:tc>
          <w:tcPr/>
          <w:p>
            <w:pPr>
              <w:pStyle w:val="Compact"/>
              <w:jc w:val="left"/>
            </w:pPr>
            <w:r>
              <w:t xml:space="preserve">is_mask</w:t>
            </w:r>
          </w:p>
        </w:tc>
        <w:tc>
          <w:tcPr/>
          <w:p>
            <w:pPr>
              <w:pStyle w:val="Compact"/>
              <w:jc w:val="left"/>
            </w:pPr>
            <w:r>
              <w:t xml:space="preserve">BOOLEAN</w:t>
            </w:r>
          </w:p>
        </w:tc>
      </w:tr>
      <w:tr>
        <w:tc>
          <w:tcPr/>
          <w:p>
            <w:pPr>
              <w:pStyle w:val="Compact"/>
              <w:jc w:val="left"/>
            </w:pPr>
            <w:r>
              <w:t xml:space="preserve">sort_order</w:t>
            </w:r>
          </w:p>
        </w:tc>
        <w:tc>
          <w:tcPr/>
          <w:p>
            <w:pPr>
              <w:pStyle w:val="Compact"/>
              <w:jc w:val="left"/>
            </w:pPr>
            <w:r>
              <w:t xml:space="preserve">INTEGER</w:t>
            </w:r>
          </w:p>
        </w:tc>
      </w:tr>
      <w:tr>
        <w:tc>
          <w:tcPr/>
          <w:p>
            <w:pPr>
              <w:pStyle w:val="Compact"/>
              <w:jc w:val="left"/>
            </w:pPr>
            <w:r>
              <w:t xml:space="preserve">global_mask_priority</w:t>
            </w:r>
          </w:p>
        </w:tc>
        <w:tc>
          <w:tcPr/>
          <w:p>
            <w:pPr>
              <w:pStyle w:val="Compact"/>
              <w:jc w:val="left"/>
            </w:pPr>
            <w:r>
              <w:t xml:space="preserve">DOUBLE</w:t>
            </w:r>
          </w:p>
        </w:tc>
      </w:tr>
    </w:tbl>
    <w:bookmarkEnd w:id="480"/>
    <w:bookmarkStart w:id="481"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bl>
    <w:bookmarkEnd w:id="481"/>
    <w:bookmarkStart w:id="482" w:name="listing"/>
    <w:p>
      <w:pPr>
        <w:pStyle w:val="Heading3"/>
      </w:pPr>
      <w:r>
        <w:t xml:space="preserve">15.2.12</w:t>
      </w:r>
      <w:r>
        <w:t xml:space="preserve"> </w:t>
      </w:r>
      <w:r>
        <w:rPr>
          <w:rStyle w:val="VerbatimChar"/>
        </w:rPr>
        <w:t xml:space="preserve">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spp_id</w:t>
            </w:r>
          </w:p>
        </w:tc>
        <w:tc>
          <w:tcPr/>
          <w:p>
            <w:pPr>
              <w:pStyle w:val="Compact"/>
              <w:jc w:val="left"/>
            </w:pPr>
            <w:r>
              <w:t xml:space="preserve">DOUBLE</w:t>
            </w:r>
          </w:p>
        </w:tc>
      </w:tr>
      <w:tr>
        <w:tc>
          <w:tcPr/>
          <w:p>
            <w:pPr>
              <w:pStyle w:val="Compact"/>
              <w:jc w:val="left"/>
            </w:pPr>
            <w:r>
              <w:t xml:space="preserve">worms_id</w:t>
            </w:r>
          </w:p>
        </w:tc>
        <w:tc>
          <w:tcPr/>
          <w:p>
            <w:pPr>
              <w:pStyle w:val="Compact"/>
              <w:jc w:val="left"/>
            </w:pPr>
            <w:r>
              <w:t xml:space="preserve">DOUBLE</w:t>
            </w:r>
          </w:p>
        </w:tc>
      </w:tr>
      <w:tr>
        <w:tc>
          <w:tcPr/>
          <w:p>
            <w:pPr>
              <w:pStyle w:val="Compact"/>
              <w:jc w:val="left"/>
            </w:pPr>
            <w:r>
              <w:t xml:space="preserve">botw_id</w:t>
            </w:r>
          </w:p>
        </w:tc>
        <w:tc>
          <w:tcPr/>
          <w:p>
            <w:pPr>
              <w:pStyle w:val="Compact"/>
              <w:jc w:val="left"/>
            </w:pPr>
            <w:r>
              <w:t xml:space="preserve">DOUBLE</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common_name</w:t>
            </w:r>
          </w:p>
        </w:tc>
        <w:tc>
          <w:tcPr/>
          <w:p>
            <w:pPr>
              <w:pStyle w:val="Compact"/>
              <w:jc w:val="left"/>
            </w:pPr>
            <w:r>
              <w:t xml:space="preserve">VARCHAR</w:t>
            </w:r>
          </w:p>
        </w:tc>
      </w:tr>
    </w:tbl>
    <w:bookmarkEnd w:id="482"/>
    <w:bookmarkStart w:id="483" w:name="native_asset"/>
    <w:p>
      <w:pPr>
        <w:pStyle w:val="Heading3"/>
      </w:pPr>
      <w:r>
        <w:t xml:space="preserve">15.2.13</w:t>
      </w:r>
      <w:r>
        <w:t xml:space="preserve"> </w:t>
      </w:r>
      <w:r>
        <w:rPr>
          <w:rStyle w:val="VerbatimChar"/>
        </w:rPr>
        <w:t xml:space="preserve">native_asset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ms_merge_key</w:t>
            </w:r>
          </w:p>
        </w:tc>
        <w:tc>
          <w:tcPr/>
          <w:p>
            <w:pPr>
              <w:pStyle w:val="Compact"/>
              <w:jc w:val="left"/>
            </w:pPr>
            <w:r>
              <w:t xml:space="preserve">VARCHAR</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asset_type</w:t>
            </w:r>
          </w:p>
        </w:tc>
        <w:tc>
          <w:tcPr/>
          <w:p>
            <w:pPr>
              <w:pStyle w:val="Compact"/>
              <w:jc w:val="left"/>
            </w:pPr>
            <w:r>
              <w:t xml:space="preserve">VARCHAR</w:t>
            </w:r>
          </w:p>
        </w:tc>
      </w:tr>
      <w:tr>
        <w:tc>
          <w:tcPr/>
          <w:p>
            <w:pPr>
              <w:pStyle w:val="Compact"/>
              <w:jc w:val="left"/>
            </w:pPr>
            <w:r>
              <w:t xml:space="preserve">representation</w:t>
            </w:r>
          </w:p>
        </w:tc>
        <w:tc>
          <w:tcPr/>
          <w:p>
            <w:pPr>
              <w:pStyle w:val="Compact"/>
              <w:jc w:val="left"/>
            </w:pPr>
            <w:r>
              <w:t xml:space="preserve">VARCHAR</w:t>
            </w:r>
          </w:p>
        </w:tc>
      </w:tr>
      <w:tr>
        <w:tc>
          <w:tcPr/>
          <w:p>
            <w:pPr>
              <w:pStyle w:val="Compact"/>
              <w:jc w:val="left"/>
            </w:pPr>
            <w:r>
              <w:t xml:space="preserve">asset_url</w:t>
            </w:r>
          </w:p>
        </w:tc>
        <w:tc>
          <w:tcPr/>
          <w:p>
            <w:pPr>
              <w:pStyle w:val="Compact"/>
              <w:jc w:val="left"/>
            </w:pPr>
            <w:r>
              <w:t xml:space="preserve">VARCHAR</w:t>
            </w:r>
          </w:p>
        </w:tc>
      </w:tr>
      <w:tr>
        <w:tc>
          <w:tcPr/>
          <w:p>
            <w:pPr>
              <w:pStyle w:val="Compact"/>
              <w:jc w:val="left"/>
            </w:pPr>
            <w:r>
              <w:t xml:space="preserve">rescale_min</w:t>
            </w:r>
          </w:p>
        </w:tc>
        <w:tc>
          <w:tcPr/>
          <w:p>
            <w:pPr>
              <w:pStyle w:val="Compact"/>
              <w:jc w:val="left"/>
            </w:pPr>
            <w:r>
              <w:t xml:space="preserve">INTEGER</w:t>
            </w:r>
          </w:p>
        </w:tc>
      </w:tr>
      <w:tr>
        <w:tc>
          <w:tcPr/>
          <w:p>
            <w:pPr>
              <w:pStyle w:val="Compact"/>
              <w:jc w:val="left"/>
            </w:pPr>
            <w:r>
              <w:t xml:space="preserve">rescale_max</w:t>
            </w:r>
          </w:p>
        </w:tc>
        <w:tc>
          <w:tcPr/>
          <w:p>
            <w:pPr>
              <w:pStyle w:val="Compact"/>
              <w:jc w:val="left"/>
            </w:pPr>
            <w:r>
              <w:t xml:space="preserve">INTEGER</w:t>
            </w:r>
          </w:p>
        </w:tc>
      </w:tr>
      <w:tr>
        <w:tc>
          <w:tcPr/>
          <w:p>
            <w:pPr>
              <w:pStyle w:val="Compact"/>
              <w:jc w:val="left"/>
            </w:pPr>
            <w:r>
              <w:t xml:space="preserve">colormap</w:t>
            </w:r>
          </w:p>
        </w:tc>
        <w:tc>
          <w:tcPr/>
          <w:p>
            <w:pPr>
              <w:pStyle w:val="Compact"/>
              <w:jc w:val="left"/>
            </w:pPr>
            <w:r>
              <w:t xml:space="preserve">VARCHAR</w:t>
            </w:r>
          </w:p>
        </w:tc>
      </w:tr>
      <w:tr>
        <w:tc>
          <w:tcPr/>
          <w:p>
            <w:pPr>
              <w:pStyle w:val="Compact"/>
              <w:jc w:val="left"/>
            </w:pPr>
            <w:r>
              <w:t xml:space="preserve">xmin</w:t>
            </w:r>
          </w:p>
        </w:tc>
        <w:tc>
          <w:tcPr/>
          <w:p>
            <w:pPr>
              <w:pStyle w:val="Compact"/>
              <w:jc w:val="left"/>
            </w:pPr>
            <w:r>
              <w:t xml:space="preserve">DOUBLE</w:t>
            </w:r>
          </w:p>
        </w:tc>
      </w:tr>
      <w:tr>
        <w:tc>
          <w:tcPr/>
          <w:p>
            <w:pPr>
              <w:pStyle w:val="Compact"/>
              <w:jc w:val="left"/>
            </w:pPr>
            <w:r>
              <w:t xml:space="preserve">xmax</w:t>
            </w:r>
          </w:p>
        </w:tc>
        <w:tc>
          <w:tcPr/>
          <w:p>
            <w:pPr>
              <w:pStyle w:val="Compact"/>
              <w:jc w:val="left"/>
            </w:pPr>
            <w:r>
              <w:t xml:space="preserve">DOUBLE</w:t>
            </w:r>
          </w:p>
        </w:tc>
      </w:tr>
      <w:tr>
        <w:tc>
          <w:tcPr/>
          <w:p>
            <w:pPr>
              <w:pStyle w:val="Compact"/>
              <w:jc w:val="left"/>
            </w:pPr>
            <w:r>
              <w:t xml:space="preserve">ymin</w:t>
            </w:r>
          </w:p>
        </w:tc>
        <w:tc>
          <w:tcPr/>
          <w:p>
            <w:pPr>
              <w:pStyle w:val="Compact"/>
              <w:jc w:val="left"/>
            </w:pPr>
            <w:r>
              <w:t xml:space="preserve">DOUBLE</w:t>
            </w:r>
          </w:p>
        </w:tc>
      </w:tr>
      <w:tr>
        <w:tc>
          <w:tcPr/>
          <w:p>
            <w:pPr>
              <w:pStyle w:val="Compact"/>
              <w:jc w:val="left"/>
            </w:pPr>
            <w:r>
              <w:t xml:space="preserve">ymax</w:t>
            </w:r>
          </w:p>
        </w:tc>
        <w:tc>
          <w:tcPr/>
          <w:p>
            <w:pPr>
              <w:pStyle w:val="Compact"/>
              <w:jc w:val="left"/>
            </w:pPr>
            <w:r>
              <w:t xml:space="preserve">DOUBLE</w:t>
            </w:r>
          </w:p>
        </w:tc>
      </w:tr>
      <w:tr>
        <w:tc>
          <w:tcPr/>
          <w:p>
            <w:pPr>
              <w:pStyle w:val="Compact"/>
              <w:jc w:val="left"/>
            </w:pPr>
            <w:r>
              <w:t xml:space="preserve">source_layer</w:t>
            </w:r>
          </w:p>
        </w:tc>
        <w:tc>
          <w:tcPr/>
          <w:p>
            <w:pPr>
              <w:pStyle w:val="Compact"/>
              <w:jc w:val="left"/>
            </w:pPr>
            <w:r>
              <w:t xml:space="preserve">VARCHAR</w:t>
            </w:r>
          </w:p>
        </w:tc>
      </w:tr>
      <w:tr>
        <w:tc>
          <w:tcPr/>
          <w:p>
            <w:pPr>
              <w:pStyle w:val="Compact"/>
              <w:jc w:val="left"/>
            </w:pPr>
            <w:r>
              <w:t xml:space="preserve">content_hash</w:t>
            </w:r>
          </w:p>
        </w:tc>
        <w:tc>
          <w:tcPr/>
          <w:p>
            <w:pPr>
              <w:pStyle w:val="Compact"/>
              <w:jc w:val="left"/>
            </w:pPr>
            <w:r>
              <w:t xml:space="preserve">VARCHAR</w:t>
            </w:r>
          </w:p>
        </w:tc>
      </w:tr>
      <w:tr>
        <w:tc>
          <w:tcPr/>
          <w:p>
            <w:pPr>
              <w:pStyle w:val="Compact"/>
              <w:jc w:val="left"/>
            </w:pPr>
            <w:r>
              <w:t xml:space="preserve">source_key</w:t>
            </w:r>
          </w:p>
        </w:tc>
        <w:tc>
          <w:tcPr/>
          <w:p>
            <w:pPr>
              <w:pStyle w:val="Compact"/>
              <w:jc w:val="left"/>
            </w:pPr>
            <w:r>
              <w:t xml:space="preserve">VARCHAR</w:t>
            </w:r>
          </w:p>
        </w:tc>
      </w:tr>
    </w:tbl>
    <w:bookmarkEnd w:id="483"/>
    <w:bookmarkEnd w:id="484"/>
    <w:bookmarkStart w:id="495"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Applications/quarto/share/formats/docx/note.png" id="48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91"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8"/>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8"/>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8"/>
        </w:numPr>
      </w:pPr>
      <w:r>
        <w:t xml:space="preserve">for a native vector range, the normalized geometry and the attributes that reach the tile;</w:t>
      </w:r>
    </w:p>
    <w:p>
      <w:pPr>
        <w:pStyle w:val="Compact"/>
        <w:numPr>
          <w:ilvl w:val="0"/>
          <w:numId w:val="1048"/>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90" w:name="fig-asset-store"/>
          <w:p>
            <w:pPr>
              <w:jc w:val="center"/>
            </w:pPr>
            <w:r>
              <w:drawing>
                <wp:inline>
                  <wp:extent cx="4517136" cy="3639312"/>
                  <wp:effectExtent b="0" l="0" r="0" t="0"/>
                  <wp:docPr descr="" title="" id="488" name="Picture"/>
                  <a:graphic>
                    <a:graphicData uri="http://schemas.openxmlformats.org/drawingml/2006/picture">
                      <pic:pic>
                        <pic:nvPicPr>
                          <pic:cNvPr descr="db_files/figure-docx/mermaid-figure-2.png" id="489" name="Picture"/>
                          <pic:cNvPicPr>
                            <a:picLocks noChangeArrowheads="1" noChangeAspect="1"/>
                          </pic:cNvPicPr>
                        </pic:nvPicPr>
                        <pic:blipFill>
                          <a:blip r:embed="rId487"/>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90"/>
        </w:tc>
      </w:tr>
    </w:tbl>
    <w:bookmarkEnd w:id="491"/>
    <w:bookmarkStart w:id="492" w:name="the-catalog-and-the-pointer-table"/>
    <w:p>
      <w:pPr>
        <w:pStyle w:val="Heading3"/>
      </w:pPr>
      <w:r>
        <w:t xml:space="preserve">15.3.2 The catalog and the pointer table</w:t>
      </w:r>
    </w:p>
    <w:p>
      <w:pPr>
        <w:pStyle w:val="Compact"/>
        <w:numPr>
          <w:ilvl w:val="0"/>
          <w:numId w:val="1049"/>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9"/>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9"/>
        </w:numPr>
      </w:pPr>
      <w:r>
        <w:t xml:space="preserve">An object no release points at is garbage. Nothing is deleted except through a check that joins the catalog against every release’s pointer tables.</w:t>
      </w:r>
    </w:p>
    <w:bookmarkEnd w:id="492"/>
    <w:bookmarkStart w:id="493"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50"/>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50"/>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50"/>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93"/>
    <w:bookmarkStart w:id="494"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94"/>
    <w:bookmarkEnd w:id="495"/>
    <w:bookmarkStart w:id="496" w:name="how-the-tables-feed-the-serving-tier"/>
    <w:p>
      <w:pPr>
        <w:pStyle w:val="Heading2"/>
      </w:pPr>
      <w:r>
        <w:t xml:space="preserve">15.4 How the tables feed the serving tier</w:t>
      </w:r>
    </w:p>
    <w:p>
      <w:pPr>
        <w:pStyle w:val="Compact"/>
        <w:numPr>
          <w:ilvl w:val="0"/>
          <w:numId w:val="1051"/>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51"/>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51"/>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51"/>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96"/>
    <w:bookmarkEnd w:id="497"/>
    <w:bookmarkStart w:id="506" w:name="sec-workflows"/>
    <w:p>
      <w:pPr>
        <w:pStyle w:val="Heading1"/>
      </w:pPr>
      <w:r>
        <w:t xml:space="preserve">16. Workflows</w:t>
      </w:r>
    </w:p>
    <w:p>
      <w:pPr>
        <w:pStyle w:val="FirstParagraph"/>
      </w:pPr>
      <w:r>
        <w:t xml:space="preserve">Workflows are</w:t>
      </w:r>
      <w:r>
        <w:t xml:space="preserve"> </w:t>
      </w:r>
      <w:hyperlink r:id="rId498">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52"/>
        </w:numPr>
      </w:pPr>
      <w:hyperlink r:id="rId346">
        <w:r>
          <w:rPr>
            <w:rStyle w:val="Hyperlink"/>
          </w:rPr>
          <w:t xml:space="preserve">marinesensitivity.org/workflows</w:t>
        </w:r>
      </w:hyperlink>
      <w:r>
        <w:t xml:space="preserve"> </w:t>
      </w:r>
      <w:r>
        <w:t xml:space="preserve">— every notebook, rendered, with the current dependency graph</w:t>
      </w:r>
    </w:p>
    <w:p>
      <w:pPr>
        <w:pStyle w:val="Compact"/>
        <w:numPr>
          <w:ilvl w:val="0"/>
          <w:numId w:val="1052"/>
        </w:numPr>
      </w:pPr>
      <w:hyperlink r:id="rId405">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500"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99">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500"/>
    <w:bookmarkStart w:id="501"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mdl_seq</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501"/>
    <w:bookmarkStart w:id="502"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502"/>
    <w:bookmarkStart w:id="503"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503"/>
    <w:bookmarkStart w:id="504"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504"/>
    <w:bookmarkStart w:id="505"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505"/>
    <w:bookmarkEnd w:id="506"/>
    <w:bookmarkStart w:id="529" w:name="sec-apis"/>
    <w:p>
      <w:pPr>
        <w:pStyle w:val="Heading1"/>
      </w:pPr>
      <w:r>
        <w:t xml:space="preserve">17. APIs</w:t>
      </w:r>
    </w:p>
    <w:p>
      <w:pPr>
        <w:pStyle w:val="FirstParagraph"/>
      </w:pPr>
      <w:r>
        <w:t xml:space="preserve">Three services sit in front of the published data:</w:t>
      </w:r>
    </w:p>
    <w:p>
      <w:pPr>
        <w:pStyle w:val="Compact"/>
        <w:numPr>
          <w:ilvl w:val="0"/>
          <w:numId w:val="1053"/>
        </w:numPr>
      </w:pPr>
      <w:hyperlink r:id="rId448">
        <w:r>
          <w:rPr>
            <w:rStyle w:val="Hyperlink"/>
            <w:b/>
            <w:bCs/>
          </w:rPr>
          <w:t xml:space="preserve">titiler.marinesensitivity.org</w:t>
        </w:r>
      </w:hyperlink>
      <w:r>
        <w:t xml:space="preserve"> </w:t>
      </w:r>
      <w:r>
        <w:t xml:space="preserve">—</w:t>
      </w:r>
      <w:r>
        <w:t xml:space="preserve"> </w:t>
      </w:r>
      <w:hyperlink r:id="rId358">
        <w:r>
          <w:rPr>
            <w:rStyle w:val="Hyperlink"/>
          </w:rPr>
          <w:t xml:space="preserve">TiTiler</w:t>
        </w:r>
      </w:hyperlink>
      <w:r>
        <w:t xml:space="preserve">, serving the pre-rendered Cloud-Optimized GeoTIFFs that every map layer now draws.</w:t>
      </w:r>
    </w:p>
    <w:p>
      <w:pPr>
        <w:pStyle w:val="Compact"/>
        <w:numPr>
          <w:ilvl w:val="0"/>
          <w:numId w:val="1053"/>
        </w:numPr>
      </w:pPr>
      <w:hyperlink r:id="rId449">
        <w:r>
          <w:rPr>
            <w:rStyle w:val="Hyperlink"/>
            <w:b/>
            <w:bCs/>
          </w:rPr>
          <w:t xml:space="preserve">api.marinesensitivity.org</w:t>
        </w:r>
      </w:hyperlink>
      <w:r>
        <w:t xml:space="preserve"> </w:t>
      </w:r>
      <w:r>
        <w:t xml:space="preserve">— a custom R</w:t>
      </w:r>
      <w:r>
        <w:t xml:space="preserve"> </w:t>
      </w:r>
      <w:hyperlink r:id="rId507">
        <w:r>
          <w:rPr>
            <w:rStyle w:val="VerbatimChar"/>
          </w:rPr>
          <w:t xml:space="preserve">plumber</w:t>
        </w:r>
      </w:hyperlink>
      <w:r>
        <w:t xml:space="preserve"> </w:t>
      </w:r>
      <w:r>
        <w:t xml:space="preserve">API for programmatic (non-tile) data access.</w:t>
      </w:r>
    </w:p>
    <w:p>
      <w:pPr>
        <w:pStyle w:val="Compact"/>
        <w:numPr>
          <w:ilvl w:val="0"/>
          <w:numId w:val="1053"/>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508"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508"/>
    <w:bookmarkStart w:id="520"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Applications/quarto/share/formats/docx/important.png" id="51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511">
        <w:r>
          <w:rPr>
            <w:rStyle w:val="Hyperlink"/>
          </w:rPr>
          <w:t xml:space="preserve">server/titiler/factory.py</w:t>
        </w:r>
      </w:hyperlink>
      <w:r>
        <w:t xml:space="preserve">.</w:t>
      </w:r>
    </w:p>
    <w:bookmarkStart w:id="514"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512">
        <w:r>
          <w:rPr>
            <w:rStyle w:val="VerbatimChar"/>
          </w:rPr>
          <w:t xml:space="preserve">msens::cell_tile_url()</w:t>
        </w:r>
      </w:hyperlink>
      <w:r>
        <w:t xml:space="preserve"> </w:t>
      </w:r>
      <w:r>
        <w:t xml:space="preserve">with stats from</w:t>
      </w:r>
      <w:r>
        <w:t xml:space="preserve"> </w:t>
      </w:r>
      <w:hyperlink r:id="rId513">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514"/>
    <w:bookmarkStart w:id="516" w:name="caching-v7-factory-only"/>
    <w:p>
      <w:pPr>
        <w:pStyle w:val="Heading3"/>
      </w:pPr>
      <w:r>
        <w:t xml:space="preserve">17.2.2 Caching (v7 factory only)</w:t>
      </w:r>
    </w:p>
    <w:p>
      <w:pPr>
        <w:pStyle w:val="FirstParagraph"/>
      </w:pPr>
      <w:hyperlink r:id="rId515">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54"/>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54"/>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54"/>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54"/>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retired Shiny apps bumped the</w:t>
      </w:r>
      <w:r>
        <w:t xml:space="preserve"> </w:t>
      </w:r>
      <w:r>
        <w:rPr>
          <w:rStyle w:val="VerbatimChar"/>
        </w:rPr>
        <w:t xml:space="preserve">mtime</w:t>
      </w:r>
      <w:r>
        <w:t xml:space="preserve"> </w:t>
      </w:r>
      <w:r>
        <w:t xml:space="preserve">query parameter to invalidate all cached tiles at once.</w:t>
      </w:r>
    </w:p>
    <w:bookmarkEnd w:id="516"/>
    <w:bookmarkStart w:id="519"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7" name="Picture"/>
                  <a:graphic>
                    <a:graphicData uri="http://schemas.openxmlformats.org/drawingml/2006/picture">
                      <pic:pic>
                        <pic:nvPicPr>
                          <pic:cNvPr descr="/Applications/quarto/share/formats/docx/warning.png" id="51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519"/>
    <w:bookmarkEnd w:id="520"/>
    <w:bookmarkStart w:id="525" w:name="custom-plumber-api"/>
    <w:p>
      <w:pPr>
        <w:pStyle w:val="Heading2"/>
      </w:pPr>
      <w:r>
        <w:t xml:space="preserve">17.3 Custom plumber API</w:t>
      </w:r>
    </w:p>
    <w:p>
      <w:pPr>
        <w:pStyle w:val="FirstParagraph"/>
      </w:pPr>
      <w:r>
        <w:t xml:space="preserve">The plumber API at</w:t>
      </w:r>
      <w:r>
        <w:t xml:space="preserve"> </w:t>
      </w:r>
      <w:hyperlink r:id="rId449">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521">
        <w:r>
          <w:rPr>
            <w:rStyle w:val="Hyperlink"/>
          </w:rPr>
          <w:t xml:space="preserve">MarineSensitivity/api</w:t>
        </w:r>
      </w:hyperlink>
      <w:r>
        <w:t xml:space="preserve">.</w:t>
      </w:r>
    </w:p>
    <w:p>
      <w:pPr>
        <w:pStyle w:val="BodyText"/>
      </w:pPr>
      <w:r>
        <w:drawing>
          <wp:inline>
            <wp:extent cx="2857500" cy="2046839"/>
            <wp:effectExtent b="0" l="0" r="0" t="0"/>
            <wp:docPr descr="" title="" id="523" name="Picture"/>
            <a:graphic>
              <a:graphicData uri="http://schemas.openxmlformats.org/drawingml/2006/picture">
                <pic:pic>
                  <pic:nvPicPr>
                    <pic:cNvPr descr="figures/apis/api.marinesensitivity.org.png" id="524" name="Picture"/>
                    <pic:cNvPicPr>
                      <a:picLocks noChangeArrowheads="1" noChangeAspect="1"/>
                    </pic:cNvPicPr>
                  </pic:nvPicPr>
                  <pic:blipFill>
                    <a:blip r:embed="rId522"/>
                    <a:stretch>
                      <a:fillRect/>
                    </a:stretch>
                  </pic:blipFill>
                  <pic:spPr bwMode="auto">
                    <a:xfrm>
                      <a:off x="0" y="0"/>
                      <a:ext cx="2857500" cy="2046839"/>
                    </a:xfrm>
                    <a:prstGeom prst="rect">
                      <a:avLst/>
                    </a:prstGeom>
                    <a:noFill/>
                    <a:ln w="9525">
                      <a:noFill/>
                      <a:headEnd/>
                      <a:tailEnd/>
                    </a:ln>
                  </pic:spPr>
                </pic:pic>
              </a:graphicData>
            </a:graphic>
          </wp:inline>
        </w:drawing>
      </w:r>
    </w:p>
    <w:bookmarkEnd w:id="525"/>
    <w:bookmarkStart w:id="527" w:name="stac"/>
    <w:p>
      <w:pPr>
        <w:pStyle w:val="Heading2"/>
      </w:pPr>
      <w:r>
        <w:t xml:space="preserve">17.4 STAC</w:t>
      </w:r>
    </w:p>
    <w:p>
      <w:pPr>
        <w:pStyle w:val="FirstParagraph"/>
      </w:pPr>
      <w:r>
        <w:t xml:space="preserve">Each release publishes a</w:t>
      </w:r>
      <w:r>
        <w:t xml:space="preserve"> </w:t>
      </w:r>
      <w:hyperlink r:id="rId526">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527"/>
    <w:bookmarkStart w:id="528"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55"/>
        </w:numPr>
      </w:pPr>
      <w:r>
        <w:rPr>
          <w:rStyle w:val="VerbatimChar"/>
        </w:rPr>
        <w:t xml:space="preserve">swagger.marinesensitivity.org</w:t>
      </w:r>
      <w:r>
        <w:t xml:space="preserve"> </w:t>
      </w:r>
      <w:r>
        <w:t xml:space="preserve">— PostgREST over PostgreSQL.</w:t>
      </w:r>
    </w:p>
    <w:p>
      <w:pPr>
        <w:pStyle w:val="Compact"/>
        <w:numPr>
          <w:ilvl w:val="0"/>
          <w:numId w:val="1055"/>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528"/>
    <w:bookmarkEnd w:id="529"/>
    <w:bookmarkStart w:id="531"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56"/>
        </w:numPr>
      </w:pPr>
      <w:hyperlink r:id="rId401">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retired Shiny apps consumed</w:t>
      </w:r>
      <w:r>
        <w:t xml:space="preserve"> </w:t>
      </w:r>
      <w:r>
        <w:rPr>
          <w:rStyle w:val="VerbatimChar"/>
        </w:rPr>
        <w:t xml:space="preserve">msens::*</w:t>
      </w:r>
      <w:r>
        <w:t xml:space="preserve"> </w:t>
      </w:r>
      <w:r>
        <w:t xml:space="preserve">helpers exclusively — their code never talked to the tile factory or PMTiles URL templates directly. The Atlas (</w:t>
      </w:r>
      <w:hyperlink w:anchor="sec-apps">
        <w:r>
          <w:rPr>
            <w:rStyle w:val="Hyperlink"/>
          </w:rPr>
          <w:t xml:space="preserve">Chapter 19</w:t>
        </w:r>
      </w:hyperlink>
      <w:r>
        <w:t xml:space="preserve">) is a JavaScript app and reads the release manifest itself; its in-browser score and species queries are checked against msens by the Atlas’s parity tests.</w:t>
      </w:r>
    </w:p>
    <w:bookmarkStart w:id="530" w:name="map-tile-helpers-as-of-0.3.4"/>
    <w:p>
      <w:pPr>
        <w:pStyle w:val="Heading2"/>
      </w:pPr>
      <w:r>
        <w:t xml:space="preserve">18.1 Map-tile helpers (as of 0.3.4)</w:t>
      </w:r>
    </w:p>
    <w:p>
      <w:pPr>
        <w:pStyle w:val="FirstParagraph"/>
      </w:pPr>
      <w:r>
        <w:t xml:space="preserve">The following helpers bridged the retired Shiny apps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retired Shiny apps added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530"/>
    <w:bookmarkEnd w:id="531"/>
    <w:bookmarkStart w:id="540" w:name="sec-apps"/>
    <w:p>
      <w:pPr>
        <w:pStyle w:val="Heading1"/>
      </w:pPr>
      <w:r>
        <w:t xml:space="preserve">19. Apps</w:t>
      </w:r>
    </w:p>
    <w:p>
      <w:pPr>
        <w:pStyle w:val="FirstParagraph"/>
      </w:pPr>
      <w:r>
        <w:t xml:space="preserve">The MST has one interactive application, the</w:t>
      </w:r>
      <w:r>
        <w:t xml:space="preserve"> </w:t>
      </w:r>
      <w:r>
        <w:rPr>
          <w:b/>
          <w:bCs/>
        </w:rPr>
        <w:t xml:space="preserve">Atlas</w:t>
      </w:r>
      <w:r>
        <w:t xml:space="preserve"> </w:t>
      </w:r>
      <w:r>
        <w:t xml:space="preserve">(</w:t>
      </w:r>
      <w:hyperlink r:id="rId24">
        <w:r>
          <w:rPr>
            <w:rStyle w:val="Hyperlink"/>
          </w:rPr>
          <w:t xml:space="preserve">preview.marinesensitivity.org/v7c/atlas/</w:t>
        </w:r>
      </w:hyperlink>
      <w:r>
        <w:t xml:space="preserve">). It replaces the two Shiny apps (Scores and Species) that came before it; those are retired and described, for the record, under</w:t>
      </w:r>
      <w:r>
        <w:t xml:space="preserve"> </w:t>
      </w:r>
      <w:hyperlink w:anchor="sec-apps-retired">
        <w:r>
          <w:rPr>
            <w:rStyle w:val="Hyperlink"/>
          </w:rPr>
          <w:t xml:space="preserve">Section 19.2</w:t>
        </w:r>
      </w:hyperlink>
      <w:r>
        <w:t xml:space="preserve"> </w:t>
      </w:r>
      <w:r>
        <w:t xml:space="preserve">below and in the Legacy appendix.</w:t>
      </w:r>
    </w:p>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2" name="Picture"/>
                  <a:graphic>
                    <a:graphicData uri="http://schemas.openxmlformats.org/drawingml/2006/picture">
                      <pic:pic>
                        <pic:nvPicPr>
                          <pic:cNvPr descr="/Applications/quarto/share/formats/docx/note.png" id="53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The Atlas renders</w:t>
            </w:r>
            <w:r>
              <w:t xml:space="preserve"> </w:t>
            </w:r>
            <w:r>
              <w:rPr>
                <w:b/>
                <w:bCs/>
              </w:rPr>
              <w:t xml:space="preserve">any published release</w:t>
            </w:r>
            <w:r>
              <w:t xml:space="preserve"> </w:t>
            </w:r>
            <w:r>
              <w:t xml:space="preserve">rather than shipping a per-version fork. The version is data, settled by the release’s published manifest, so a fix reaches every version at once. On the public host the release is a query parameter (</w:t>
            </w:r>
            <w:r>
              <w:rPr>
                <w:rStyle w:val="VerbatimChar"/>
              </w:rPr>
              <w:t xml:space="preserve">?ver=v3</w:t>
            </w:r>
            <w:r>
              <w:t xml:space="preserve">); a restricted pre-release is reached only through the signed-in preview host, where the version is the URL path (</w:t>
            </w:r>
            <w:r>
              <w:rPr>
                <w:rStyle w:val="VerbatimChar"/>
              </w:rPr>
              <w:t xml:space="preserve">/v9/atlas/</w:t>
            </w:r>
            <w:r>
              <w:t xml:space="preserve">). The release picker in the app’s top bar moves between them. See</w:t>
            </w:r>
            <w:r>
              <w:t xml:space="preserve"> </w:t>
            </w:r>
            <w:hyperlink w:anchor="sec-app-atlas">
              <w:r>
                <w:rPr>
                  <w:rStyle w:val="Hyperlink"/>
                </w:rPr>
                <w:t xml:space="preserve">Chapter 21</w:t>
              </w:r>
            </w:hyperlink>
            <w:r>
              <w:t xml:space="preserve">.</w:t>
            </w:r>
          </w:p>
          <w:p/>
        </w:tc>
      </w:tr>
    </w:tbl>
    <w:bookmarkStart w:id="536" w:name="sec-apps-atlas"/>
    <w:p>
      <w:pPr>
        <w:pStyle w:val="Heading2"/>
      </w:pPr>
      <w:r>
        <w:t xml:space="preserve">19.1 The Atlas</w:t>
      </w:r>
    </w:p>
    <w:p>
      <w:pPr>
        <w:pStyle w:val="FirstParagraph"/>
      </w:pPr>
      <w:r>
        <w:t xml:space="preserve">The</w:t>
      </w:r>
      <w:r>
        <w:t xml:space="preserve"> </w:t>
      </w:r>
      <w:hyperlink r:id="rId24">
        <w:r>
          <w:rPr>
            <w:rStyle w:val="Hyperlink"/>
          </w:rPr>
          <w:t xml:space="preserve">Atlas</w:t>
        </w:r>
      </w:hyperlink>
      <w:r>
        <w:t xml:space="preserve"> </w:t>
      </w:r>
      <w:r>
        <w:t xml:space="preserve">is a static web app (Svelte and MapLibre) with</w:t>
      </w:r>
      <w:r>
        <w:t xml:space="preserve"> </w:t>
      </w:r>
      <w:r>
        <w:rPr>
          <w:b/>
          <w:bCs/>
        </w:rPr>
        <w:t xml:space="preserve">no application server of its own</w:t>
      </w:r>
      <w:r>
        <w:t xml:space="preserve">: the Scores lens’s cell and area clicks, flowers, tables and reports are computed in your browser by a DuckDB-WASM instance that queries the release’s published Parquet directly over HTTPS. What a browser cannot compute itself comes from services that are not Atlas-specific: score and species map tiles from the project’s titiler (which range-reads the release’s Cloud-Optimized GeoTIFFs, and also answers a species click and the legend’s histogram), zone outlines and species range inputs from static PMTiles archives, and the basemap from CARTO.</w:t>
      </w:r>
    </w:p>
    <w:p>
      <w:pPr>
        <w:pStyle w:val="BodyText"/>
      </w:pPr>
      <w:r>
        <w:t xml:space="preserve">It has two</w:t>
      </w:r>
      <w:r>
        <w:t xml:space="preserve"> </w:t>
      </w:r>
      <w:r>
        <w:rPr>
          <w:b/>
          <w:bCs/>
        </w:rPr>
        <w:t xml:space="preserve">lenses</w:t>
      </w:r>
      <w:r>
        <w:t xml:space="preserve">, switched from the top bar, and four tools on its rail, the same in both lenses — Layers, Details, Table and Report:</w:t>
      </w:r>
    </w:p>
    <w:p>
      <w:pPr>
        <w:pStyle w:val="Compact"/>
        <w:numPr>
          <w:ilvl w:val="0"/>
          <w:numId w:val="1057"/>
        </w:numPr>
      </w:pPr>
      <w:hyperlink r:id="rId21">
        <w:r>
          <w:rPr>
            <w:rStyle w:val="Hyperlink"/>
            <w:b/>
            <w:bCs/>
          </w:rPr>
          <w:t xml:space="preserve">Scores lens</w:t>
        </w:r>
      </w:hyperlink>
      <w:r>
        <w:t xml:space="preserve"> </w:t>
      </w:r>
      <w:r>
        <w:t xml:space="preserve">— composite and per-category sensitivity, mapped as the 0.05° cell grid or aggregated to BOEM Program Areas (Planning Areas for v1), with a flower plot and a component table (in Details) and a species table for the selected cell or area.</w:t>
      </w:r>
    </w:p>
    <w:p>
      <w:pPr>
        <w:pStyle w:val="Compact"/>
        <w:numPr>
          <w:ilvl w:val="0"/>
          <w:numId w:val="1057"/>
        </w:numPr>
      </w:pPr>
      <w:hyperlink r:id="rId22">
        <w:r>
          <w:rPr>
            <w:rStyle w:val="Hyperlink"/>
            <w:b/>
            <w:bCs/>
          </w:rPr>
          <w:t xml:space="preserve">Species lens</w:t>
        </w:r>
      </w:hyperlink>
      <w:r>
        <w:t xml:space="preserve"> </w:t>
      </w:r>
      <w:r>
        <w:t xml:space="preserve">— individual and merged distribution models with their contributing input datasets, regulatory status (ESA listing, IUCN Red List category, MMPA and MBTA protection) in the Details tool. Search by common or scientific name.</w:t>
      </w:r>
    </w:p>
    <w:p>
      <w:pPr>
        <w:pStyle w:val="Compact"/>
        <w:numPr>
          <w:ilvl w:val="0"/>
          <w:numId w:val="1057"/>
        </w:numPr>
      </w:pPr>
      <w:r>
        <w:rPr>
          <w:b/>
          <w:bCs/>
        </w:rPr>
        <w:t xml:space="preserve">Places</w:t>
      </w:r>
      <w:r>
        <w:t xml:space="preserve"> </w:t>
      </w:r>
      <w:r>
        <w:t xml:space="preserve">(the first part of the Report tool) — outline any area of interest (pick a Program Area or a gazetteer place, draw a shape, type coordinates, or upload a file) and get the same scores and species results, shareable entirely through the URL.</w:t>
      </w:r>
    </w:p>
    <w:p>
      <w:pPr>
        <w:pStyle w:val="Compact"/>
        <w:numPr>
          <w:ilvl w:val="0"/>
          <w:numId w:val="1057"/>
        </w:numPr>
      </w:pPr>
      <w:r>
        <w:rPr>
          <w:b/>
          <w:bCs/>
        </w:rPr>
        <w:t xml:space="preserve">Report</w:t>
      </w:r>
      <w:r>
        <w:t xml:space="preserve"> </w:t>
      </w:r>
      <w:r>
        <w:t xml:space="preserve">— a printable, downloadable document (print, HTML, ZIP or Word) for any place.</w:t>
      </w:r>
    </w:p>
    <w:p>
      <w:pPr>
        <w:pStyle w:val="FirstParagraph"/>
      </w:pPr>
      <w:hyperlink w:anchor="sec-app-atlas">
        <w:r>
          <w:rPr>
            <w:rStyle w:val="Hyperlink"/>
          </w:rPr>
          <w:t xml:space="preserve">Chapter 21</w:t>
        </w:r>
      </w:hyperlink>
      <w:r>
        <w:t xml:space="preserve"> </w:t>
      </w:r>
      <w:r>
        <w:t xml:space="preserve">is the full walkthrough, including how a drawn place is encoded in a shareable link, and the</w:t>
      </w:r>
      <w:r>
        <w:t xml:space="preserve"> </w:t>
      </w:r>
      <w:hyperlink r:id="rId534">
        <w:r>
          <w:rPr>
            <w:rStyle w:val="Hyperlink"/>
          </w:rPr>
          <w:t xml:space="preserve">Atlas user guide</w:t>
        </w:r>
      </w:hyperlink>
      <w:r>
        <w:t xml:space="preserve"> </w:t>
      </w:r>
      <w:r>
        <w:t xml:space="preserve">steps through the app’s own guided tour one control at a time.</w:t>
      </w:r>
    </w:p>
    <w:p>
      <w:pPr>
        <w:pStyle w:val="BodyText"/>
      </w:pPr>
      <w:r>
        <w:t xml:space="preserve">Deep links carry their state in the URL.</w:t>
      </w:r>
      <w:r>
        <w:t xml:space="preserve"> </w:t>
      </w:r>
      <w:r>
        <w:rPr>
          <w:rStyle w:val="VerbatimChar"/>
        </w:rPr>
        <w:t xml:space="preserve">lens=species</w:t>
      </w:r>
      <w:r>
        <w:t xml:space="preserve"> </w:t>
      </w:r>
      <w:r>
        <w:t xml:space="preserve">opens the Species lens,</w:t>
      </w:r>
      <w:r>
        <w:t xml:space="preserve"> </w:t>
      </w:r>
      <w:r>
        <w:rPr>
          <w:rStyle w:val="VerbatimChar"/>
        </w:rPr>
        <w:t xml:space="preserve">sp=</w:t>
      </w:r>
      <w:r>
        <w:t xml:space="preserve"> </w:t>
      </w:r>
      <w:r>
        <w:t xml:space="preserve">selects a species, and the Atlas rewrites the older</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parameters to</w:t>
      </w:r>
      <w:r>
        <w:t xml:space="preserve"> </w:t>
      </w:r>
      <w:r>
        <w:rPr>
          <w:rStyle w:val="VerbatimChar"/>
        </w:rPr>
        <w:t xml:space="preserve">sp</w:t>
      </w:r>
      <w:r>
        <w:t xml:space="preserve"> </w:t>
      </w:r>
      <w:r>
        <w:t xml:space="preserve">when it loads, so a link made for either Shiny app, or printed in an earlier report, opens the same species.</w:t>
      </w:r>
    </w:p>
    <w:bookmarkStart w:id="535" w:name="how-the-atlas-draws-a-release"/>
    <w:p>
      <w:pPr>
        <w:pStyle w:val="Heading3"/>
      </w:pPr>
      <w:r>
        <w:t xml:space="preserve">19.1.1 How the Atlas draws a release</w:t>
      </w:r>
    </w:p>
    <w:p>
      <w:pPr>
        <w:pStyle w:val="FirstParagraph"/>
      </w:pPr>
      <w:r>
        <w:t xml:space="preserve">Three kinds of map layer, each resolved from the release’s manifest rather than hardcoded, make the Scores lens:</w:t>
      </w:r>
    </w:p>
    <w:p>
      <w:pPr>
        <w:pStyle w:val="Compact"/>
        <w:numPr>
          <w:ilvl w:val="0"/>
          <w:numId w:val="1058"/>
        </w:numPr>
      </w:pPr>
      <w:r>
        <w:rPr>
          <w:b/>
          <w:bCs/>
        </w:rPr>
        <w:t xml:space="preserve">Score raster</w:t>
      </w:r>
      <w:r>
        <w:t xml:space="preserve"> </w:t>
      </w:r>
      <w:r>
        <w:t xml:space="preserve">— a pre-rendered COG per metric × subregion, whose URL and rescale range come straight from the release manifest and which titiler turns into small tiles on request. The browser fetches only the tiles intersecting its viewport; no full raster is transferred on load.</w:t>
      </w:r>
    </w:p>
    <w:p>
      <w:pPr>
        <w:pStyle w:val="Compact"/>
        <w:numPr>
          <w:ilvl w:val="0"/>
          <w:numId w:val="1058"/>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8"/>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each zone’s fill color computed in the browser from the release’s per-zone scores.</w:t>
      </w:r>
    </w:p>
    <w:p>
      <w:pPr>
        <w:pStyle w:val="FirstParagraph"/>
      </w:pPr>
      <w:r>
        <w:t xml:space="preserve">Because every one of those is resolved from the manifest, switching the release switches all three together, including drawing the boundary vintage that release actually used.</w:t>
      </w:r>
      <w:r>
        <w:t xml:space="preserve"> </w:t>
      </w:r>
      <w:hyperlink w:anchor="sec-software">
        <w:r>
          <w:rPr>
            <w:rStyle w:val="Hyperlink"/>
          </w:rPr>
          <w:t xml:space="preserve">Chapter 13</w:t>
        </w:r>
      </w:hyperlink>
      <w:r>
        <w:t xml:space="preserve"> </w:t>
      </w:r>
      <w:r>
        <w:t xml:space="preserve">shows the serving architecture these layers sit on, and how COGs and PMTiles are produced and published; its diagrams were drawn when the Shiny apps were the clients, so where they show a Shiny server, the Atlas now does that work in the browser.</w:t>
      </w:r>
    </w:p>
    <w:bookmarkEnd w:id="535"/>
    <w:bookmarkEnd w:id="536"/>
    <w:bookmarkStart w:id="538" w:name="sec-apps-retired"/>
    <w:p>
      <w:pPr>
        <w:pStyle w:val="Heading2"/>
      </w:pPr>
      <w:r>
        <w:t xml:space="preserve">19.2 Retired: the Scores and Species Shiny apps</w:t>
      </w:r>
    </w:p>
    <w:p>
      <w:pPr>
        <w:pStyle w:val="FirstParagraph"/>
      </w:pPr>
      <w:r>
        <w:t xml:space="preserve">Until October 2026 the MST’s interactive tools were two R Shiny apps, each rendering any published release from the URL path:</w:t>
      </w:r>
    </w:p>
    <w:p>
      <w:pPr>
        <w:pStyle w:val="Compact"/>
        <w:numPr>
          <w:ilvl w:val="0"/>
          <w:numId w:val="1059"/>
        </w:numPr>
      </w:pPr>
      <w:r>
        <w:rPr>
          <w:b/>
          <w:bCs/>
        </w:rPr>
        <w:t xml:space="preserve">Scores</w:t>
      </w:r>
      <w:r>
        <w:t xml:space="preserve"> </w:t>
      </w:r>
      <w:r>
        <w:t xml:space="preserve">— composite and per-category sensitivity by Program Area or cell, with flower plots, treemaps and species tables (</w:t>
      </w:r>
      <w:hyperlink w:anchor="sec-app-scores">
        <w:r>
          <w:rPr>
            <w:rStyle w:val="Hyperlink"/>
          </w:rPr>
          <w:t xml:space="preserve">Appendix B</w:t>
        </w:r>
      </w:hyperlink>
      <w:r>
        <w:t xml:space="preserve">).</w:t>
      </w:r>
    </w:p>
    <w:p>
      <w:pPr>
        <w:pStyle w:val="Compact"/>
        <w:numPr>
          <w:ilvl w:val="0"/>
          <w:numId w:val="1059"/>
        </w:numPr>
      </w:pPr>
      <w:r>
        <w:rPr>
          <w:b/>
          <w:bCs/>
        </w:rPr>
        <w:t xml:space="preserve">Species</w:t>
      </w:r>
      <w:r>
        <w:t xml:space="preserve"> </w:t>
      </w:r>
      <w:r>
        <w:t xml:space="preserve">— individual and merged distribution models with regulatory status (</w:t>
      </w:r>
      <w:hyperlink w:anchor="sec-app-species">
        <w:r>
          <w:rPr>
            <w:rStyle w:val="Hyperlink"/>
          </w:rPr>
          <w:t xml:space="preserve">Appendix D</w:t>
        </w:r>
      </w:hyperlink>
      <w:r>
        <w:t xml:space="preserve">).</w:t>
      </w:r>
    </w:p>
    <w:p>
      <w:pPr>
        <w:pStyle w:val="FirstParagraph"/>
      </w:pPr>
      <w:r>
        <w:t xml:space="preserve">The Atlas does what both did and adds Places. The Shiny apps are no longer reachable, and every URL they answered at (</w:t>
      </w:r>
      <w:r>
        <w:rPr>
          <w:rStyle w:val="VerbatimChar"/>
        </w:rPr>
        <w:t xml:space="preserve">app.marinesensitivity.org/{ver}/scores/</w:t>
      </w:r>
      <w:r>
        <w:t xml:space="preserve">,</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is redirected (HTTP 302 for now; the public redirects become permanent 301s once the Shiny services are removed) to the equivalent Atlas view with its query carried; a restricted release’s URLs go to its Atlas on the preview host. Links in earlier reports, including the URLs printed in the BOEM final report, therefore keep working. The apps’ source remains in the</w:t>
      </w:r>
      <w:r>
        <w:t xml:space="preserve"> </w:t>
      </w:r>
      <w:hyperlink r:id="rId396">
        <w:r>
          <w:rPr>
            <w:rStyle w:val="VerbatimChar"/>
          </w:rPr>
          <w:t xml:space="preserve">apps</w:t>
        </w:r>
      </w:hyperlink>
      <w:r>
        <w:t xml:space="preserve"> </w:t>
      </w:r>
      <w:r>
        <w:t xml:space="preserve">repository, and their documentation is kept in the Legacy appendix:</w:t>
      </w:r>
      <w:r>
        <w:t xml:space="preserve"> </w:t>
      </w:r>
      <w:hyperlink w:anchor="sec-app-scores">
        <w:r>
          <w:rPr>
            <w:rStyle w:val="Hyperlink"/>
          </w:rPr>
          <w:t xml:space="preserve">Appendix B</w:t>
        </w:r>
      </w:hyperlink>
      <w:r>
        <w:t xml:space="preserve">,</w:t>
      </w:r>
      <w:r>
        <w:t xml:space="preserve"> </w:t>
      </w:r>
      <w:hyperlink w:anchor="sec-app-species">
        <w:r>
          <w:rPr>
            <w:rStyle w:val="Hyperlink"/>
          </w:rPr>
          <w:t xml:space="preserve">Appendix D</w:t>
        </w:r>
      </w:hyperlink>
      <w:r>
        <w:t xml:space="preserve"> </w:t>
      </w:r>
      <w:r>
        <w:t xml:space="preserve">and their</w:t>
      </w:r>
      <w:r>
        <w:t xml:space="preserve"> </w:t>
      </w:r>
      <w:hyperlink r:id="rId537">
        <w:r>
          <w:rPr>
            <w:rStyle w:val="Hyperlink"/>
          </w:rPr>
          <w:t xml:space="preserve">step-by-step guide</w:t>
        </w:r>
      </w:hyperlink>
      <w:r>
        <w:t xml:space="preserve">.</w:t>
      </w:r>
    </w:p>
    <w:bookmarkEnd w:id="538"/>
    <w:bookmarkStart w:id="539" w:name="legacy-applications"/>
    <w:p>
      <w:pPr>
        <w:pStyle w:val="Heading2"/>
      </w:pPr>
      <w:r>
        <w:t xml:space="preserve">19.3 Legacy Applications</w:t>
      </w:r>
    </w:p>
    <w:p>
      <w:pPr>
        <w:pStyle w:val="FirstParagraph"/>
      </w:pPr>
      <w:r>
        <w:t xml:space="preserve">Earlier prototype applications from the research phase are kept in the Appendix under Applications (Legacy) for reference, alongside the retired Shiny apps. They are not part of the current serving path.</w:t>
      </w:r>
    </w:p>
    <w:bookmarkEnd w:id="539"/>
    <w:bookmarkEnd w:id="540"/>
    <w:bookmarkStart w:id="541" w:name="Xdb7596251ccac05cc02bb08ef65d814effe7d92"/>
    <w:p>
      <w:pPr>
        <w:pStyle w:val="Heading1"/>
      </w:pPr>
      <w:r>
        <w:t xml:space="preserve">20. Atlas — the static, in-browser scores, species and places app</w:t>
      </w:r>
    </w:p>
    <w:bookmarkEnd w:id="541"/>
    <w:bookmarkStart w:id="620" w:name="sec-app-atlas"/>
    <w:p>
      <w:pPr>
        <w:pStyle w:val="Heading1"/>
      </w:pPr>
      <w:r>
        <w:t xml:space="preserve">21. Atlas</w:t>
      </w:r>
    </w:p>
    <w:bookmarkStart w:id="556" w:name="overview-1"/>
    <w:p>
      <w:pPr>
        <w:pStyle w:val="Heading2"/>
      </w:pPr>
      <w:r>
        <w:t xml:space="preserve">21.1 Overview</w:t>
      </w:r>
    </w:p>
    <w:p>
      <w:pPr>
        <w:pStyle w:val="FirstParagraph"/>
      </w:pPr>
      <w:r>
        <w:t xml:space="preserve">The</w:t>
      </w:r>
      <w:r>
        <w:t xml:space="preserve"> </w:t>
      </w:r>
      <w:r>
        <w:rPr>
          <w:b/>
          <w:bCs/>
        </w:rPr>
        <w:t xml:space="preserve">Atlas</w:t>
      </w:r>
      <w:r>
        <w:t xml:space="preserve"> </w:t>
      </w:r>
      <w:r>
        <w:t xml:space="preserve">(</w:t>
      </w:r>
      <w:hyperlink r:id="rId24">
        <w:r>
          <w:rPr>
            <w:rStyle w:val="Hyperlink"/>
          </w:rPr>
          <w:t xml:space="preserve">https://preview.marinesensitivity.org/v7c/atlas/</w:t>
        </w:r>
      </w:hyperlink>
      <w:r>
        <w:t xml:space="preserve">) is the MST’s interactive application:</w:t>
      </w:r>
      <w:r>
        <w:t xml:space="preserve"> </w:t>
      </w:r>
      <w:r>
        <w:rPr>
          <w:b/>
          <w:bCs/>
        </w:rPr>
        <w:t xml:space="preserve">one static web app</w:t>
      </w:r>
      <w:r>
        <w:t xml:space="preserve">, built with Svelte and MapLibre, that runs entirely in the browser. Where the</w:t>
      </w:r>
      <w:r>
        <w:t xml:space="preserve"> </w:t>
      </w:r>
      <w:hyperlink r:id="rId542">
        <w:r>
          <w:rPr>
            <w:rStyle w:val="Hyperlink"/>
          </w:rPr>
          <w:t xml:space="preserve">Scores</w:t>
        </w:r>
      </w:hyperlink>
      <w:r>
        <w:t xml:space="preserve"> </w:t>
      </w:r>
      <w:r>
        <w:t xml:space="preserve">and</w:t>
      </w:r>
      <w:r>
        <w:t xml:space="preserve"> </w:t>
      </w:r>
      <w:hyperlink r:id="rId543">
        <w:r>
          <w:rPr>
            <w:rStyle w:val="Hyperlink"/>
          </w:rPr>
          <w:t xml:space="preserve">Species</w:t>
        </w:r>
      </w:hyperlink>
      <w:r>
        <w:t xml:space="preserve"> </w:t>
      </w:r>
      <w:r>
        <w:t xml:space="preserve">Shiny apps it replaced were server-rendered R</w:t>
      </w:r>
      <w:r>
        <w:t xml:space="preserve"> </w:t>
      </w:r>
      <w:r>
        <w:t xml:space="preserve">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only through the signed-in preview host,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r>
        <w:t xml:space="preserve">This chapter describes the Atlas as of version 0.10.91.</w:t>
      </w:r>
      <w:r>
        <w:t xml:space="preserve"> </w:t>
      </w:r>
      <w:hyperlink w:anchor="fig-atlas-map">
        <w:r>
          <w:rPr>
            <w:rStyle w:val="Hyperlink"/>
          </w:rPr>
          <w:t xml:space="preserve">Figure 21.1</w:t>
        </w:r>
      </w:hyperlink>
      <w:r>
        <w:t xml:space="preserve"> </w:t>
      </w:r>
      <w:r>
        <w:t xml:space="preserve">shows the default Scores</w:t>
      </w:r>
      <w:r>
        <w:t xml:space="preserve"> </w:t>
      </w:r>
      <w:r>
        <w:t xml:space="preserve">view: the 0.05° cell grid colored by a composite sensitivity score across U.S. waters, dark theme</w:t>
      </w:r>
      <w:r>
        <w:t xml:space="preserve"> </w:t>
      </w:r>
      <w:r>
        <w:t xml:space="preserve">(the app’s default). In the current build the four-tool rail is attached to the panel, which opens</w:t>
      </w:r>
      <w:r>
        <w:t xml:space="preserve"> </w:t>
      </w:r>
      <w:r>
        <w:t xml:space="preserve">docked on the left with Layers showing, the map’s legend sits at the bottom right, and the</w:t>
      </w:r>
      <w:r>
        <w:t xml:space="preserve"> </w:t>
      </w:r>
      <w:r>
        <w:t xml:space="preserve">basemap’s attribution is just under it.</w:t>
      </w:r>
    </w:p>
    <w:tbl>
      <w:tblPr>
        <w:tblStyle w:val="Table"/>
        <w:tblW w:type="pct" w:w="5000"/>
        <w:tblLayout w:type="fixed"/>
        <w:tblLook w:firstRow="0" w:lastRow="0" w:firstColumn="0" w:lastColumn="0" w:noHBand="0" w:noVBand="0" w:val="0000"/>
      </w:tblPr>
      <w:tblGrid>
        <w:gridCol w:w="7920"/>
      </w:tblGrid>
      <w:tr>
        <w:tc>
          <w:tcPr/>
          <w:bookmarkStart w:id="547" w:name="fig-atlas-map"/>
          <w:p>
            <w:pPr>
              <w:pStyle w:val="Compact"/>
              <w:jc w:val="center"/>
            </w:pPr>
            <w:r>
              <w:drawing>
                <wp:inline>
                  <wp:extent cx="5334000" cy="3333750"/>
                  <wp:effectExtent b="0" l="0" r="0" t="0"/>
                  <wp:docPr descr="" title="" id="545" name="Picture"/>
                  <a:graphic>
                    <a:graphicData uri="http://schemas.openxmlformats.org/drawingml/2006/picture">
                      <pic:pic>
                        <pic:nvPicPr>
                          <pic:cNvPr descr="images/atlas/desktop-map.png" id="546" name="Picture"/>
                          <pic:cNvPicPr>
                            <a:picLocks noChangeArrowheads="1" noChangeAspect="1"/>
                          </pic:cNvPicPr>
                        </pic:nvPicPr>
                        <pic:blipFill>
                          <a:blip r:embed="rId54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The Atlas, Scores lens, default view (desktop, dark theme): the Layers panel and its four-tool rail docked on the left, the score legend at the bottom right. Atlas 0.10.91, release v7, 2026-10-16.</w:t>
            </w:r>
          </w:p>
          <w:bookmarkEnd w:id="547"/>
        </w:tc>
      </w:tr>
    </w:tbl>
    <w:p>
      <w:pPr>
        <w:pStyle w:val="BodyText"/>
      </w:pPr>
      <w:r>
        <w:rPr>
          <w:b/>
          <w:bCs/>
        </w:rPr>
        <w:t xml:space="preserve">Desktop vs. phone layout.</w:t>
      </w:r>
      <w:r>
        <w:t xml:space="preserve"> </w:t>
      </w:r>
      <w:r>
        <w:t xml:space="preserve">On a wide viewport the four rail tools —</w:t>
      </w:r>
      <w:r>
        <w:t xml:space="preserve"> </w:t>
      </w:r>
      <w:r>
        <w:rPr>
          <w:b/>
          <w:bCs/>
        </w:rPr>
        <w:t xml:space="preserve">Layers, Details, Table,</w:t>
      </w:r>
      <w:r>
        <w:rPr>
          <w:b/>
          <w:bCs/>
        </w:rPr>
        <w:t xml:space="preserve"> </w:t>
      </w:r>
      <w:r>
        <w:rPr>
          <w:b/>
          <w:bCs/>
        </w:rPr>
        <w:t xml:space="preserve">Report</w:t>
      </w:r>
      <w:r>
        <w:t xml:space="preserve">, the same in both lenses — open a single panel attached to the rail. It docks on the left</w:t>
      </w:r>
      <w:r>
        <w:t xml:space="preserve"> </w:t>
      </w:r>
      <w:r>
        <w:t xml:space="preserve">by default, one header button moves it (and the rail) to the other side, and</w:t>
      </w:r>
      <w:r>
        <w:t xml:space="preserve"> </w:t>
      </w:r>
      <w:r>
        <w:rPr>
          <w:b/>
          <w:bCs/>
        </w:rPr>
        <w:t xml:space="preserve">Table</w:t>
      </w:r>
      <w:r>
        <w:t xml:space="preserve"> </w:t>
      </w:r>
      <w:r>
        <w:t xml:space="preserve">takes the</w:t>
      </w:r>
      <w:r>
        <w:t xml:space="preserve"> </w:t>
      </w:r>
      <w:r>
        <w:t xml:space="preserve">whole stage instead of the side panel. On a phone the identical four tools sit in a labelled</w:t>
      </w:r>
      <w:r>
        <w:t xml:space="preserve"> </w:t>
      </w:r>
      <w:r>
        <w:rPr>
          <w:b/>
          <w:bCs/>
        </w:rPr>
        <w:t xml:space="preserve">bottom 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21.2</w:t>
        </w:r>
      </w:hyperlink>
      <w:r>
        <w:t xml:space="preserve"> </w:t>
      </w:r>
      <w:r>
        <w:t xml:space="preserve">shows the phone layout, and</w:t>
      </w:r>
      <w:r>
        <w:t xml:space="preserve"> </w:t>
      </w:r>
      <w:hyperlink w:anchor="fig-atlas-phone-more">
        <w:r>
          <w:rPr>
            <w:rStyle w:val="Hyperlink"/>
          </w:rPr>
          <w:t xml:space="preserve">Figure 21.3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551" w:name="fig-atlas-phone-map"/>
                <w:p>
                  <w:pPr>
                    <w:pStyle w:val="Compact"/>
                    <w:jc w:val="center"/>
                    <w:jc w:val="left"/>
                  </w:pPr>
                  <w:r>
                    <w:drawing>
                      <wp:inline>
                        <wp:extent cx="5334000" cy="11543323"/>
                        <wp:effectExtent b="0" l="0" r="0" t="0"/>
                        <wp:docPr descr="" title="" id="549" name="Picture"/>
                        <a:graphic>
                          <a:graphicData uri="http://schemas.openxmlformats.org/drawingml/2006/picture">
                            <pic:pic>
                              <pic:nvPicPr>
                                <pic:cNvPr descr="images/atlas/phone-map.png" id="550" name="Picture"/>
                                <pic:cNvPicPr>
                                  <a:picLocks noChangeArrowheads="1" noChangeAspect="1"/>
                                </pic:cNvPicPr>
                              </pic:nvPicPr>
                              <pic:blipFill>
                                <a:blip r:embed="rId548"/>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21.2: Phone: default view, with the Layers sheet at half height above the four-tab bottom bar. Atlas 0.10.91, release v7, 2026-10-16.</w:t>
                  </w:r>
                </w:p>
                <w:bookmarkEnd w:id="551"/>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555" w:name="fig-atlas-phone-more"/>
                <w:p>
                  <w:pPr>
                    <w:pStyle w:val="Compact"/>
                    <w:jc w:val="center"/>
                    <w:jc w:val="left"/>
                  </w:pPr>
                  <w:r>
                    <w:drawing>
                      <wp:inline>
                        <wp:extent cx="5334000" cy="11543323"/>
                        <wp:effectExtent b="0" l="0" r="0" t="0"/>
                        <wp:docPr descr="" title="" id="553" name="Picture"/>
                        <a:graphic>
                          <a:graphicData uri="http://schemas.openxmlformats.org/drawingml/2006/picture">
                            <pic:pic>
                              <pic:nvPicPr>
                                <pic:cNvPr descr="images/atlas/phone-more-menu.png" id="554" name="Picture"/>
                                <pic:cNvPicPr>
                                  <a:picLocks noChangeArrowheads="1" noChangeAspect="1"/>
                                </pic:cNvPicPr>
                              </pic:nvPicPr>
                              <pic:blipFill>
                                <a:blip r:embed="rId552"/>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21.3: Phone: the top bar’s More (⋯) menu, listing Share, Download…, Feedback, About this release, Take a tour, Docs and the theme switch. Atlas 0.10.91, release v7, 2026-10-16.</w:t>
                  </w:r>
                </w:p>
                <w:bookmarkEnd w:id="555"/>
              </w:tc>
            </w:tr>
          </w:tbl>
          <w:p/>
        </w:tc>
      </w:tr>
    </w:tbl>
    <w:bookmarkEnd w:id="556"/>
    <w:bookmarkStart w:id="557" w:name="quick-start"/>
    <w:p>
      <w:pPr>
        <w:pStyle w:val="Heading2"/>
      </w:pPr>
      <w:r>
        <w:t xml:space="preserve">21.2 Quick start</w:t>
      </w:r>
    </w:p>
    <w:p>
      <w:pPr>
        <w:pStyle w:val="FirstParagraph"/>
      </w:pPr>
      <w:r>
        <w:rPr>
          <w:b/>
          <w:bCs/>
        </w:rPr>
        <w:t xml:space="preserve">Desktop:</w:t>
      </w:r>
    </w:p>
    <w:p>
      <w:pPr>
        <w:pStyle w:val="Compact"/>
        <w:numPr>
          <w:ilvl w:val="0"/>
          <w:numId w:val="1060"/>
        </w:numPr>
      </w:pPr>
      <w:r>
        <w:t xml:space="preserve">Click a cell or a Program Area on the map, then open</w:t>
      </w:r>
      <w:r>
        <w:t xml:space="preserve"> </w:t>
      </w:r>
      <w:r>
        <w:rPr>
          <w:b/>
          <w:bCs/>
        </w:rPr>
        <w:t xml:space="preserve">Details</w:t>
      </w:r>
      <w:r>
        <w:t xml:space="preserve"> </w:t>
      </w:r>
      <w:r>
        <w:t xml:space="preserve">(the rail’s second tool, or the</w:t>
      </w:r>
      <w:r>
        <w:t xml:space="preserve"> </w:t>
      </w:r>
      <w:r>
        <w:t xml:space="preserve">popup’s Details link) for its flower plot;</w:t>
      </w:r>
      <w:r>
        <w:t xml:space="preserve"> </w:t>
      </w:r>
      <w:r>
        <w:rPr>
          <w:b/>
          <w:bCs/>
        </w:rPr>
        <w:t xml:space="preserve">Add to report</w:t>
      </w:r>
      <w:r>
        <w:t xml:space="preserve"> </w:t>
      </w:r>
      <w:r>
        <w:t xml:space="preserve">keeps it as a place, and</w:t>
      </w:r>
      <w:r>
        <w:t xml:space="preserve"> </w:t>
      </w:r>
      <w:r>
        <w:rPr>
          <w:b/>
          <w:bCs/>
        </w:rPr>
        <w:t xml:space="preserve">Open table</w:t>
      </w:r>
      <w:r>
        <w:t xml:space="preserve"> </w:t>
      </w:r>
      <w:r>
        <w:t xml:space="preserve">lists its species.</w:t>
      </w:r>
    </w:p>
    <w:p>
      <w:pPr>
        <w:pStyle w:val="Compact"/>
        <w:numPr>
          <w:ilvl w:val="0"/>
          <w:numId w:val="1060"/>
        </w:numPr>
      </w:pPr>
      <w:r>
        <w:t xml:space="preserve">Or open</w:t>
      </w:r>
      <w:r>
        <w:t xml:space="preserve"> </w:t>
      </w:r>
      <w:r>
        <w:rPr>
          <w:b/>
          <w:bCs/>
        </w:rPr>
        <w:t xml:space="preserve">Report</w:t>
      </w:r>
      <w:r>
        <w:t xml:space="preserve">, and under</w:t>
      </w:r>
      <w:r>
        <w:t xml:space="preserve"> </w:t>
      </w:r>
      <w:r>
        <w:rPr>
          <w:b/>
          <w:bCs/>
        </w:rPr>
        <w:t xml:space="preserve">Add a place</w:t>
      </w:r>
      <w:r>
        <w:t xml:space="preserve"> </w:t>
      </w:r>
      <w:r>
        <w:t xml:space="preserve">choose a Program Area, pick one on the map, draw a</w:t>
      </w:r>
      <w:r>
        <w:t xml:space="preserve"> </w:t>
      </w:r>
      <w:r>
        <w:rPr>
          <w:b/>
          <w:bCs/>
        </w:rPr>
        <w:t xml:space="preserve">Rectangle</w:t>
      </w:r>
      <w:r>
        <w:t xml:space="preserve"> </w:t>
      </w:r>
      <w:r>
        <w:t xml:space="preserve">(click, move, click, then</w:t>
      </w:r>
      <w:r>
        <w:t xml:space="preserve"> </w:t>
      </w:r>
      <w:r>
        <w:rPr>
          <w:b/>
          <w:bCs/>
        </w:rPr>
        <w:t xml:space="preserve">Done</w:t>
      </w:r>
      <w:r>
        <w:t xml:space="preserve">), pick from the gazetteer, type coordinates or</w:t>
      </w:r>
      <w:r>
        <w:t xml:space="preserve"> </w:t>
      </w:r>
      <w:r>
        <w:t xml:space="preserve">upload a file.</w:t>
      </w:r>
    </w:p>
    <w:p>
      <w:pPr>
        <w:pStyle w:val="Compact"/>
        <w:numPr>
          <w:ilvl w:val="0"/>
          <w:numId w:val="1060"/>
        </w:numPr>
      </w:pPr>
      <w:r>
        <w:t xml:space="preserve">Select a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 Rename a drawn place inline if you like.</w:t>
      </w:r>
    </w:p>
    <w:p>
      <w:pPr>
        <w:pStyle w:val="Compact"/>
        <w:numPr>
          <w:ilvl w:val="0"/>
          <w:numId w:val="1060"/>
        </w:numPr>
      </w:pPr>
      <w:r>
        <w:rPr>
          <w:b/>
          <w:bCs/>
        </w:rPr>
        <w:t xml:space="preserve">Share</w:t>
      </w:r>
      <w:r>
        <w:t xml:space="preserve"> </w:t>
      </w:r>
      <w:r>
        <w:t xml:space="preserve">at the foot of the Report tool opens the place-link dialog — the fastest way to hand</w:t>
      </w:r>
      <w:r>
        <w:t xml:space="preserve"> </w:t>
      </w:r>
      <w:r>
        <w:t xml:space="preserve">someone the same place.</w:t>
      </w:r>
    </w:p>
    <w:p>
      <w:pPr>
        <w:pStyle w:val="Compact"/>
        <w:numPr>
          <w:ilvl w:val="0"/>
          <w:numId w:val="1060"/>
        </w:numPr>
      </w:pPr>
      <w:r>
        <w:rPr>
          <w:b/>
          <w:bCs/>
        </w:rPr>
        <w:t xml:space="preserve">Open report</w:t>
      </w:r>
      <w:r>
        <w:t xml:space="preserve"> </w:t>
      </w:r>
      <w:r>
        <w:t xml:space="preserve">(the gold button at the foot of the Report tool) opens a printable, downloadable</w:t>
      </w:r>
      <w:r>
        <w:t xml:space="preserve"> </w:t>
      </w:r>
      <w:r>
        <w:t xml:space="preserve">document (Print, HTML, ZIP or Word).</w:t>
      </w:r>
    </w:p>
    <w:p>
      <w:pPr>
        <w:pStyle w:val="FirstParagraph"/>
      </w:pPr>
      <w:r>
        <w:rPr>
          <w:b/>
          <w:bCs/>
        </w:rPr>
        <w:t xml:space="preserve">Phone:</w:t>
      </w:r>
      <w:r>
        <w:t xml:space="preserve"> </w:t>
      </w:r>
      <w:r>
        <w:t xml:space="preserve">the tool rail is the bottom tab bar; use the Program Area picker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557"/>
    <w:bookmarkStart w:id="558" w:name="getting-around"/>
    <w:p>
      <w:pPr>
        <w:pStyle w:val="Heading2"/>
      </w:pPr>
      <w:r>
        <w:t xml:space="preserve">21.3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regions</w:t>
      </w:r>
      <w:r>
        <w:t xml:space="preserve"> </w:t>
      </w:r>
      <w:r>
        <w:t xml:space="preserve">and coordinates in the Scores lens,</w:t>
      </w:r>
      <w:r>
        <w:t xml:space="preserve"> </w:t>
      </w:r>
      <w:hyperlink w:anchor="sec-atlas-scores">
        <w:r>
          <w:rPr>
            <w:rStyle w:val="Hyperlink"/>
          </w:rPr>
          <w:t xml:space="preserve">Section 21.4</w:t>
        </w:r>
      </w:hyperlink>
      <w:r>
        <w:t xml:space="preserve">; species in the Species lens); then, right-aligned</w:t>
      </w:r>
      <w:r>
        <w:t xml:space="preserve"> </w:t>
      </w:r>
      <w:r>
        <w:t xml:space="preserve">and icon-only (each shows a tooltip on hover or focus),</w:t>
      </w:r>
      <w:r>
        <w:t xml:space="preserve"> </w:t>
      </w:r>
      <w:r>
        <w:rPr>
          <w:b/>
          <w:bCs/>
        </w:rPr>
        <w:t xml:space="preserve">Share</w:t>
      </w:r>
      <w:r>
        <w:t xml:space="preserve">,</w:t>
      </w:r>
      <w:r>
        <w:t xml:space="preserve"> </w:t>
      </w:r>
      <w:r>
        <w:rPr>
          <w:b/>
          <w:bCs/>
        </w:rPr>
        <w:t xml:space="preserve">Download</w:t>
      </w:r>
      <w:r>
        <w:t xml:space="preserve"> </w:t>
      </w:r>
      <w:r>
        <w:t xml:space="preserve">(a PNG or SVG of the</w:t>
      </w:r>
      <w:r>
        <w:t xml:space="preserve"> </w:t>
      </w:r>
      <w:r>
        <w:t xml:space="preserve">map view, a GeoTIFF of the current data layer, or a GeoJSON of the current places), a</w:t>
      </w:r>
      <w:r>
        <w:t xml:space="preserve"> </w:t>
      </w:r>
      <w:r>
        <w:rPr>
          <w:b/>
          <w:bCs/>
        </w:rPr>
        <w:t xml:space="preserve">(?) Help</w:t>
      </w:r>
      <w:r>
        <w:t xml:space="preserve"> </w:t>
      </w:r>
      <w:r>
        <w:t xml:space="preserve">menu (Take a tour, keyboard shortcuts, a Docs link),</w:t>
      </w:r>
      <w:r>
        <w:t xml:space="preserve"> </w:t>
      </w:r>
      <w:r>
        <w:rPr>
          <w:b/>
          <w:bCs/>
        </w:rPr>
        <w:t xml:space="preserve">Feedback</w:t>
      </w:r>
      <w:r>
        <w:t xml:space="preserve">,</w:t>
      </w:r>
      <w:r>
        <w:t xml:space="preserve"> </w:t>
      </w:r>
      <w:r>
        <w:rPr>
          <w:b/>
          <w:bCs/>
        </w:rPr>
        <w:t xml:space="preserve">About this release</w:t>
      </w:r>
      <w:r>
        <w:t xml:space="preserve">, and a</w:t>
      </w:r>
      <w:r>
        <w:t xml:space="preserve"> </w:t>
      </w:r>
      <w:r>
        <w:t xml:space="preserve">sun/moon</w:t>
      </w:r>
      <w:r>
        <w:t xml:space="preserve"> </w:t>
      </w:r>
      <w:r>
        <w:rPr>
          <w:b/>
          <w:bCs/>
        </w:rPr>
        <w:t xml:space="preserve">theme toggle</w:t>
      </w:r>
      <w:r>
        <w:t xml:space="preserve">. On a phone (below 900 px) the title collapses to the mark, and Share,</w:t>
      </w:r>
      <w:r>
        <w:t xml:space="preserve"> </w:t>
      </w:r>
      <w:r>
        <w:t xml:space="preserve">Download, Feedback, About, Take a tour, Docs and the theme toggle fold into one</w:t>
      </w:r>
      <w:r>
        <w:t xml:space="preserve"> </w:t>
      </w:r>
      <w:r>
        <w:rPr>
          <w:b/>
          <w:bCs/>
        </w:rPr>
        <w:t xml:space="preserve">More (⋯)</w:t>
      </w:r>
      <w:r>
        <w:t xml:space="preserve"> </w:t>
      </w:r>
      <w:r>
        <w:t xml:space="preserve">menu</w:t>
      </w:r>
      <w:r>
        <w:t xml:space="preserve"> </w:t>
      </w:r>
      <w:r>
        <w:t xml:space="preserve">beside a</w:t>
      </w:r>
      <w:r>
        <w:t xml:space="preserve"> </w:t>
      </w:r>
      <w:r>
        <w:rPr>
          <w:b/>
          <w:bCs/>
        </w:rPr>
        <w:t xml:space="preserve">search</w:t>
      </w:r>
      <w:r>
        <w:t xml:space="preserve"> </w:t>
      </w:r>
      <w:r>
        <w:t xml:space="preserve">button; below 381 px the mark hides too. The keyboard-shortcut list is</w:t>
      </w:r>
      <w:r>
        <w:t xml:space="preserve"> </w:t>
      </w:r>
      <w:r>
        <w:t xml:space="preserve">desktop-only. Report is not a top-bar control on either viewport: it is a rail tool.</w:t>
      </w:r>
    </w:p>
    <w:p>
      <w:pPr>
        <w:pStyle w:val="BodyText"/>
      </w:pPr>
      <w:r>
        <w:rPr>
          <w:b/>
          <w:bCs/>
        </w:rPr>
        <w:t xml:space="preserve">The tool rail</w:t>
      </w:r>
      <w:r>
        <w:t xml:space="preserve"> </w:t>
      </w:r>
      <w:r>
        <w:t xml:space="preserve">is four controls, always in the same order, in both lenses and on every viewport:</w:t>
      </w:r>
      <w:r>
        <w:t xml:space="preserve"> </w:t>
      </w:r>
      <w:r>
        <w:rPr>
          <w:b/>
          <w:bCs/>
        </w:rPr>
        <w:t xml:space="preserve">Layers · Details · Table · Report</w:t>
      </w:r>
      <w:r>
        <w:t xml:space="preserve">.</w:t>
      </w:r>
      <w:r>
        <w:t xml:space="preserve"> </w:t>
      </w:r>
      <w:r>
        <w:rPr>
          <w:b/>
          <w:bCs/>
        </w:rPr>
        <w:t xml:space="preserve">Layers</w:t>
      </w:r>
      <w:r>
        <w:t xml:space="preserve"> </w:t>
      </w:r>
      <w:r>
        <w:t xml:space="preserve">holds the map’s layer stack and the lens’s own data</w:t>
      </w:r>
      <w:r>
        <w:t xml:space="preserve"> </w:t>
      </w:r>
      <w:r>
        <w:t xml:space="preserve">controls.</w:t>
      </w:r>
      <w:r>
        <w:t xml:space="preserve"> </w:t>
      </w:r>
      <w:r>
        <w:rPr>
          <w:b/>
          <w:bCs/>
        </w:rPr>
        <w:t xml:space="preserve">Details</w:t>
      </w:r>
      <w:r>
        <w:t xml:space="preserve"> </w:t>
      </w:r>
      <w:r>
        <w:t xml:space="preserve">shows what was last clicked — the flower plot in the Scores lens, the species</w:t>
      </w:r>
      <w:r>
        <w:t xml:space="preserve"> </w:t>
      </w:r>
      <w:r>
        <w:t xml:space="preserve">information in the Species lens.</w:t>
      </w:r>
      <w:r>
        <w:t xml:space="preserve"> </w:t>
      </w:r>
      <w:r>
        <w:rPr>
          <w:b/>
          <w:bCs/>
        </w:rPr>
        <w:t xml:space="preserve">Table</w:t>
      </w:r>
      <w:r>
        <w:t xml:space="preserve"> </w:t>
      </w:r>
      <w:r>
        <w:t xml:space="preserve">is the species, zone and composition tables (the model</w:t>
      </w:r>
      <w:r>
        <w:t xml:space="preserve"> </w:t>
      </w:r>
      <w:r>
        <w:t xml:space="preserve">inputs, in the Species lens).</w:t>
      </w:r>
      <w:r>
        <w:t xml:space="preserve"> </w:t>
      </w:r>
      <w:r>
        <w:rPr>
          <w:b/>
          <w:bCs/>
        </w:rPr>
        <w:t xml:space="preserve">Report</w:t>
      </w:r>
      <w:r>
        <w:t xml:space="preserve"> </w:t>
      </w:r>
      <w:r>
        <w:t xml:space="preserve">is the Places flow and the report itself.</w:t>
      </w:r>
    </w:p>
    <w:p>
      <w:pPr>
        <w:pStyle w:val="BodyText"/>
      </w:pPr>
      <w:r>
        <w:rPr>
          <w:b/>
          <w:bCs/>
        </w:rPr>
        <w:t xml:space="preserve">The panel</w:t>
      </w:r>
      <w:r>
        <w:t xml:space="preserve"> </w:t>
      </w:r>
      <w:r>
        <w:t xml:space="preserve">that a rail tool opens is attached to the rail and docks on the left by default; one</w:t>
      </w:r>
      <w:r>
        <w:t xml:space="preserve"> </w:t>
      </w:r>
      <w:r>
        <w:t xml:space="preserve">header button moves both to the right, and the choice is remembered per browser. Resize it by</w:t>
      </w:r>
      <w:r>
        <w:t xml:space="preserve"> </w:t>
      </w:r>
      <w:r>
        <w:t xml:space="preserve">dragging its map-facing edge or with arrow keys, or collapse it to a small labelled pill; clicking</w:t>
      </w:r>
      <w:r>
        <w:t xml:space="preserve"> </w:t>
      </w:r>
      <w:r>
        <w:t xml:space="preserve">the active tool collapses the panel, and clicking any tool opens it.</w:t>
      </w:r>
      <w:r>
        <w:t xml:space="preserve"> </w:t>
      </w:r>
      <w:r>
        <w:rPr>
          <w:b/>
          <w:bCs/>
        </w:rPr>
        <w:t xml:space="preserve">Table</w:t>
      </w:r>
      <w:r>
        <w:t xml:space="preserve"> </w:t>
      </w:r>
      <w:r>
        <w:t xml:space="preserve">takes the whole stage</w:t>
      </w:r>
      <w:r>
        <w:t xml:space="preserve"> </w:t>
      </w:r>
      <w:r>
        <w:t xml:space="preserve">beside the rail (its</w:t>
      </w:r>
      <w:r>
        <w:t xml:space="preserve"> </w:t>
      </w:r>
      <w:r>
        <w:t xml:space="preserve">“← Map”</w:t>
      </w:r>
      <w:r>
        <w:t xml:space="preserve"> </w:t>
      </w:r>
      <w:r>
        <w:t xml:space="preserve">button returns). The panel’s header says what is shown — the active</w:t>
      </w:r>
      <w:r>
        <w:t xml:space="preserve"> </w:t>
      </w:r>
      <w:r>
        <w:t xml:space="preserve">layer and unit, the clicked cell or species name,</w:t>
      </w:r>
      <w:r>
        <w:t xml:space="preserve"> </w:t>
      </w:r>
      <w:r>
        <w:t xml:space="preserve">“3 places”</w:t>
      </w:r>
      <w:r>
        <w:t xml:space="preserve"> </w:t>
      </w:r>
      <w:r>
        <w:t xml:space="preserve">— rather than the tool’s name, which it shows only when nothing is selected</w:t>
      </w:r>
      <w:r>
        <w:t xml:space="preserve"> </w:t>
      </w:r>
      <w:r>
        <w:t xml:space="preserve">(</w:t>
      </w:r>
      <w:r>
        <w:t xml:space="preserve">“Details”</w:t>
      </w:r>
      <w:r>
        <w:t xml:space="preserve">,</w:t>
      </w:r>
      <w:r>
        <w:t xml:space="preserve"> </w:t>
      </w:r>
      <w:r>
        <w:t xml:space="preserve">“Table”</w:t>
      </w:r>
      <w:r>
        <w:t xml:space="preserve">,</w:t>
      </w:r>
      <w:r>
        <w:t xml:space="preserve"> </w:t>
      </w:r>
      <w:r>
        <w:t xml:space="preserve">“Report”</w:t>
      </w:r>
      <w:r>
        <w:t xml:space="preserve">). The</w:t>
      </w:r>
      <w:r>
        <w:t xml:space="preserve"> </w:t>
      </w:r>
      <w:r>
        <w:t xml:space="preserve">panel arrangement is chrome, not part of the shared view: only the top bar’s</w:t>
      </w:r>
      <w:r>
        <w:t xml:space="preserve"> </w:t>
      </w:r>
      <w:r>
        <w:rPr>
          <w:b/>
          <w:bCs/>
        </w:rPr>
        <w:t xml:space="preserve">Share</w:t>
      </w:r>
      <w:r>
        <w:t xml:space="preserve"> </w:t>
      </w:r>
      <w:r>
        <w:t xml:space="preserve">writes it</w:t>
      </w:r>
      <w:r>
        <w:t xml:space="preserve"> </w:t>
      </w:r>
      <w:r>
        <w:t xml:space="preserve">into a link (as a</w:t>
      </w:r>
      <w:r>
        <w:t xml:space="preserve"> </w:t>
      </w:r>
      <w:r>
        <w:rPr>
          <w:rStyle w:val="VerbatimChar"/>
        </w:rPr>
        <w:t xml:space="preserve">ui=</w:t>
      </w:r>
      <w:r>
        <w:t xml:space="preserve"> </w:t>
      </w:r>
      <w:r>
        <w:t xml:space="preserve">token), the address bar does not carry it.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at the</w:t>
      </w:r>
      <w:r>
        <w:t xml:space="preserve"> </w:t>
      </w:r>
      <w:r>
        <w:t xml:space="preserve">bottom right (mirroring to the bottom left when the panel is docked on the right), with a histogram</w:t>
      </w:r>
      <w:r>
        <w:t xml:space="preserve"> </w:t>
      </w:r>
      <w:r>
        <w:t xml:space="preserve">of the whole layer’s values above its colour ramp and a marker for the clicked value; on a phone it</w:t>
      </w:r>
      <w:r>
        <w:t xml:space="preserve"> </w:t>
      </w:r>
      <w:r>
        <w:t xml:space="preserve">is a compact</w:t>
      </w:r>
      <w:r>
        <w:t xml:space="preserve"> </w:t>
      </w:r>
      <w:r>
        <w:rPr>
          <w:b/>
          <w:bCs/>
        </w:rPr>
        <w:t xml:space="preserve">Legend</w:t>
      </w:r>
      <w:r>
        <w:t xml:space="preserve"> </w:t>
      </w:r>
      <w:r>
        <w:t xml:space="preserve">chip above the sheet that opens the full legend, moving into the sheet’s own</w:t>
      </w:r>
      <w:r>
        <w:t xml:space="preserve"> </w:t>
      </w:r>
      <w:r>
        <w:t xml:space="preserve">header at full height.</w:t>
      </w:r>
    </w:p>
    <w:bookmarkEnd w:id="558"/>
    <w:bookmarkStart w:id="563" w:name="sec-atlas-scores"/>
    <w:p>
      <w:pPr>
        <w:pStyle w:val="Heading2"/>
      </w:pPr>
      <w:r>
        <w:t xml:space="preserve">21.4 Scores lens</w:t>
      </w:r>
    </w:p>
    <w:p>
      <w:pPr>
        <w:pStyle w:val="FirstParagraph"/>
      </w:pPr>
      <w:r>
        <w:t xml:space="preserve">The Scores lens shows the composite, extinction-risk-weighted score for every 0.05° cell (or,</w:t>
      </w:r>
      <w:r>
        <w:t xml:space="preserve"> </w:t>
      </w:r>
      <w:r>
        <w:t xml:space="preserve">aggregated, every Program Area) of U.S. waters.</w:t>
      </w:r>
      <w:r>
        <w:t xml:space="preserve"> </w:t>
      </w:r>
      <w:r>
        <w:rPr>
          <w:b/>
          <w:bCs/>
        </w:rPr>
        <w:t xml:space="preserve">Layers</w:t>
      </w:r>
      <w:r>
        <w:t xml:space="preserve"> </w:t>
      </w:r>
      <w:r>
        <w:t xml:space="preserve">(</w:t>
      </w:r>
      <w:hyperlink w:anchor="fig-atlas-layers">
        <w:r>
          <w:rPr>
            <w:rStyle w:val="Hyperlink"/>
          </w:rPr>
          <w:t xml:space="preserve">Figure 21.4</w:t>
        </w:r>
      </w:hyperlink>
      <w:r>
        <w:t xml:space="preserve">) opens with this</w:t>
      </w:r>
      <w:r>
        <w:t xml:space="preserve"> </w:t>
      </w:r>
      <w:r>
        <w:t xml:space="preserve">lens’s own controls at the top: a</w:t>
      </w:r>
      <w:r>
        <w:t xml:space="preserve"> </w:t>
      </w:r>
      <w:r>
        <w:rPr>
          <w:b/>
          <w:bCs/>
        </w:rPr>
        <w:t xml:space="preserve">Raster cells | Program areas</w:t>
      </w:r>
      <w:r>
        <w:t xml:space="preserve"> </w:t>
      </w:r>
      <w:r>
        <w:t xml:space="preserve">switch for the spatial unit, and</w:t>
      </w:r>
      <w:r>
        <w:t xml:space="preserve"> </w:t>
      </w:r>
      <w:r>
        <w:t xml:space="preserve">a</w:t>
      </w:r>
      <w:r>
        <w:t xml:space="preserve"> </w:t>
      </w:r>
      <w:r>
        <w:rPr>
          <w:b/>
          <w:bCs/>
        </w:rPr>
        <w:t xml:space="preserve">Layer</w:t>
      </w:r>
      <w:r>
        <w:t xml:space="preserve"> </w:t>
      </w:r>
      <w:r>
        <w:t xml:space="preserve">menu (the composite score or one component) with a short description of what it</w:t>
      </w:r>
      <w:r>
        <w:t xml:space="preserve"> </w:t>
      </w:r>
      <w:r>
        <w:t xml:space="preserve">shows. Below them,</w:t>
      </w:r>
      <w:r>
        <w:t xml:space="preserve"> </w:t>
      </w:r>
      <w:r>
        <w:rPr>
          <w:b/>
          <w:bCs/>
        </w:rPr>
        <w:t xml:space="preserve">Layers on the map</w:t>
      </w:r>
      <w:r>
        <w:t xml:space="preserve"> </w:t>
      </w:r>
      <w:r>
        <w:t xml:space="preserve">lists the rows you can change, top to bottom:</w:t>
      </w:r>
      <w:r>
        <w:t xml:space="preserve"> </w:t>
      </w:r>
      <w:r>
        <w:rPr>
          <w:b/>
          <w:bCs/>
        </w:rPr>
        <w:t xml:space="preserve">Selection</w:t>
      </w:r>
      <w:r>
        <w:t xml:space="preserve"> </w:t>
      </w:r>
      <w:r>
        <w:t xml:space="preserve">(pinned at the top),</w:t>
      </w:r>
      <w:r>
        <w:t xml:space="preserve"> </w:t>
      </w:r>
      <w:r>
        <w:rPr>
          <w:b/>
          <w:bCs/>
        </w:rPr>
        <w:t xml:space="preserve">Outlines</w:t>
      </w:r>
      <w:r>
        <w:t xml:space="preserve">,</w:t>
      </w:r>
      <w:r>
        <w:t xml:space="preserve"> </w:t>
      </w:r>
      <w:r>
        <w:rPr>
          <w:b/>
          <w:bCs/>
        </w:rPr>
        <w:t xml:space="preserve">Data</w:t>
      </w:r>
      <w:r>
        <w:t xml:space="preserve"> </w:t>
      </w:r>
      <w:r>
        <w:t xml:space="preserve">and</w:t>
      </w:r>
      <w:r>
        <w:t xml:space="preserve"> </w:t>
      </w:r>
      <w:r>
        <w:rPr>
          <w:b/>
          <w:bCs/>
        </w:rPr>
        <w:t xml:space="preserve">Place labels</w:t>
      </w:r>
      <w:r>
        <w:t xml:space="preserve">. Expanding</w:t>
      </w:r>
      <w:r>
        <w:t xml:space="preserve"> </w:t>
      </w:r>
      <w:r>
        <w:rPr>
          <w:b/>
          <w:bCs/>
        </w:rPr>
        <w:t xml:space="preserve">Data</w:t>
      </w:r>
      <w:r>
        <w:t xml:space="preserve"> </w:t>
      </w:r>
      <w:r>
        <w:t xml:space="preserve">gives its</w:t>
      </w:r>
      <w:r>
        <w:t xml:space="preserve"> </w:t>
      </w:r>
      <w:r>
        <w:rPr>
          <w:b/>
          <w:bCs/>
        </w:rPr>
        <w:t xml:space="preserve">Color palette</w:t>
      </w:r>
      <w:r>
        <w:t xml:space="preserve"> </w:t>
      </w:r>
      <w:r>
        <w:t xml:space="preserve">and, where the release publishes that overlay, a</w:t>
      </w:r>
      <w:r>
        <w:t xml:space="preserve"> </w:t>
      </w:r>
      <w:r>
        <w:rPr>
          <w:b/>
          <w:bCs/>
        </w:rPr>
        <w:t xml:space="preserve">Cells outside</w:t>
      </w:r>
      <w:r>
        <w:rPr>
          <w:b/>
          <w:bCs/>
        </w:rPr>
        <w:t xml:space="preserve"> </w:t>
      </w:r>
      <w:r>
        <w:rPr>
          <w:b/>
          <w:bCs/>
        </w:rPr>
        <w:t xml:space="preserve">Program Areas</w:t>
      </w:r>
      <w:r>
        <w:t xml:space="preserve"> </w:t>
      </w:r>
      <w:r>
        <w:t xml:space="preserve">switch; a</w:t>
      </w:r>
      <w:r>
        <w:t xml:space="preserve"> </w:t>
      </w:r>
      <w:r>
        <w:rPr>
          <w:b/>
          <w:bCs/>
        </w:rPr>
        <w:t xml:space="preserve">Sphere (globe projection)</w:t>
      </w:r>
      <w:r>
        <w:t xml:space="preserve"> </w:t>
      </w:r>
      <w:r>
        <w:t xml:space="preserve">switch sits under the list. Every row’s</w:t>
      </w:r>
      <w:r>
        <w:t xml:space="preserve"> </w:t>
      </w:r>
      <w:r>
        <w:t xml:space="preserve">visibility and opacity can be changed and most can be reordered, but</w:t>
      </w:r>
      <w:r>
        <w:t xml:space="preserve"> </w:t>
      </w:r>
      <w:r>
        <w:rPr>
          <w:b/>
          <w:bCs/>
        </w:rPr>
        <w:t xml:space="preserve">Data</w:t>
      </w:r>
      <w:r>
        <w:t xml:space="preserve"> </w:t>
      </w:r>
      <w:r>
        <w:t xml:space="preserve">can never move</w:t>
      </w:r>
      <w:r>
        <w:t xml:space="preserve"> </w:t>
      </w:r>
      <w:r>
        <w:t xml:space="preserve">above</w:t>
      </w:r>
      <w:r>
        <w:t xml:space="preserve"> </w:t>
      </w:r>
      <w:r>
        <w:rPr>
          <w:b/>
          <w:bCs/>
        </w:rPr>
        <w:t xml:space="preserve">Outlines</w:t>
      </w:r>
      <w:r>
        <w:t xml:space="preserve">, so an opaque score raster can never hide the boundaries it is measured</w:t>
      </w:r>
      <w:r>
        <w:t xml:space="preserve"> </w:t>
      </w:r>
      <w:r>
        <w:t xml:space="preserve">against. The basemap’s land, boundaries and roads are drawn under everything and have no row of</w:t>
      </w:r>
      <w:r>
        <w:t xml:space="preserve"> </w:t>
      </w:r>
      <w:r>
        <w:t xml:space="preserve">their own.</w:t>
      </w:r>
      <w:r>
        <w:t xml:space="preserve"> </w:t>
      </w:r>
      <w:r>
        <w:rPr>
          <w:b/>
          <w:bCs/>
        </w:rPr>
        <w:t xml:space="preserve">Reset layers</w:t>
      </w:r>
      <w:r>
        <w:t xml:space="preserve"> </w:t>
      </w:r>
      <w:r>
        <w:t xml:space="preserve">restores the default stack.</w:t>
      </w:r>
    </w:p>
    <w:tbl>
      <w:tblPr>
        <w:tblStyle w:val="Table"/>
        <w:tblW w:type="pct" w:w="5000"/>
        <w:tblLayout w:type="fixed"/>
        <w:tblLook w:firstRow="0" w:lastRow="0" w:firstColumn="0" w:lastColumn="0" w:noHBand="0" w:noVBand="0" w:val="0000"/>
      </w:tblPr>
      <w:tblGrid>
        <w:gridCol w:w="7920"/>
      </w:tblGrid>
      <w:tr>
        <w:tc>
          <w:tcPr/>
          <w:bookmarkStart w:id="562" w:name="fig-atlas-layers"/>
          <w:p>
            <w:pPr>
              <w:pStyle w:val="Compact"/>
              <w:jc w:val="center"/>
            </w:pPr>
            <w:r>
              <w:drawing>
                <wp:inline>
                  <wp:extent cx="5334000" cy="3333750"/>
                  <wp:effectExtent b="0" l="0" r="0" t="0"/>
                  <wp:docPr descr="" title="" id="560" name="Picture"/>
                  <a:graphic>
                    <a:graphicData uri="http://schemas.openxmlformats.org/drawingml/2006/picture">
                      <pic:pic>
                        <pic:nvPicPr>
                          <pic:cNvPr descr="images/atlas/desktop-layers.png" id="561" name="Picture"/>
                          <pic:cNvPicPr>
                            <a:picLocks noChangeArrowheads="1" noChangeAspect="1"/>
                          </pic:cNvPicPr>
                        </pic:nvPicPr>
                        <pic:blipFill>
                          <a:blip r:embed="rId55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21.4: The Layers panel with Place labels moved above Data (one</w:t>
            </w:r>
            <w:r>
              <w:t xml:space="preserve"> </w:t>
            </w:r>
            <w:r>
              <w:t xml:space="preserve">“move up”</w:t>
            </w:r>
            <w:r>
              <w:t xml:space="preserve"> </w:t>
            </w:r>
            <w:r>
              <w:t xml:space="preserve">click) to show the reorder feature, and Data expanded to its Color palette menu and the Cells outside Program Areas switch. The panel’s header names what is on the map (</w:t>
            </w:r>
            <w:r>
              <w:t xml:space="preserve">“Score · Raster cells”</w:t>
            </w:r>
            <w:r>
              <w:t xml:space="preserve">); the Raster cells and Program areas switch, the Layer menu with a short description of the score, and the layer stack sit below it. Atlas 0.10.91, release v7, 2026-10-16.</w:t>
            </w:r>
          </w:p>
          <w:bookmarkEnd w:id="562"/>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Details</w:t>
      </w:r>
      <w:r>
        <w:t xml:space="preserve"> </w:t>
      </w:r>
      <w:r>
        <w:t xml:space="preserve">(flower plot) and</w:t>
      </w:r>
      <w:r>
        <w:t xml:space="preserve"> </w:t>
      </w:r>
      <w:r>
        <w:rPr>
          <w:b/>
          <w:bCs/>
        </w:rPr>
        <w:t xml:space="preserve">Table</w:t>
      </w:r>
      <w:r>
        <w:t xml:space="preserve"> </w:t>
      </w:r>
      <w:r>
        <w:t xml:space="preserve">tools then</w:t>
      </w:r>
      <w:r>
        <w:t xml:space="preserve"> </w:t>
      </w:r>
      <w:r>
        <w:t xml:space="preserve">describe (</w:t>
      </w:r>
      <w:hyperlink w:anchor="sec-atlas-flower-table">
        <w:r>
          <w:rPr>
            <w:rStyle w:val="Hyperlink"/>
          </w:rPr>
          <w:t xml:space="preserve">Section 21.8</w:t>
        </w:r>
      </w:hyperlink>
      <w:r>
        <w:t xml:space="preserve">). A click never switches tools: it updates Details in place and</w:t>
      </w:r>
      <w:r>
        <w:t xml:space="preserve"> </w:t>
      </w:r>
      <w:r>
        <w:t xml:space="preserve">adds a</w:t>
      </w:r>
      <w:r>
        <w:t xml:space="preserve"> </w:t>
      </w:r>
      <w:r>
        <w:t xml:space="preserve">“Last clicked”</w:t>
      </w:r>
      <w:r>
        <w:t xml:space="preserve"> </w:t>
      </w:r>
      <w:r>
        <w:t xml:space="preserve">row to the Report tool.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563"/>
    <w:bookmarkStart w:id="568" w:name="species-lens"/>
    <w:p>
      <w:pPr>
        <w:pStyle w:val="Heading2"/>
      </w:pPr>
      <w:r>
        <w:t xml:space="preserve">21.5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w:t>
      </w:r>
      <w:r>
        <w:t xml:space="preserve"> </w:t>
      </w:r>
      <w:r>
        <w:rPr>
          <w:b/>
          <w:bCs/>
        </w:rPr>
        <w:t xml:space="preserve">Layers</w:t>
      </w:r>
      <w:r>
        <w:t xml:space="preserve"> </w:t>
      </w:r>
      <w:r>
        <w:t xml:space="preserve">then leads with a</w:t>
      </w:r>
      <w:r>
        <w:t xml:space="preserve"> </w:t>
      </w:r>
      <w:r>
        <w:rPr>
          <w:b/>
          <w:bCs/>
        </w:rPr>
        <w:t xml:space="preserve">Model input</w:t>
      </w:r>
      <w:r>
        <w:t xml:space="preserve"> </w:t>
      </w:r>
      <w:r>
        <w:t xml:space="preserve">picker — a bar headed</w:t>
      </w:r>
      <w:r>
        <w:t xml:space="preserve"> </w:t>
      </w:r>
      <w:r>
        <w:rPr>
          <w:b/>
          <w:bCs/>
        </w:rPr>
        <w:t xml:space="preserve">✓ Merged Model (maximum of</w:t>
      </w:r>
      <w:r>
        <w:rPr>
          <w:b/>
          <w:bCs/>
        </w:rPr>
        <w:t xml:space="preserve"> </w:t>
      </w:r>
      <w:r>
        <w:rPr>
          <w:b/>
          <w:bCs/>
          <w:i/>
          <w:iCs/>
        </w:rPr>
        <w:t xml:space="preserve">N</w:t>
      </w:r>
      <w:r>
        <w:rPr>
          <w:b/>
          <w:bCs/>
        </w:rPr>
        <w:t xml:space="preserve"> </w:t>
      </w:r>
      <w:r>
        <w:rPr>
          <w:b/>
          <w:bCs/>
        </w:rPr>
        <w:t xml:space="preserve">inputs)</w:t>
      </w:r>
      <w:r>
        <w:t xml:space="preserve"> </w:t>
      </w:r>
      <w:r>
        <w:t xml:space="preserve">(▶ and the input’s name once an</w:t>
      </w:r>
      <w:r>
        <w:t xml:space="preserve"> </w:t>
      </w:r>
      <w:r>
        <w:t xml:space="preserve">input is picked) with a gold left edge, the active layer as a gold-filled pill, plus one pill per</w:t>
      </w:r>
      <w:r>
        <w:t xml:space="preserve"> </w:t>
      </w:r>
      <w:r>
        <w:t xml:space="preserve">contributing input dataset — a</w:t>
      </w:r>
      <w:r>
        <w:t xml:space="preserve"> </w:t>
      </w:r>
      <w:r>
        <w:rPr>
          <w:b/>
          <w:bCs/>
        </w:rPr>
        <w:t xml:space="preserve">Zoom to layer on change</w:t>
      </w:r>
      <w:r>
        <w:t xml:space="preserve"> </w:t>
      </w:r>
      <w:r>
        <w:t xml:space="preserve">checkbox (on by default; picking an input</w:t>
      </w:r>
      <w:r>
        <w:t xml:space="preserve"> </w:t>
      </w:r>
      <w:r>
        <w:t xml:space="preserve">refits the camera to that surface, and</w:t>
      </w:r>
      <w:r>
        <w:t xml:space="preserve"> </w:t>
      </w:r>
      <w:r>
        <w:rPr>
          <w:rStyle w:val="VerbatimChar"/>
        </w:rPr>
        <w:t xml:space="preserve">zl=0</w:t>
      </w:r>
      <w:r>
        <w:t xml:space="preserve"> </w:t>
      </w:r>
      <w:r>
        <w:t xml:space="preserve">in the link turns it off), and, where the selected</w:t>
      </w:r>
      <w:r>
        <w:t xml:space="preserve"> </w:t>
      </w:r>
      <w:r>
        <w:t xml:space="preserve">input publishes both, a labelled</w:t>
      </w:r>
      <w:r>
        <w:t xml:space="preserve"> </w:t>
      </w:r>
      <w:r>
        <w:rPr>
          <w:b/>
          <w:bCs/>
        </w:rPr>
        <w:t xml:space="preserve">Show … as</w:t>
      </w:r>
      <w:r>
        <w:t xml:space="preserve"> </w:t>
      </w:r>
      <w:r>
        <w:t xml:space="preserve">switch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 ingested”</w:t>
      </w:r>
      <w:r>
        <w:t xml:space="preserve"> </w:t>
      </w:r>
      <w:r>
        <w:t xml:space="preserve">for a dataset already on the scoring grid). Below it the</w:t>
      </w:r>
      <w:r>
        <w:t xml:space="preserve"> </w:t>
      </w:r>
      <w:r>
        <w:rPr>
          <w:b/>
          <w:bCs/>
        </w:rPr>
        <w:t xml:space="preserve">Data</w:t>
      </w:r>
      <w:r>
        <w:t xml:space="preserve"> </w:t>
      </w:r>
      <w:r>
        <w:t xml:space="preserve">row carries the</w:t>
      </w:r>
      <w:r>
        <w:t xml:space="preserve"> </w:t>
      </w:r>
      <w:r>
        <w:t xml:space="preserve">species title with its zoom actions. An input’s raster is found the way the retired Species Shiny</w:t>
      </w:r>
      <w:r>
        <w:t xml:space="preserve"> </w:t>
      </w:r>
      <w:r>
        <w:t xml:space="preserve">app found it — through the release’s</w:t>
      </w:r>
      <w:r>
        <w:t xml:space="preserve"> </w:t>
      </w:r>
      <w:r>
        <w:rPr>
          <w:b/>
          <w:bCs/>
        </w:rPr>
        <w:t xml:space="preserve">model-asset registry</w:t>
      </w:r>
      <w:r>
        <w:t xml:space="preserve">, looked up by model key — and an input</w:t>
      </w:r>
      <w:r>
        <w:t xml:space="preserve"> </w:t>
      </w:r>
      <w:r>
        <w:t xml:space="preserve">whose registry row is missing renders as a</w:t>
      </w:r>
      <w:r>
        <w:t xml:space="preserve"> </w:t>
      </w:r>
      <w:r>
        <w:rPr>
          <w:b/>
          <w:bCs/>
        </w:rPr>
        <w:t xml:space="preserve">struck-through, non-interactive pill</w:t>
      </w:r>
      <w:r>
        <w:t xml:space="preserve">, never simply</w:t>
      </w:r>
      <w:r>
        <w:t xml:space="preserve"> </w:t>
      </w:r>
      <w:r>
        <w:t xml:space="preserve">omitted. The species’ own information — names, ESA listing, IUCN Red List category, WoRMS id, and the</w:t>
      </w:r>
      <w:r>
        <w:t xml:space="preserve"> </w:t>
      </w:r>
      <w:r>
        <w:t xml:space="preserve">tree of values (the merged model and its inputs, the layer on screen in bold) — is in</w:t>
      </w:r>
      <w:r>
        <w:t xml:space="preserve"> </w:t>
      </w:r>
      <w:r>
        <w:rPr>
          <w:b/>
          <w:bCs/>
        </w:rPr>
        <w:t xml:space="preserve">Details</w:t>
      </w:r>
      <w:r>
        <w:t xml:space="preserve">.</w:t>
      </w:r>
      <w:r>
        <w:t xml:space="preserve"> </w:t>
      </w:r>
      <w:r>
        <w:t xml:space="preserve">Selecting a species flies the map to that model’s extent; clicking it then returns that cell’s</w:t>
      </w:r>
      <w:r>
        <w:t xml:space="preserve"> </w:t>
      </w:r>
      <w:r>
        <w:t xml:space="preserve">modelled value, or</w:t>
      </w:r>
      <w:r>
        <w:t xml:space="preserve"> </w:t>
      </w:r>
      <w:r>
        <w:rPr>
          <w:i/>
          <w:iCs/>
        </w:rPr>
        <w:t xml:space="preserve">“No scored cell here”</w:t>
      </w:r>
      <w:r>
        <w:t xml:space="preserve"> </w:t>
      </w:r>
      <w:r>
        <w:t xml:space="preserve">outside the model’s range. The legend floats in a corner</w:t>
      </w:r>
      <w:r>
        <w:t xml:space="preserve"> </w:t>
      </w:r>
      <w:r>
        <w:t xml:space="preserve">of the map (a legend chip on a phone), titled with the species’ common and scientific name, with a</w:t>
      </w:r>
      <w:r>
        <w:t xml:space="preserve"> </w:t>
      </w:r>
      <w:r>
        <w:t xml:space="preserve">subtitle naming the layer and its 1–100 range.</w:t>
      </w:r>
    </w:p>
    <w:tbl>
      <w:tblPr>
        <w:tblStyle w:val="Table"/>
        <w:tblW w:type="pct" w:w="5000"/>
        <w:tblLayout w:type="fixed"/>
        <w:tblLook w:firstRow="0" w:lastRow="0" w:firstColumn="0" w:lastColumn="0" w:noHBand="0" w:noVBand="0" w:val="0000"/>
      </w:tblPr>
      <w:tblGrid>
        <w:gridCol w:w="7920"/>
      </w:tblGrid>
      <w:tr>
        <w:tc>
          <w:tcPr/>
          <w:bookmarkStart w:id="567" w:name="fig-atlas-species"/>
          <w:p>
            <w:pPr>
              <w:pStyle w:val="Compact"/>
              <w:jc w:val="center"/>
            </w:pPr>
            <w:r>
              <w:drawing>
                <wp:inline>
                  <wp:extent cx="5334000" cy="3333750"/>
                  <wp:effectExtent b="0" l="0" r="0" t="0"/>
                  <wp:docPr descr="" title="" id="565" name="Picture"/>
                  <a:graphic>
                    <a:graphicData uri="http://schemas.openxmlformats.org/drawingml/2006/picture">
                      <pic:pic>
                        <pic:nvPicPr>
                          <pic:cNvPr descr="images/atlas/desktop-species.png" id="566" name="Picture"/>
                          <pic:cNvPicPr>
                            <a:picLocks noChangeArrowheads="1" noChangeAspect="1"/>
                          </pic:cNvPicPr>
                        </pic:nvPicPr>
                        <pic:blipFill>
                          <a:blip r:embed="rId56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21.5: The Species lens’ Layers panel for the leatherback turtle (</w:t>
            </w:r>
            <w:r>
              <w:rPr>
                <w:i/>
                <w:iCs/>
              </w:rPr>
              <w:t xml:space="preserve">Dermochelys coriacea</w:t>
            </w:r>
            <w:r>
              <w:t xml:space="preserve">): the merged model selected, with all six of its inputs available as pills. In the layer stack, the expanded Data row shows the scientific and common names (each with a copy button) and, for a wide-range model, a US waters / Whole range zoom switch. Atlas 0.10.91, release v7, 2026-10-16.</w:t>
            </w:r>
          </w:p>
          <w:bookmarkEnd w:id="567"/>
        </w:tc>
      </w:tr>
    </w:tbl>
    <w:bookmarkEnd w:id="568"/>
    <w:bookmarkStart w:id="577" w:name="sec-atlas-places"/>
    <w:p>
      <w:pPr>
        <w:pStyle w:val="Heading2"/>
      </w:pPr>
      <w:r>
        <w:t xml:space="preserve">21.6 Places</w:t>
      </w:r>
    </w:p>
    <w:p>
      <w:pPr>
        <w:pStyle w:val="FirstParagraph"/>
      </w:pPr>
      <w:r>
        <w:rPr>
          <w:b/>
          <w:bCs/>
        </w:rPr>
        <w:t xml:space="preserve">Places</w:t>
      </w:r>
      <w:r>
        <w:t xml:space="preserve"> </w:t>
      </w:r>
      <w:r>
        <w:t xml:space="preserve">— the first part of the</w:t>
      </w:r>
      <w:r>
        <w:t xml:space="preserve"> </w:t>
      </w:r>
      <w:r>
        <w:rPr>
          <w:b/>
          <w:bCs/>
        </w:rPr>
        <w:t xml:space="preserve">Report</w:t>
      </w:r>
      <w:r>
        <w:t xml:space="preserve"> </w:t>
      </w:r>
      <w:r>
        <w:t xml:space="preserve">tool, listed with its count (</w:t>
      </w:r>
      <w:r>
        <w:t xml:space="preserve">“Places 2 / 20”</w:t>
      </w:r>
      <w:r>
        <w:t xml:space="preserve">) above</w:t>
      </w:r>
      <w:r>
        <w:t xml:space="preserve"> </w:t>
      </w:r>
      <w:r>
        <w:t xml:space="preserve">an</w:t>
      </w:r>
      <w:r>
        <w:t xml:space="preserve"> </w:t>
      </w:r>
      <w:r>
        <w:rPr>
          <w:b/>
          <w:bCs/>
        </w:rPr>
        <w:t xml:space="preserve">Add a place</w:t>
      </w:r>
      <w:r>
        <w:t xml:space="preserve"> </w:t>
      </w:r>
      <w:r>
        <w:t xml:space="preserve">section — is what the two retired Shiny apps did not have: any area you outline</w:t>
      </w:r>
      <w:r>
        <w:t xml:space="preserve"> </w:t>
      </w:r>
      <w:r>
        <w:t xml:space="preserve">gets the same scores and species results the built-in Program Areas get. The empty state reads</w:t>
      </w:r>
      <w:r>
        <w:t xml:space="preserve"> </w:t>
      </w:r>
      <w:r>
        <w:t xml:space="preserve">exactly:</w:t>
      </w:r>
      <w:r>
        <w:t xml:space="preserve"> </w:t>
      </w:r>
      <w:r>
        <w:rPr>
          <w:i/>
          <w:iCs/>
        </w:rPr>
        <w:t xml:space="preserve">“No places yet. Click the map, or add one below.”</w:t>
      </w:r>
      <w:r>
        <w:t xml:space="preserve"> </w:t>
      </w:r>
      <w:r>
        <w:t xml:space="preserve">A click on the map shows up as a pink</w:t>
      </w:r>
      <w:r>
        <w:t xml:space="preserve"> </w:t>
      </w:r>
      <w:r>
        <w:rPr>
          <w:b/>
          <w:bCs/>
        </w:rPr>
        <w:t xml:space="preserve">Last clicked</w:t>
      </w:r>
      <w:r>
        <w:t xml:space="preserve"> </w:t>
      </w:r>
      <w:r>
        <w:t xml:space="preserve">row with an</w:t>
      </w:r>
      <w:r>
        <w:t xml:space="preserve"> </w:t>
      </w:r>
      <w:r>
        <w:rPr>
          <w:b/>
          <w:bCs/>
        </w:rPr>
        <w:t xml:space="preserve">Add</w:t>
      </w:r>
      <w:r>
        <w:t xml:space="preserve"> </w:t>
      </w:r>
      <w:r>
        <w:t xml:space="preserve">button, which hides once that place is in the list; a click</w:t>
      </w:r>
      <w:r>
        <w:t xml:space="preserve"> </w:t>
      </w:r>
      <w:r>
        <w:t xml:space="preserve">never wipes places you have explicitly added.</w:t>
      </w:r>
    </w:p>
    <w:p>
      <w:pPr>
        <w:pStyle w:val="Compact"/>
        <w:numPr>
          <w:ilvl w:val="0"/>
          <w:numId w:val="1061"/>
        </w:numPr>
      </w:pPr>
      <w:r>
        <w:rPr>
          <w:b/>
          <w:bCs/>
        </w:rPr>
        <w:t xml:space="preserve">Pick a Program Area.</w:t>
      </w:r>
      <w:r>
        <w:t xml:space="preserve"> </w:t>
      </w:r>
      <w:r>
        <w:t xml:space="preserve">The</w:t>
      </w:r>
      <w:r>
        <w:t xml:space="preserve"> </w:t>
      </w:r>
      <w:r>
        <w:rPr>
          <w:b/>
          <w:bCs/>
        </w:rPr>
        <w:t xml:space="preserve">Add a Program Area</w:t>
      </w:r>
      <w:r>
        <w:t xml:space="preserve"> </w:t>
      </w:r>
      <w:r>
        <w:t xml:space="preserve">chooser plus</w:t>
      </w:r>
      <w:r>
        <w:t xml:space="preserve"> </w:t>
      </w:r>
      <w:r>
        <w:rPr>
          <w:b/>
          <w:bCs/>
        </w:rPr>
        <w:t xml:space="preserve">Add this Program Area</w:t>
      </w:r>
      <w:r>
        <w:t xml:space="preserve"> </w:t>
      </w:r>
      <w:r>
        <w:t xml:space="preserve">needs no</w:t>
      </w:r>
      <w:r>
        <w:t xml:space="preserve"> </w:t>
      </w:r>
      <w:r>
        <w:t xml:space="preserve">pointer and works on a phone. Or turn on</w:t>
      </w:r>
      <w:r>
        <w:t xml:space="preserve"> </w:t>
      </w:r>
      <w:r>
        <w:rPr>
          <w:b/>
          <w:bCs/>
        </w:rPr>
        <w:t xml:space="preserve">Pick mode</w:t>
      </w:r>
      <w:r>
        <w:t xml:space="preserve"> </w:t>
      </w:r>
      <w:r>
        <w:t xml:space="preserve">and click on the map — that only highlights</w:t>
      </w:r>
      <w:r>
        <w:t xml:space="preserve"> </w:t>
      </w:r>
      <w:r>
        <w:t xml:space="preserve">it (Ctrl/Cmd-click, Shift-click or long-press to highlight several) — and</w:t>
      </w:r>
      <w:r>
        <w:t xml:space="preserve"> </w:t>
      </w:r>
      <w:r>
        <w:rPr>
          <w:b/>
          <w:bCs/>
        </w:rPr>
        <w:t xml:space="preserve">“Add to places (n)”</w:t>
      </w:r>
      <w:r>
        <w:t xml:space="preserve"> </w:t>
      </w:r>
      <w:r>
        <w:t xml:space="preserve">is the button that actually adds it; several picks become</w:t>
      </w:r>
      <w:r>
        <w:t xml:space="preserve"> </w:t>
      </w:r>
      <w:r>
        <w:rPr>
          <w:b/>
          <w:bCs/>
        </w:rPr>
        <w:t xml:space="preserve">one</w:t>
      </w:r>
      <w:r>
        <w:t xml:space="preserve"> </w:t>
      </w:r>
      <w:r>
        <w:t xml:space="preserve">place.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everywhere: Places, search, the map tooltip, the Details flower’s title, the Table</w:t>
      </w:r>
      <w:r>
        <w:t xml:space="preserve"> </w:t>
      </w:r>
      <w:r>
        <w:t xml:space="preserve">header, the Zones table and the report.</w:t>
      </w:r>
    </w:p>
    <w:p>
      <w:pPr>
        <w:pStyle w:val="Compact"/>
        <w:numPr>
          <w:ilvl w:val="0"/>
          <w:numId w:val="1061"/>
        </w:numPr>
      </w:pPr>
      <w:r>
        <w:rPr>
          <w:b/>
          <w:bCs/>
        </w:rPr>
        <w:t xml:space="preserve">Pick from the gazetteer.</w:t>
      </w:r>
      <w:r>
        <w:t xml:space="preserve"> </w:t>
      </w:r>
      <w:r>
        <w:t xml:space="preserve">Turn on</w:t>
      </w:r>
      <w:r>
        <w:t xml:space="preserve"> </w:t>
      </w:r>
      <w:r>
        <w:rPr>
          <w:b/>
          <w:bCs/>
        </w:rPr>
        <w:t xml:space="preserve">Pick from gazetteer</w:t>
      </w:r>
      <w:r>
        <w:t xml:space="preserve"> </w:t>
      </w:r>
      <w:r>
        <w:t xml:space="preserve">to show the gazetteer’s polygons on the</w:t>
      </w:r>
      <w:r>
        <w:t xml:space="preserve"> </w:t>
      </w:r>
      <w:r>
        <w:t xml:space="preserve">map and click one to add it. The place is carried in the link by its gazetteer id, not its outline</w:t>
      </w:r>
      <w:r>
        <w:t xml:space="preserve"> </w:t>
      </w:r>
      <w:r>
        <w:t xml:space="preserve">(</w:t>
      </w:r>
      <w:hyperlink w:anchor="sec-atlas-place-links">
        <w:r>
          <w:rPr>
            <w:rStyle w:val="Hyperlink"/>
          </w:rPr>
          <w:t xml:space="preserve">Section 21.7</w:t>
        </w:r>
      </w:hyperlink>
      <w:r>
        <w:t xml:space="preserve">); other gazetteer collections appear in a</w:t>
      </w:r>
      <w:r>
        <w:t xml:space="preserve"> </w:t>
      </w:r>
      <w:r>
        <w:rPr>
          <w:b/>
          <w:bCs/>
        </w:rPr>
        <w:t xml:space="preserve">Gazetteer layer</w:t>
      </w:r>
      <w:r>
        <w:t xml:space="preserve"> </w:t>
      </w:r>
      <w:r>
        <w:t xml:space="preserve">selector once</w:t>
      </w:r>
      <w:r>
        <w:t xml:space="preserve"> </w:t>
      </w:r>
      <w:r>
        <w:t xml:space="preserve">the gazetteer publishes its layer list, and the map’s credit line names the gazetteer’s data while</w:t>
      </w:r>
      <w:r>
        <w:t xml:space="preserve"> </w:t>
      </w:r>
      <w:r>
        <w:t xml:space="preserve">its polygons or places are shown.</w:t>
      </w:r>
    </w:p>
    <w:p>
      <w:pPr>
        <w:pStyle w:val="Compact"/>
        <w:numPr>
          <w:ilvl w:val="0"/>
          <w:numId w:val="1061"/>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61"/>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61"/>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572" w:name="fig-atlas-places"/>
          <w:p>
            <w:pPr>
              <w:pStyle w:val="Compact"/>
              <w:jc w:val="center"/>
            </w:pPr>
            <w:r>
              <w:drawing>
                <wp:inline>
                  <wp:extent cx="5334000" cy="3333750"/>
                  <wp:effectExtent b="0" l="0" r="0" t="0"/>
                  <wp:docPr descr="" title="" id="570" name="Picture"/>
                  <a:graphic>
                    <a:graphicData uri="http://schemas.openxmlformats.org/drawingml/2006/picture">
                      <pic:pic>
                        <pic:nvPicPr>
                          <pic:cNvPr descr="images/atlas/desktop-places.png" id="571" name="Picture"/>
                          <pic:cNvPicPr>
                            <a:picLocks noChangeArrowheads="1" noChangeAspect="1"/>
                          </pic:cNvPicPr>
                        </pic:nvPicPr>
                        <pic:blipFill>
                          <a:blip r:embed="rId56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21.6: The Report tool’s list of places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34.7 composite) whose coverage note reads</w:t>
            </w:r>
            <w:r>
              <w:t xml:space="preserve"> </w:t>
            </w:r>
            <w:r>
              <w:t xml:space="preserve">“100.0% of this place is inside the US study area (3,600 of 3,600 cells),”</w:t>
            </w:r>
            <w:r>
              <w:t xml:space="preserve"> </w:t>
            </w:r>
            <w:r>
              <w:t xml:space="preserve">with its flower plot below; the box is outlined in pink over the Gulf of America on the map. The grey</w:t>
            </w:r>
            <w:r>
              <w:t xml:space="preserve"> </w:t>
            </w:r>
            <w:r>
              <w:t xml:space="preserve">“Component”</w:t>
            </w:r>
            <w:r>
              <w:t xml:space="preserve"> </w:t>
            </w:r>
            <w:r>
              <w:t xml:space="preserve">box over the Open report button is a rendering glitch in this build (a results-table header cell showing through the pinned footer). Atlas 0.10.91, release v7, 2026-10-16.</w:t>
            </w:r>
          </w:p>
          <w:bookmarkEnd w:id="57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76" w:name="fig-atlas-coords"/>
          <w:p>
            <w:pPr>
              <w:pStyle w:val="Compact"/>
              <w:jc w:val="center"/>
            </w:pPr>
            <w:r>
              <w:drawing>
                <wp:inline>
                  <wp:extent cx="5334000" cy="3333750"/>
                  <wp:effectExtent b="0" l="0" r="0" t="0"/>
                  <wp:docPr descr="" title="" id="574" name="Picture"/>
                  <a:graphic>
                    <a:graphicData uri="http://schemas.openxmlformats.org/drawingml/2006/picture">
                      <pic:pic>
                        <pic:nvPicPr>
                          <pic:cNvPr descr="images/atlas/desktop-coordinate-dialog.png" id="575" name="Picture"/>
                          <pic:cNvPicPr>
                            <a:picLocks noChangeArrowheads="1" noChangeAspect="1"/>
                          </pic:cNvPicPr>
                        </pic:nvPicPr>
                        <pic:blipFill>
                          <a:blip r:embed="rId57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21.7: The</w:t>
            </w:r>
            <w:r>
              <w:t xml:space="preserve"> </w:t>
            </w:r>
            <w:r>
              <w:t xml:space="preserve">“Enter coordinates”</w:t>
            </w:r>
            <w:r>
              <w:t xml:space="preserve"> </w:t>
            </w:r>
            <w:r>
              <w:t xml:space="preserve">dialog after a single longitude, latitude point (</w:t>
            </w:r>
            <w:r>
              <w:t xml:space="preserve">“-124.1, 40.2”</w:t>
            </w:r>
            <w:r>
              <w:t xml:space="preserve">) was entered and</w:t>
            </w:r>
            <w:r>
              <w:t xml:space="preserve"> </w:t>
            </w:r>
            <w:r>
              <w:rPr>
                <w:b/>
                <w:bCs/>
              </w:rPr>
              <w:t xml:space="preserve">Add place</w:t>
            </w:r>
            <w:r>
              <w:t xml:space="preserve"> </w:t>
            </w:r>
            <w:r>
              <w:t xml:space="preserve">clicked: it is refused, because the text matches none of the three accepted shapes (a bounding box, a list of coordinates, pasted WKT/GeoJSON). Atlas 0.10.91, release v7, 2026-10-16.</w:t>
            </w:r>
          </w:p>
          <w:bookmarkEnd w:id="576"/>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21.8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Report</w:t>
      </w:r>
      <w:r>
        <w:t xml:space="preserve"> </w:t>
      </w:r>
      <w:r>
        <w:t xml:space="preserve">tool’s footer is pinned to the bottom of the pane: a sentence saying what the report is about</w:t>
      </w:r>
      <w:r>
        <w:t xml:space="preserve"> </w:t>
      </w:r>
      <w:r>
        <w:t xml:space="preserve">(</w:t>
      </w:r>
      <w:r>
        <w:t xml:space="preserve">“Reporting on 2 places.”</w:t>
      </w:r>
      <w:r>
        <w:t xml:space="preserve">,</w:t>
      </w:r>
      <w:r>
        <w:t xml:space="preserve"> </w:t>
      </w:r>
      <w:r>
        <w:t xml:space="preserve">“Reporting on the last clicked place. Add it to keep it.”</w:t>
      </w:r>
      <w:r>
        <w:t xml:space="preserve">, or</w:t>
      </w:r>
      <w:r>
        <w:t xml:space="preserve"> </w:t>
      </w:r>
      <w:r>
        <w:t xml:space="preserve">“Add a</w:t>
      </w:r>
      <w:r>
        <w:t xml:space="preserve"> </w:t>
      </w:r>
      <w:r>
        <w:t xml:space="preserve">place to open a report.”</w:t>
      </w:r>
      <w:r>
        <w:t xml:space="preserve">), the gold</w:t>
      </w:r>
      <w:r>
        <w:t xml:space="preserve"> </w:t>
      </w:r>
      <w:r>
        <w:rPr>
          <w:b/>
          <w:bCs/>
        </w:rPr>
        <w:t xml:space="preserve">Open report</w:t>
      </w:r>
      <w:r>
        <w:t xml:space="preserve"> </w:t>
      </w:r>
      <w:r>
        <w:t xml:space="preserve">button (disabled with nothing to report on),</w:t>
      </w:r>
      <w:r>
        <w:t xml:space="preserve"> </w:t>
      </w:r>
      <w:r>
        <w:t xml:space="preserve">then</w:t>
      </w:r>
      <w:r>
        <w:t xml:space="preserve"> </w:t>
      </w:r>
      <w:r>
        <w:rPr>
          <w:b/>
          <w:bCs/>
        </w:rPr>
        <w:t xml:space="preserve">Share</w:t>
      </w:r>
      <w:r>
        <w:t xml:space="preserve"> </w:t>
      </w:r>
      <w:r>
        <w:t xml:space="preserve">and</w:t>
      </w:r>
      <w:r>
        <w:t xml:space="preserve"> </w:t>
      </w:r>
      <w:r>
        <w:rPr>
          <w:b/>
          <w:bCs/>
        </w:rPr>
        <w:t xml:space="preserve">Download places</w:t>
      </w:r>
      <w:r>
        <w:t xml:space="preserve"> </w:t>
      </w:r>
      <w:r>
        <w:t xml:space="preserve">(GeoJSON, with each gazetteer place’s id), the last two</w:t>
      </w:r>
      <w:r>
        <w:t xml:space="preserve"> </w:t>
      </w:r>
      <w:r>
        <w:t xml:space="preserve">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to the</w:t>
      </w:r>
      <w:r>
        <w:t xml:space="preserve"> </w:t>
      </w:r>
      <w:r>
        <w:t xml:space="preserve">clipboard, plus a</w:t>
      </w:r>
      <w:r>
        <w:t xml:space="preserve"> </w:t>
      </w:r>
      <w:r>
        <w:rPr>
          <w:rStyle w:val="VerbatimChar"/>
        </w:rPr>
        <w:t xml:space="preserve">ui=</w:t>
      </w:r>
      <w:r>
        <w:t xml:space="preserve"> </w:t>
      </w:r>
      <w:r>
        <w:t xml:space="preserve">token that records the panel arrangement — no dialog, no summary, no length</w:t>
      </w:r>
      <w:r>
        <w:t xml:space="preserve"> </w:t>
      </w:r>
      <w:r>
        <w:t xml:space="preserve">check. The</w:t>
      </w:r>
      <w:r>
        <w:t xml:space="preserve"> </w:t>
      </w:r>
      <w:r>
        <w:rPr>
          <w:b/>
          <w:bCs/>
        </w:rPr>
        <w:t xml:space="preserve">Share</w:t>
      </w:r>
      <w:r>
        <w:t xml:space="preserve"> </w:t>
      </w:r>
      <w:r>
        <w:t xml:space="preserve">at the foot of the Report tool opens the real dialog described next, and is the</w:t>
      </w:r>
      <w:r>
        <w:t xml:space="preserve"> </w:t>
      </w:r>
      <w:r>
        <w:t xml:space="preserve">one to use whenever places are involved.</w:t>
      </w:r>
    </w:p>
    <w:bookmarkEnd w:id="577"/>
    <w:bookmarkStart w:id="588" w:name="sec-atlas-place-links"/>
    <w:p>
      <w:pPr>
        <w:pStyle w:val="Heading2"/>
      </w:pPr>
      <w:r>
        <w:t xml:space="preserve">21.7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#pl=z.pa.GAA~g1.Gulf%20box.EAMBAQSf_grYrQPQDwAA0A_PDwA~p.NMS%3ACINMS.Channel%20Islands</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62"/>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62"/>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62"/>
        </w:numPr>
      </w:pPr>
      <w:r>
        <w:rPr>
          <w:rStyle w:val="VerbatimChar"/>
          <w:b/>
          <w:bCs/>
        </w:rPr>
        <w:t xml:space="preserve">p.&lt;place_id&gt;.&lt;name&gt;</w:t>
      </w:r>
      <w:r>
        <w:t xml:space="preserve"> </w:t>
      </w:r>
      <w:r>
        <w:t xml:space="preserve">— a gazetteer place, carried</w:t>
      </w:r>
      <w:r>
        <w:t xml:space="preserve"> </w:t>
      </w:r>
      <w:r>
        <w:rPr>
          <w:b/>
          <w:bCs/>
        </w:rPr>
        <w:t xml:space="preserve">by reference</w:t>
      </w:r>
      <w:r>
        <w:t xml:space="preserve">: only the gazetteer’s</w:t>
      </w:r>
      <w:r>
        <w:t xml:space="preserve"> </w:t>
      </w:r>
      <w:r>
        <w:rPr>
          <w:rStyle w:val="VerbatimChar"/>
        </w:rPr>
        <w:t xml:space="preserve">place_id</w:t>
      </w:r>
      <w:r>
        <w:t xml:space="preserve"> </w:t>
      </w:r>
      <w:r>
        <w:t xml:space="preserve">and a display name travel, e.g. </w:t>
      </w:r>
      <w:r>
        <w:rPr>
          <w:rStyle w:val="VerbatimChar"/>
        </w:rPr>
        <w:t xml:space="preserve">p.NMS%3ACINMS.Channel%20Islands</w:t>
      </w:r>
      <w:r>
        <w:t xml:space="preserve">. It is fetched when</w:t>
      </w:r>
      <w:r>
        <w:t xml:space="preserve"> </w:t>
      </w:r>
      <w:r>
        <w:t xml:space="preserve">the link opens and analysed like a drawn place; if the gazetteer cannot be reached the place stays</w:t>
      </w:r>
      <w:r>
        <w:t xml:space="preserve"> </w:t>
      </w:r>
      <w:r>
        <w:t xml:space="preserve">in the list (and the link) with a</w:t>
      </w:r>
      <w:r>
        <w:t xml:space="preserve"> </w:t>
      </w:r>
      <w:r>
        <w:t xml:space="preserve">“couldn’t load”</w:t>
      </w:r>
      <w:r>
        <w:t xml:space="preserve"> </w:t>
      </w:r>
      <w:r>
        <w:t xml:space="preserve">note and a Retry. Links made before 0.10.88 open</w:t>
      </w:r>
      <w:r>
        <w:t xml:space="preserve"> </w:t>
      </w:r>
      <w:r>
        <w:t xml:space="preserve">unchanged, but an older Atlas drops a</w:t>
      </w:r>
      <w:r>
        <w:t xml:space="preserve"> </w:t>
      </w:r>
      <w:r>
        <w:rPr>
          <w:rStyle w:val="VerbatimChar"/>
        </w:rPr>
        <w:t xml:space="preserve">p.</w:t>
      </w:r>
      <w:r>
        <w:t xml:space="preserve"> </w:t>
      </w:r>
      <w:r>
        <w:t xml:space="preserve">place it cannot read.</w:t>
      </w:r>
    </w:p>
    <w:p>
      <w:pPr>
        <w:pStyle w:val="Compact"/>
        <w:numPr>
          <w:ilvl w:val="0"/>
          <w:numId w:val="1062"/>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8" name="Picture"/>
                  <a:graphic>
                    <a:graphicData uri="http://schemas.openxmlformats.org/drawingml/2006/picture">
                      <pic:pic>
                        <pic:nvPicPr>
                          <pic:cNvPr descr="/Applications/quarto/share/formats/docx/note.png" id="57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the Report tool’s Share dialog.</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21.9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583" w:name="fig-atlas-share"/>
          <w:p>
            <w:pPr>
              <w:pStyle w:val="Compact"/>
              <w:jc w:val="center"/>
            </w:pPr>
            <w:r>
              <w:drawing>
                <wp:inline>
                  <wp:extent cx="5334000" cy="3333750"/>
                  <wp:effectExtent b="0" l="0" r="0" t="0"/>
                  <wp:docPr descr="" title="" id="581" name="Picture"/>
                  <a:graphic>
                    <a:graphicData uri="http://schemas.openxmlformats.org/drawingml/2006/picture">
                      <pic:pic>
                        <pic:nvPicPr>
                          <pic:cNvPr descr="images/atlas/desktop-share-dialog.png" id="582" name="Picture"/>
                          <pic:cNvPicPr>
                            <a:picLocks noChangeArrowheads="1" noChangeAspect="1"/>
                          </pic:cNvPicPr>
                        </pic:nvPicPr>
                        <pic:blipFill>
                          <a:blip r:embed="rId58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21.8: The Share dialog for one place (the Program Area GAA): what the link carries and its exact length. The dialog is opened from the Share button at the foot of the Report tool. Atlas 0.10.91, release v7, 2026-10-16.</w:t>
            </w:r>
          </w:p>
          <w:bookmarkEnd w:id="58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7" w:name="fig-atlas-share-ladder"/>
          <w:p>
            <w:pPr>
              <w:pStyle w:val="Compact"/>
              <w:jc w:val="center"/>
            </w:pPr>
            <w:r>
              <w:drawing>
                <wp:inline>
                  <wp:extent cx="5334000" cy="3333750"/>
                  <wp:effectExtent b="0" l="0" r="0" t="0"/>
                  <wp:docPr descr="" title="" id="585" name="Picture"/>
                  <a:graphic>
                    <a:graphicData uri="http://schemas.openxmlformats.org/drawingml/2006/picture">
                      <pic:pic>
                        <pic:nvPicPr>
                          <pic:cNvPr descr="images/atlas/desktop-share-ladder.png" id="586" name="Picture"/>
                          <pic:cNvPicPr>
                            <a:picLocks noChangeArrowheads="1" noChangeAspect="1"/>
                          </pic:cNvPicPr>
                        </pic:nvPicPr>
                        <pic:blipFill>
                          <a:blip r:embed="rId58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21.9: The Share dialog’s simplification ladder for an oversized place (a 3,600-point coordinate list in the Gulf of America): the link length shown, the before/after vertex count, area change and cell count of the proposed rung, and the</w:t>
            </w:r>
            <w:r>
              <w:t xml:space="preserve"> </w:t>
            </w:r>
            <w:r>
              <w:t xml:space="preserve">“Simplify and update the numbers”</w:t>
            </w:r>
            <w:r>
              <w:t xml:space="preserve"> </w:t>
            </w:r>
            <w:r>
              <w:t xml:space="preserve">button. A results-table header cell (</w:t>
            </w:r>
            <w:r>
              <w:t xml:space="preserve">“Component”</w:t>
            </w:r>
            <w:r>
              <w:t xml:space="preserve">) shows through the panel’s footer at the bottom left, a known layout glitch (atlas#7). Atlas 0.10.91, release v7, 2026-10-16.</w:t>
            </w:r>
          </w:p>
          <w:bookmarkEnd w:id="587"/>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 </w:t>
      </w:r>
      <w:r>
        <w:t xml:space="preserve">(with</w:t>
      </w:r>
      <w:r>
        <w:t xml:space="preserve"> </w:t>
      </w:r>
      <w:r>
        <w:rPr>
          <w:rStyle w:val="VerbatimChar"/>
        </w:rPr>
        <w:t xml:space="preserve">in</w:t>
      </w:r>
      <w:r>
        <w:t xml:space="preserve">,</w:t>
      </w:r>
      <w:r>
        <w:t xml:space="preserve"> </w:t>
      </w:r>
      <w:r>
        <w:rPr>
          <w:rStyle w:val="VerbatimChar"/>
        </w:rPr>
        <w:t xml:space="preserve">rep</w:t>
      </w:r>
      <w:r>
        <w:t xml:space="preserve"> </w:t>
      </w:r>
      <w:r>
        <w:t xml:space="preserve">and</w:t>
      </w:r>
      <w:r>
        <w:t xml:space="preserve"> </w:t>
      </w:r>
      <w:r>
        <w:rPr>
          <w:rStyle w:val="VerbatimChar"/>
        </w:rPr>
        <w:t xml:space="preserve">us</w:t>
      </w:r>
      <w:r>
        <w:t xml:space="preserve"> </w:t>
      </w:r>
      <w:r>
        <w:t xml:space="preserve">for a species’ input, representation and US-waters filter),</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21.4</w:t>
        </w:r>
      </w:hyperlink>
      <w:r>
        <w:t xml:space="preserve">),</w:t>
      </w:r>
      <w:r>
        <w:t xml:space="preserve"> </w:t>
      </w:r>
      <w:r>
        <w:rPr>
          <w:rStyle w:val="VerbatimChar"/>
        </w:rPr>
        <w:t xml:space="preserve">zl</w:t>
      </w:r>
      <w:r>
        <w:t xml:space="preserve"> </w:t>
      </w:r>
      <w:r>
        <w:t xml:space="preserve">(zoom to layer),</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w:t>
      </w:r>
      <w:r>
        <w:t xml:space="preserve"> </w:t>
      </w:r>
      <w:r>
        <w:t xml:space="preserve">from its default.</w:t>
      </w:r>
      <w:r>
        <w:t xml:space="preserve"> </w:t>
      </w:r>
      <w:r>
        <w:rPr>
          <w:rStyle w:val="VerbatimChar"/>
        </w:rPr>
        <w:t xml:space="preserve">?tool=report</w:t>
      </w:r>
      <w:r>
        <w:t xml:space="preserve"> </w:t>
      </w:r>
      <w:r>
        <w:t xml:space="preserve">(or</w:t>
      </w:r>
      <w:r>
        <w:t xml:space="preserve"> </w:t>
      </w:r>
      <w:r>
        <w:rPr>
          <w:rStyle w:val="VerbatimChar"/>
        </w:rPr>
        <w:t xml:space="preserve">layers</w:t>
      </w:r>
      <w:r>
        <w:t xml:space="preserve">,</w:t>
      </w:r>
      <w:r>
        <w:t xml:space="preserve"> </w:t>
      </w:r>
      <w:r>
        <w:rPr>
          <w:rStyle w:val="VerbatimChar"/>
        </w:rPr>
        <w:t xml:space="preserve">details</w:t>
      </w:r>
      <w:r>
        <w:t xml:space="preserve">,</w:t>
      </w:r>
      <w:r>
        <w:t xml:space="preserve"> </w:t>
      </w:r>
      <w:r>
        <w:rPr>
          <w:rStyle w:val="VerbatimChar"/>
        </w:rPr>
        <w:t xml:space="preserve">table</w:t>
      </w:r>
      <w:r>
        <w:t xml:space="preserve">) opens that rail tool and counts as a deep link, so the</w:t>
      </w:r>
      <w:r>
        <w:t xml:space="preserve"> </w:t>
      </w:r>
      <w:r>
        <w:t xml:space="preserve">first-visit welcome does not cover it; the top-bar Share adds a</w:t>
      </w:r>
      <w:r>
        <w:t xml:space="preserve"> </w:t>
      </w:r>
      <w:r>
        <w:rPr>
          <w:rStyle w:val="VerbatimChar"/>
        </w:rPr>
        <w:t xml:space="preserve">ui=</w:t>
      </w:r>
      <w:r>
        <w:t xml:space="preserve"> </w:t>
      </w:r>
      <w:r>
        <w:t xml:space="preserve">token for the panel</w:t>
      </w:r>
      <w:r>
        <w:t xml:space="preserve"> </w:t>
      </w:r>
      <w:r>
        <w:t xml:space="preserve">arrangement. A link from the retired Shiny apps (</w:t>
      </w:r>
      <w:r>
        <w:rPr>
          <w:rStyle w:val="VerbatimChar"/>
        </w:rPr>
        <w:t xml:space="preserve">mdl_key</w:t>
      </w:r>
      <w:r>
        <w:t xml:space="preserve">,</w:t>
      </w:r>
      <w:r>
        <w:t xml:space="preserve"> </w:t>
      </w:r>
      <w:r>
        <w:rPr>
          <w:rStyle w:val="VerbatimChar"/>
        </w:rPr>
        <w:t xml:space="preserve">mdl_seq</w:t>
      </w:r>
      <w:r>
        <w:t xml:space="preserve">) is rewritten to</w:t>
      </w:r>
      <w:r>
        <w:t xml:space="preserve"> </w:t>
      </w:r>
      <w:r>
        <w:rPr>
          <w:rStyle w:val="VerbatimChar"/>
        </w:rPr>
        <w:t xml:space="preserve">sp</w:t>
      </w:r>
      <w:r>
        <w:t xml:space="preserve"> </w:t>
      </w:r>
      <w:r>
        <w:t xml:space="preserve">(and</w:t>
      </w:r>
      <w:r>
        <w:t xml:space="preserve"> </w:t>
      </w:r>
      <w:r>
        <w:rPr>
          <w:rStyle w:val="VerbatimChar"/>
        </w:rPr>
        <w:t xml:space="preserve">in</w:t>
      </w:r>
      <w:r>
        <w:t xml:space="preserve"> </w:t>
      </w:r>
      <w:r>
        <w:t xml:space="preserve">when it named an input) when the Atlas loads.</w:t>
      </w:r>
    </w:p>
    <w:bookmarkEnd w:id="588"/>
    <w:bookmarkStart w:id="597" w:name="sec-atlas-flower-table"/>
    <w:p>
      <w:pPr>
        <w:pStyle w:val="Heading2"/>
      </w:pPr>
      <w:r>
        <w:t xml:space="preserve">21.8 Details and Table</w:t>
      </w:r>
    </w:p>
    <w:p>
      <w:pPr>
        <w:pStyle w:val="FirstParagraph"/>
      </w:pPr>
      <w:r>
        <w:rPr>
          <w:b/>
          <w:bCs/>
        </w:rPr>
        <w:t xml:space="preserve">Details</w:t>
      </w:r>
      <w:r>
        <w:t xml:space="preserve"> </w:t>
      </w:r>
      <w:r>
        <w:t xml:space="preserve">(the rail’s second tool) describes what was last clicked, and is the same tool in both</w:t>
      </w:r>
      <w:r>
        <w:t xml:space="preserve"> </w:t>
      </w:r>
      <w:r>
        <w:t xml:space="preserve">lenses. In the Scores lens it is the</w:t>
      </w:r>
      <w:r>
        <w:t xml:space="preserve"> </w:t>
      </w:r>
      <w:r>
        <w:rPr>
          <w:b/>
          <w:bCs/>
        </w:rPr>
        <w:t xml:space="preserve">Flower plot</w:t>
      </w:r>
      <w:r>
        <w:t xml:space="preserve"> </w:t>
      </w:r>
      <w:r>
        <w:t xml:space="preserve">for the clicked cell or Program Area, headed by</w:t>
      </w:r>
      <w:r>
        <w:t xml:space="preserve"> </w:t>
      </w:r>
      <w:r>
        <w:t xml:space="preserve">its subject (</w:t>
      </w:r>
      <w:r>
        <w:t xml:space="preserve">“Cell 3372565 · 28.275° N, 83.575° W”</w:t>
      </w:r>
      <w:r>
        <w:t xml:space="preserve"> </w:t>
      </w:r>
      <w:r>
        <w:t xml:space="preserve">or the Program Area’s full name), with</w:t>
      </w:r>
      <w:r>
        <w:t xml:space="preserve"> </w:t>
      </w:r>
      <w:r>
        <w:rPr>
          <w:b/>
          <w:bCs/>
        </w:rPr>
        <w:t xml:space="preserve">Add to</w:t>
      </w:r>
      <w:r>
        <w:rPr>
          <w:b/>
          <w:bCs/>
        </w:rPr>
        <w:t xml:space="preserve"> </w:t>
      </w:r>
      <w:r>
        <w:rPr>
          <w:b/>
          <w:bCs/>
        </w:rPr>
        <w:t xml:space="preserve">report</w:t>
      </w:r>
      <w:r>
        <w:t xml:space="preserve"> </w:t>
      </w:r>
      <w:r>
        <w:t xml:space="preserve">and</w:t>
      </w:r>
      <w:r>
        <w:t xml:space="preserve"> </w:t>
      </w:r>
      <w:r>
        <w:rPr>
          <w:b/>
          <w:bCs/>
        </w:rPr>
        <w:t xml:space="preserve">Open table</w:t>
      </w:r>
      <w:r>
        <w:t xml:space="preserve"> </w:t>
      </w:r>
      <w:r>
        <w:t xml:space="preserve">buttons; with nothing clicked it shows the flower for All US waters. In</w:t>
      </w:r>
      <w:r>
        <w:t xml:space="preserve"> </w:t>
      </w:r>
      <w:r>
        <w:t xml:space="preserve">the Species lens it is the species’ information (see the Species lens above). A drawn place’s flower</w:t>
      </w:r>
      <w:r>
        <w:t xml:space="preserve"> </w:t>
      </w:r>
      <w:r>
        <w:t xml:space="preserve">and species table live in the Report tool’s results panel instead (</w:t>
      </w:r>
      <w:hyperlink w:anchor="sec-atlas-places">
        <w:r>
          <w:rPr>
            <w:rStyle w:val="Hyperlink"/>
          </w:rPr>
          <w:t xml:space="preserve">Section 21.6</w:t>
        </w:r>
      </w:hyperlink>
      <w:r>
        <w:t xml:space="preserv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592" w:name="fig-atlas-flower"/>
          <w:p>
            <w:pPr>
              <w:pStyle w:val="Compact"/>
              <w:jc w:val="center"/>
            </w:pPr>
            <w:r>
              <w:drawing>
                <wp:inline>
                  <wp:extent cx="5334000" cy="3333750"/>
                  <wp:effectExtent b="0" l="0" r="0" t="0"/>
                  <wp:docPr descr="" title="" id="590" name="Picture"/>
                  <a:graphic>
                    <a:graphicData uri="http://schemas.openxmlformats.org/drawingml/2006/picture">
                      <pic:pic>
                        <pic:nvPicPr>
                          <pic:cNvPr descr="images/atlas/desktop-flower.png" id="591" name="Picture"/>
                          <pic:cNvPicPr>
                            <a:picLocks noChangeArrowheads="1" noChangeAspect="1"/>
                          </pic:cNvPicPr>
                        </pic:nvPicPr>
                        <pic:blipFill>
                          <a:blip r:embed="rId58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21.10: The Details tool for a clicked cell in the Gulf of America: one petal per score component, and the values table below it. The panel is headed by the cell’s subject line, with Add to report and Open table buttons above the flower; the map shows the cell’s popup (score 50). The click, aimed at 28.3° N, 83.6° W, landed in cell 3369460 (centre 28.325° N, 83.675° W). Atlas 0.10.91, release v7, 2026-10-16.</w:t>
            </w:r>
          </w:p>
          <w:bookmarkEnd w:id="592"/>
        </w:tc>
      </w:tr>
    </w:tbl>
    <w:p>
      <w:pPr>
        <w:pStyle w:val="BodyText"/>
      </w:pPr>
      <w:r>
        <w:rPr>
          <w:b/>
          <w:bCs/>
        </w:rPr>
        <w:t xml:space="preserve">Table</w:t>
      </w:r>
      <w:r>
        <w:t xml:space="preserve"> </w:t>
      </w:r>
      <w:r>
        <w:t xml:space="preserve">takes the whole stage beside the rail, with a one-row header: a</w:t>
      </w:r>
      <w:r>
        <w:t xml:space="preserve"> </w:t>
      </w:r>
      <w:r>
        <w:rPr>
          <w:b/>
          <w:bCs/>
        </w:rPr>
        <w:t xml:space="preserve">← Map</w:t>
      </w:r>
      <w:r>
        <w:t xml:space="preserve"> </w:t>
      </w:r>
      <w:r>
        <w:t xml:space="preserve">button that collapses the panel, what is shown (</w:t>
      </w:r>
      <w:r>
        <w:t xml:space="preserve">“Species in Cell …”</w:t>
      </w:r>
      <w:r>
        <w:t xml:space="preserve">,</w:t>
      </w:r>
      <w:r>
        <w:t xml:space="preserve"> </w:t>
      </w:r>
      <w:r>
        <w:t xml:space="preserve">“Species in All US waters”</w:t>
      </w:r>
      <w:r>
        <w:t xml:space="preserve">,</w:t>
      </w:r>
      <w:r>
        <w:t xml:space="preserve"> </w:t>
      </w:r>
      <w:r>
        <w:t xml:space="preserve">“Species for 2 places”</w:t>
      </w:r>
      <w:r>
        <w:t xml:space="preserve">), the column glossary and the CSV download. In the Species lens the Table lists the species’</w:t>
      </w:r>
      <w:r>
        <w:t xml:space="preserve"> </w:t>
      </w:r>
      <w:r>
        <w:rPr>
          <w:b/>
          <w:bCs/>
        </w:rPr>
        <w:t xml:space="preserve">model inputs</w:t>
      </w:r>
      <w:r>
        <w:t xml:space="preserve"> </w:t>
      </w:r>
      <w:r>
        <w:t xml:space="preserve">instead (with its own CSV download). In the Scores lens it opens three underline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596" w:name="fig-atlas-table"/>
          <w:p>
            <w:pPr>
              <w:pStyle w:val="Compact"/>
              <w:jc w:val="center"/>
            </w:pPr>
            <w:r>
              <w:drawing>
                <wp:inline>
                  <wp:extent cx="5334000" cy="3333750"/>
                  <wp:effectExtent b="0" l="0" r="0" t="0"/>
                  <wp:docPr descr="" title="" id="594" name="Picture"/>
                  <a:graphic>
                    <a:graphicData uri="http://schemas.openxmlformats.org/drawingml/2006/picture">
                      <pic:pic>
                        <pic:nvPicPr>
                          <pic:cNvPr descr="images/atlas/desktop-table.png" id="595" name="Picture"/>
                          <pic:cNvPicPr>
                            <a:picLocks noChangeArrowheads="1" noChangeAspect="1"/>
                          </pic:cNvPicPr>
                        </pic:nvPicPr>
                        <pic:blipFill>
                          <a:blip r:embed="rId59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21.11: The Table tool’s Species tab for the clicked cell in</w:t>
            </w:r>
            <w:r>
              <w:t xml:space="preserve"> </w:t>
            </w:r>
            <w:hyperlink w:anchor="fig-atlas-flower">
              <w:r>
                <w:rPr>
                  <w:rStyle w:val="Hyperlink"/>
                </w:rPr>
                <w:t xml:space="preserve">Figure 21.10</w:t>
              </w:r>
            </w:hyperlink>
            <w:r>
              <w:t xml:space="preserve">. The Table fills the whole stage beside the rail, with a single header row (← Map, the subject, Species · Zones · Composition tabs, a glossary button and a CSV download). Atlas 0.10.91, release v7, 2026-10-16.</w:t>
            </w:r>
          </w:p>
          <w:bookmarkEnd w:id="596"/>
        </w:tc>
      </w:tr>
    </w:tbl>
    <w:bookmarkEnd w:id="597"/>
    <w:bookmarkStart w:id="606" w:name="report"/>
    <w:p>
      <w:pPr>
        <w:pStyle w:val="Heading2"/>
      </w:pPr>
      <w:r>
        <w:t xml:space="preserve">21.9 Report</w:t>
      </w:r>
    </w:p>
    <w:p>
      <w:pPr>
        <w:pStyle w:val="FirstParagraph"/>
      </w:pPr>
      <w:r>
        <w:t xml:space="preserve">The</w:t>
      </w:r>
      <w:r>
        <w:t xml:space="preserve"> </w:t>
      </w:r>
      <w:r>
        <w:rPr>
          <w:b/>
          <w:bCs/>
        </w:rPr>
        <w:t xml:space="preserve">Open report</w:t>
      </w:r>
      <w:r>
        <w:t xml:space="preserve"> </w:t>
      </w:r>
      <w:r>
        <w:t xml:space="preserve">button 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w:t>
      </w:r>
      <w:r>
        <w:t xml:space="preserve"> </w:t>
      </w:r>
      <w:r>
        <w:t xml:space="preserve">it reports the single selected Program Area; with neither, it is disabled and the footer says</w:t>
      </w:r>
      <w:r>
        <w:t xml:space="preserve"> </w:t>
      </w:r>
      <w:r>
        <w:t xml:space="preserve">“Add</w:t>
      </w:r>
      <w:r>
        <w:t xml:space="preserve"> </w:t>
      </w:r>
      <w:r>
        <w:t xml:space="preserve">a place to open a report.”</w:t>
      </w:r>
      <w:r>
        <w:t xml:space="preserve"> </w:t>
      </w:r>
      <w:r>
        <w:t xml:space="preserve">A clicked cell is not reported until you</w:t>
      </w:r>
      <w:r>
        <w:t xml:space="preserve"> </w:t>
      </w:r>
      <w:r>
        <w:rPr>
          <w:b/>
          <w:bCs/>
        </w:rPr>
        <w:t xml:space="preserve">Add</w:t>
      </w:r>
      <w:r>
        <w:t xml:space="preserve"> </w:t>
      </w:r>
      <w:r>
        <w:t xml:space="preserve">it as a place: the button</w:t>
      </w:r>
      <w:r>
        <w:t xml:space="preserve"> </w:t>
      </w:r>
      <w:r>
        <w:t xml:space="preserve">stays disabled, even though the footer then reads</w:t>
      </w:r>
      <w:r>
        <w:t xml:space="preserve"> </w:t>
      </w:r>
      <w:r>
        <w:t xml:space="preserve">“Reporting on the last clicked place. Add it to</w:t>
      </w:r>
      <w:r>
        <w:t xml:space="preserve"> </w:t>
      </w:r>
      <w:r>
        <w:t xml:space="preserve">keep it.”</w:t>
      </w:r>
      <w:r>
        <w:t xml:space="preserve"> </w:t>
      </w:r>
      <w:r>
        <w:t xml:space="preserve">A row’s own</w:t>
      </w:r>
      <w:r>
        <w:t xml:space="preserve"> </w:t>
      </w:r>
      <w:r>
        <w:rPr>
          <w:b/>
          <w:bCs/>
        </w:rPr>
        <w:t xml:space="preserve">Open in report</w:t>
      </w:r>
      <w:r>
        <w:t xml:space="preserve"> </w:t>
      </w:r>
      <w:r>
        <w:t xml:space="preserve">reports just that row’s place. The report</w:t>
      </w:r>
      <w:r>
        <w:t xml:space="preserve"> </w:t>
      </w:r>
      <w:r>
        <w:t xml:space="preserve">opens in a new tab and renders progressively as its data arrives:</w:t>
      </w:r>
    </w:p>
    <w:p>
      <w:pPr>
        <w:pStyle w:val="Compact"/>
        <w:numPr>
          <w:ilvl w:val="0"/>
          <w:numId w:val="1063"/>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63"/>
        </w:numPr>
      </w:pPr>
      <w:r>
        <w:t xml:space="preserve">an</w:t>
      </w:r>
      <w:r>
        <w:t xml:space="preserve"> </w:t>
      </w:r>
      <w:r>
        <w:rPr>
          <w:b/>
          <w:bCs/>
        </w:rPr>
        <w:t xml:space="preserve">introduction</w:t>
      </w:r>
      <w:r>
        <w:t xml:space="preserve">;</w:t>
      </w:r>
    </w:p>
    <w:p>
      <w:pPr>
        <w:pStyle w:val="Compact"/>
        <w:numPr>
          <w:ilvl w:val="0"/>
          <w:numId w:val="1063"/>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63"/>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63"/>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63"/>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63"/>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63"/>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63"/>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601" w:name="fig-atlas-report"/>
          <w:p>
            <w:pPr>
              <w:pStyle w:val="Compact"/>
              <w:jc w:val="center"/>
            </w:pPr>
            <w:r>
              <w:drawing>
                <wp:inline>
                  <wp:extent cx="5334000" cy="3333750"/>
                  <wp:effectExtent b="0" l="0" r="0" t="0"/>
                  <wp:docPr descr="" title="" id="599" name="Picture"/>
                  <a:graphic>
                    <a:graphicData uri="http://schemas.openxmlformats.org/drawingml/2006/picture">
                      <pic:pic>
                        <pic:nvPicPr>
                          <pic:cNvPr descr="images/atlas/desktop-report.png" id="600" name="Picture"/>
                          <pic:cNvPicPr>
                            <a:picLocks noChangeArrowheads="1" noChangeAspect="1"/>
                          </pic:cNvPicPr>
                        </pic:nvPicPr>
                        <pic:blipFill>
                          <a:blip r:embed="rId59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21.12: The report document for the Program Area GAA, opened from the Report tool’s</w:t>
            </w:r>
            <w:r>
              <w:t xml:space="preserve"> </w:t>
            </w:r>
            <w:r>
              <w:rPr>
                <w:b/>
                <w:bCs/>
              </w:rPr>
              <w:t xml:space="preserve">Open report</w:t>
            </w:r>
            <w:r>
              <w:t xml:space="preserve"> </w:t>
            </w:r>
            <w:r>
              <w:t xml:space="preserve">button in a new tab: the export buttons, the MMA seal, a release chip, a permalink and QR code, the Introduction, a Parameters disclosure and the start of the interactive map. The title reads</w:t>
            </w:r>
            <w:r>
              <w:t xml:space="preserve"> </w:t>
            </w:r>
            <w:r>
              <w:t xml:space="preserve">“BOEM Marine Sensitivity Report”</w:t>
            </w:r>
            <w:r>
              <w:t xml:space="preserve"> </w:t>
            </w:r>
            <w:r>
              <w:t xml:space="preserve">because the link carries no</w:t>
            </w:r>
            <w:r>
              <w:t xml:space="preserve"> </w:t>
            </w:r>
            <w:r>
              <w:rPr>
                <w:rStyle w:val="VerbatimChar"/>
              </w:rPr>
              <w:t xml:space="preserve">t=</w:t>
            </w:r>
            <w:r>
              <w:t xml:space="preserve"> </w:t>
            </w:r>
            <w:r>
              <w:t xml:space="preserve">title. Atlas 0.10.91, release v7, 2026-10-16.</w:t>
            </w:r>
          </w:p>
          <w:bookmarkEnd w:id="60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5" w:name="fig-atlas-report-scores"/>
          <w:p>
            <w:pPr>
              <w:pStyle w:val="Compact"/>
              <w:jc w:val="center"/>
            </w:pPr>
            <w:r>
              <w:drawing>
                <wp:inline>
                  <wp:extent cx="5334000" cy="3333750"/>
                  <wp:effectExtent b="0" l="0" r="0" t="0"/>
                  <wp:docPr descr="" title="" id="603" name="Picture"/>
                  <a:graphic>
                    <a:graphicData uri="http://schemas.openxmlformats.org/drawingml/2006/picture">
                      <pic:pic>
                        <pic:nvPicPr>
                          <pic:cNvPr descr="images/atlas/desktop-report-scores.png" id="604" name="Picture"/>
                          <pic:cNvPicPr>
                            <a:picLocks noChangeArrowheads="1" noChangeAspect="1"/>
                          </pic:cNvPicPr>
                        </pic:nvPicPr>
                        <pic:blipFill>
                          <a:blip r:embed="rId60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21.13: The report’s Table of Scores and the start of the Summary of Species, for the same Program Area (GOA Program Area A, GAA). The species-count table is wider than the page and is cut at its right edge. Atlas 0.10.91, release v7, 2026-10-16.</w:t>
            </w:r>
          </w:p>
          <w:bookmarkEnd w:id="605"/>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606"/>
    <w:bookmarkStart w:id="609" w:name="accessibility-and-performance-notes"/>
    <w:p>
      <w:pPr>
        <w:pStyle w:val="Heading2"/>
      </w:pPr>
      <w:r>
        <w:t xml:space="preserve">21.10 Accessibility and performance notes</w:t>
      </w:r>
    </w:p>
    <w:p>
      <w:pPr>
        <w:pStyle w:val="FirstParagraph"/>
      </w:pPr>
      <w:r>
        <w:t xml:space="preserve">The Atlas ships a written</w:t>
      </w:r>
      <w:r>
        <w:t xml:space="preserve"> </w:t>
      </w:r>
      <w:hyperlink r:id="rId607">
        <w:r>
          <w:rPr>
            <w:rStyle w:val="Hyperlink"/>
          </w:rPr>
          <w:t xml:space="preserve">WCAG 2.1 conformance note</w:t>
        </w:r>
      </w:hyperlink>
      <w:r>
        <w:t xml:space="preserve"> </w:t>
      </w:r>
      <w:r>
        <w:t xml:space="preserve">and a</w:t>
      </w:r>
      <w:r>
        <w:t xml:space="preserve"> </w:t>
      </w:r>
      <w:hyperlink r:id="rId608">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(it has been 460 KB since 0.10.89), plus</w:t>
      </w:r>
      <w:r>
        <w:t xml:space="preserve"> </w:t>
      </w:r>
      <w:r>
        <w:rPr>
          <w:b/>
          <w:bCs/>
        </w:rPr>
        <w:t xml:space="preserve">~140 KB</w:t>
      </w:r>
      <w:r>
        <w:t xml:space="preserve"> </w:t>
      </w:r>
      <w:r>
        <w:t xml:space="preserve">for the MapLibre worker</w:t>
      </w:r>
      <w:r>
        <w:t xml:space="preserve"> </w:t>
      </w:r>
      <w:r>
        <w:t xml:space="preserve">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The</w:t>
      </w:r>
      <w:r>
        <w:t xml:space="preserve"> </w:t>
      </w:r>
      <w:r>
        <w:t xml:space="preserve">measured numbers may have moved since; see the linked reports for current ones.</w:t>
      </w:r>
    </w:p>
    <w:bookmarkEnd w:id="609"/>
    <w:bookmarkStart w:id="610" w:name="when-a-service-is-down"/>
    <w:p>
      <w:pPr>
        <w:pStyle w:val="Heading2"/>
      </w:pPr>
      <w:r>
        <w:t xml:space="preserve">21.11 When a service is down</w:t>
      </w:r>
    </w:p>
    <w:p>
      <w:pPr>
        <w:pStyle w:val="FirstParagraph"/>
      </w:pPr>
      <w:r>
        <w:t xml:space="preserve">Since 0.10.58,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banner — since 0.10.62 it sits in the map stage, below the top bar, so it never covers</w:t>
      </w:r>
      <w:r>
        <w:t xml:space="preserve"> </w:t>
      </w:r>
      <w:r>
        <w:t xml:space="preserve">the top bar’s controls —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610"/>
    <w:bookmarkStart w:id="615" w:name="feedback-and-versions"/>
    <w:p>
      <w:pPr>
        <w:pStyle w:val="Heading2"/>
      </w:pPr>
      <w:r>
        <w:t xml:space="preserve">21.12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retired Shiny</w:t>
      </w:r>
      <w:r>
        <w:t xml:space="preserve"> </w:t>
      </w:r>
      <w:r>
        <w:rPr>
          <w:rStyle w:val="VerbatimChar"/>
        </w:rPr>
        <w:t xml:space="preserve">scores</w:t>
      </w:r>
      <w:r>
        <w:t xml:space="preserve">/</w:t>
      </w:r>
      <w:r>
        <w:rPr>
          <w:rStyle w:val="VerbatimChar"/>
        </w:rPr>
        <w:t xml:space="preserve">species</w:t>
      </w:r>
      <w:r>
        <w:t xml:space="preserve"> </w:t>
      </w:r>
      <w:r>
        <w:t xml:space="preserve">apps also wrote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reads, for example,</w:t>
      </w:r>
      <w:r>
        <w:t xml:space="preserve"> </w:t>
      </w:r>
      <w:r>
        <w:t xml:space="preserve">“v9 is a pre-release under review and is not shown on this</w:t>
      </w:r>
      <w:r>
        <w:t xml:space="preserve"> </w:t>
      </w:r>
      <w:r>
        <w:t xml:space="preserve">host”</w:t>
      </w:r>
      <w:r>
        <w:t xml:space="preserve"> </w:t>
      </w:r>
      <w:r>
        <w:t xml:space="preserve">and offers</w:t>
      </w:r>
      <w:r>
        <w:t xml:space="preserve"> </w:t>
      </w:r>
      <w:r>
        <w:t xml:space="preserve">“Continue on the preview host”</w:t>
      </w:r>
      <w:r>
        <w:t xml:space="preserve"> </w:t>
      </w:r>
      <w:r>
        <w:t xml:space="preserve">(a link straight to that release’s Atlas there, at</w:t>
      </w:r>
      <w:r>
        <w:t xml:space="preserve"> </w:t>
      </w:r>
      <w:r>
        <w:rPr>
          <w:rStyle w:val="VerbatimChar"/>
        </w:rPr>
        <w:t xml:space="preserve">https://preview.marinesensitivity.org/v9/atlas/?ver=v9</w:t>
      </w:r>
      <w:r>
        <w:t xml:space="preserve">), an unrecognized 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614" w:name="fig-atlas-versions"/>
          <w:p>
            <w:pPr>
              <w:pStyle w:val="Compact"/>
              <w:jc w:val="center"/>
            </w:pPr>
            <w:r>
              <w:drawing>
                <wp:inline>
                  <wp:extent cx="5334000" cy="3333750"/>
                  <wp:effectExtent b="0" l="0" r="0" t="0"/>
                  <wp:docPr descr="" title="" id="612" name="Picture"/>
                  <a:graphic>
                    <a:graphicData uri="http://schemas.openxmlformats.org/drawingml/2006/picture">
                      <pic:pic>
                        <pic:nvPicPr>
                          <pic:cNvPr descr="images/atlas/desktop-version-picker.png" id="613" name="Picture"/>
                          <pic:cNvPicPr>
                            <a:picLocks noChangeArrowheads="1" noChangeAspect="1"/>
                          </pic:cNvPicPr>
                        </pic:nvPicPr>
                        <pic:blipFill>
                          <a:blip r:embed="rId61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21.14: The release picker (the release chip’s dialog), listing v7c, v7b, v9 and v8 as restricted pre-releases each with a Continue on the preview host link, v7 as current, and v6 down to v1 as retired, each with a Switch link and a date. Atlas 0.10.91, release v7, 2026-10-16.</w:t>
            </w:r>
          </w:p>
          <w:bookmarkEnd w:id="614"/>
        </w:tc>
      </w:tr>
    </w:tbl>
    <w:bookmarkEnd w:id="615"/>
    <w:bookmarkStart w:id="616" w:name="known-limitations-as-of-0.10.91"/>
    <w:p>
      <w:pPr>
        <w:pStyle w:val="Heading2"/>
      </w:pPr>
      <w:r>
        <w:t xml:space="preserve">21.13 Known limitations (as of 0.10.91)</w:t>
      </w:r>
    </w:p>
    <w:p>
      <w:pPr>
        <w:pStyle w:val="Compact"/>
        <w:numPr>
          <w:ilvl w:val="0"/>
          <w:numId w:val="1064"/>
        </w:numPr>
      </w:pPr>
      <w:r>
        <w:t xml:space="preserve">In v7, 1,873 of the 2,619</w:t>
      </w:r>
      <w:r>
        <w:t xml:space="preserve"> </w:t>
      </w:r>
      <w:r>
        <w:rPr>
          <w:rStyle w:val="VerbatimChar"/>
        </w:rPr>
        <w:t xml:space="preserve">rng_iucn</w:t>
      </w:r>
      <w:r>
        <w:t xml:space="preserve"> </w:t>
      </w:r>
      <w:r>
        <w:t xml:space="preserve">range inputs have no model-asset registry row, so their pills</w:t>
      </w:r>
      <w:r>
        <w:t xml:space="preserve"> </w:t>
      </w:r>
      <w:r>
        <w:t xml:space="preserve">in the Species lens show struck through (as they did in the retired Species Shiny app); every other</w:t>
      </w:r>
      <w:r>
        <w:t xml:space="preserve"> </w:t>
      </w:r>
      <w:r>
        <w:t xml:space="preserve">input of v3, v6 and v7 resolves. The other pre-v8 releases (v1, v2, v4, v4b, v5, v7b, v7c) were</w:t>
      </w:r>
      <w:r>
        <w:t xml:space="preserve"> </w:t>
      </w:r>
      <w:r>
        <w:t xml:space="preserve">not checked for this chapter.</w:t>
      </w:r>
    </w:p>
    <w:p>
      <w:pPr>
        <w:pStyle w:val="Compact"/>
        <w:numPr>
          <w:ilvl w:val="0"/>
          <w:numId w:val="1064"/>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64"/>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64"/>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64"/>
        </w:numPr>
      </w:pPr>
      <w:r>
        <w:t xml:space="preserve">The Atlas’s report is a print-first document built and exported entirely client-side</w:t>
      </w:r>
      <w:r>
        <w:t xml:space="preserve"> </w:t>
      </w:r>
      <w:r>
        <w:t xml:space="preserve">(HTML/ZIP/DOCX from the same source), not the retired Shiny apps’ report.</w:t>
      </w:r>
    </w:p>
    <w:bookmarkEnd w:id="616"/>
    <w:bookmarkStart w:id="618" w:name="generating-screenshots"/>
    <w:p>
      <w:pPr>
        <w:pStyle w:val="Heading2"/>
      </w:pPr>
      <w:r>
        <w:t xml:space="preserve">21.14 Generating Screenshots</w:t>
      </w:r>
    </w:p>
    <w:p>
      <w:pPr>
        <w:pStyle w:val="FirstParagraph"/>
      </w:pPr>
      <w:r>
        <w:t xml:space="preserve">Every figure in this chapter was recaptured on 2026-10-16 from the live Atlas (0.10.91, release v7,</w:t>
      </w:r>
      <w:r>
        <w:t xml:space="preserve"> </w:t>
      </w:r>
      <w:r>
        <w:t xml:space="preserve">dark theme) with Playwright’s Chromium: desktop at 1280×800 and 1x, phone at 390×844 and 2x with</w:t>
      </w:r>
      <w:r>
        <w:t xml:space="preserve"> </w:t>
      </w:r>
      <w:r>
        <w:t xml:space="preserve">touch, at</w:t>
      </w:r>
      <w:r>
        <w:t xml:space="preserve"> </w:t>
      </w:r>
      <w:r>
        <w:rPr>
          <w:rStyle w:val="VerbatimChar"/>
        </w:rPr>
        <w:t xml:space="preserve">https://marinesensitivity.org/atlas/</w:t>
      </w:r>
      <w:r>
        <w:t xml:space="preserve">. The atlas repository’s own</w:t>
      </w:r>
      <w:r>
        <w:t xml:space="preserve"> </w:t>
      </w:r>
      <w:r>
        <w:rPr>
          <w:rStyle w:val="VerbatimChar"/>
        </w:rPr>
        <w:t xml:space="preserve">scripts/eyes-shots.mjs</w:t>
      </w:r>
      <w:r>
        <w:t xml:space="preserve"> </w:t>
      </w:r>
      <w:r>
        <w:t xml:space="preserve">covers the standard states (about 20 numbered shots per viewport) and was run against the live site:</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VariableTok"/>
        </w:rPr>
        <w:t xml:space="preserve">ONLY</w:t>
      </w:r>
      <w:r>
        <w:rPr>
          <w:rStyle w:val="OperatorTok"/>
        </w:rPr>
        <w:t xml:space="preserve">=</w:t>
      </w:r>
      <w:r>
        <w:rPr>
          <w:rStyle w:val="NormalTok"/>
        </w:rPr>
        <w:t xml:space="preserve">map,layers,more </w:t>
      </w:r>
      <w:r>
        <w:rPr>
          <w:rStyle w:val="ExtensionTok"/>
        </w:rPr>
        <w:t xml:space="preserve">node</w:t>
      </w:r>
      <w:r>
        <w:rPr>
          <w:rStyle w:val="NormalTok"/>
        </w:rPr>
        <w:t xml:space="preserve"> scripts/eyes-shots.mjs</w:t>
      </w:r>
    </w:p>
    <w:p>
      <w:pPr>
        <w:pStyle w:val="FirstParagraph"/>
      </w:pPr>
      <w:r>
        <w:t xml:space="preserve">It does not reach every state in this chapter, so the figures were taken by one driver script</w:t>
      </w:r>
      <w:r>
        <w:t xml:space="preserve"> </w:t>
      </w:r>
      <w:r>
        <w:t xml:space="preserve">(</w:t>
      </w:r>
      <w:r>
        <w:rPr>
          <w:rStyle w:val="VerbatimChar"/>
        </w:rPr>
        <w:t xml:space="preserve">figs.mjs</w:t>
      </w:r>
      <w:r>
        <w:t xml:space="preserve">, kept outside both repositories) that uses the same helpers (</w:t>
      </w:r>
      <w:r>
        <w:rPr>
          <w:rStyle w:val="VerbatimChar"/>
        </w:rPr>
        <w:t xml:space="preserve">go</w:t>
      </w:r>
      <w:r>
        <w:t xml:space="preserve">,</w:t>
      </w:r>
      <w:r>
        <w:t xml:space="preserve"> </w:t>
      </w:r>
      <w:r>
        <w:rPr>
          <w:rStyle w:val="VerbatimChar"/>
        </w:rPr>
        <w:t xml:space="preserve">explore</w:t>
      </w:r>
      <w:r>
        <w:t xml:space="preserve">,</w:t>
      </w:r>
      <w:r>
        <w:t xml:space="preserve"> </w:t>
      </w:r>
      <w:r>
        <w:rPr>
          <w:rStyle w:val="VerbatimChar"/>
        </w:rPr>
        <w:t xml:space="preserve">tool</w:t>
      </w:r>
      <w:r>
        <w:t xml:space="preserve">, and</w:t>
      </w:r>
      <w:r>
        <w:t xml:space="preserve"> </w:t>
      </w:r>
      <w:r>
        <w:rPr>
          <w:rStyle w:val="VerbatimChar"/>
        </w:rPr>
        <w:t xml:space="preserve">screenPointFor</w:t>
      </w:r>
      <w:r>
        <w:t xml:space="preserve"> </w:t>
      </w:r>
      <w:r>
        <w:t xml:space="preserve">to click a map coordinate by projecting it) and loads each state from a URL or</w:t>
      </w:r>
      <w:r>
        <w:t xml:space="preserve"> </w:t>
      </w:r>
      <w:r>
        <w:t xml:space="preserve">UI steps:</w:t>
      </w:r>
      <w:r>
        <w:t xml:space="preserve"> </w:t>
      </w:r>
      <w:r>
        <w:rPr>
          <w:rStyle w:val="VerbatimChar"/>
        </w:rPr>
        <w:t xml:space="preserve">?ver=v7&amp;theme=dark</w:t>
      </w:r>
      <w:r>
        <w:t xml:space="preserve"> </w:t>
      </w:r>
      <w:r>
        <w:t xml:space="preserve">for the map, Layers, the version picker and the phone figures (the</w:t>
      </w:r>
      <w:r>
        <w:t xml:space="preserve"> </w:t>
      </w:r>
      <w:r>
        <w:t xml:space="preserve">release chip opens the picker,</w:t>
      </w:r>
      <w:r>
        <w:t xml:space="preserve"> </w:t>
      </w:r>
      <w:r>
        <w:rPr>
          <w:b/>
          <w:bCs/>
        </w:rPr>
        <w:t xml:space="preserve">More</w:t>
      </w:r>
      <w:r>
        <w:t xml:space="preserve"> </w:t>
      </w:r>
      <w:r>
        <w:t xml:space="preserve">the phone menu); a click at 28.3° N, 83.6° W for the flower</w:t>
      </w:r>
      <w:r>
        <w:t xml:space="preserve"> </w:t>
      </w:r>
      <w:r>
        <w:t xml:space="preserve">and the Table;</w:t>
      </w:r>
      <w:r>
        <w:t xml:space="preserve"> </w:t>
      </w:r>
      <w:r>
        <w:rPr>
          <w:rStyle w:val="VerbatimChar"/>
        </w:rPr>
        <w:t xml:space="preserve">?ver=v7&amp;lens=species</w:t>
      </w:r>
      <w:r>
        <w:t xml:space="preserve"> </w:t>
      </w:r>
      <w:r>
        <w:t xml:space="preserve">and a search for</w:t>
      </w:r>
      <w:r>
        <w:t xml:space="preserve"> </w:t>
      </w:r>
      <w:r>
        <w:t xml:space="preserve">“leatherback”</w:t>
      </w:r>
      <w:r>
        <w:t xml:space="preserve"> </w:t>
      </w:r>
      <w:r>
        <w:t xml:space="preserve">for the Species lens;</w:t>
      </w:r>
      <w:r>
        <w:t xml:space="preserve"> </w:t>
      </w:r>
      <w:r>
        <w:rPr>
          <w:rStyle w:val="VerbatimChar"/>
        </w:rPr>
        <w:t xml:space="preserve">#pl=z.pa.GAA</w:t>
      </w:r>
      <w:r>
        <w:t xml:space="preserve"> </w:t>
      </w:r>
      <w:r>
        <w:t xml:space="preserve">plus</w:t>
      </w:r>
      <w:r>
        <w:t xml:space="preserve"> </w:t>
      </w:r>
      <w:r>
        <w:rPr>
          <w:b/>
          <w:bCs/>
        </w:rPr>
        <w:t xml:space="preserve">Open report</w:t>
      </w:r>
      <w:r>
        <w:t xml:space="preserve"> </w:t>
      </w:r>
      <w:r>
        <w:t xml:space="preserve">(a new tab, then scrolled to the</w:t>
      </w:r>
      <w:r>
        <w:t xml:space="preserve"> </w:t>
      </w:r>
      <w:r>
        <w:rPr>
          <w:b/>
          <w:bCs/>
        </w:rPr>
        <w:t xml:space="preserve">Table of Scores</w:t>
      </w:r>
      <w:r>
        <w:t xml:space="preserve"> </w:t>
      </w:r>
      <w:r>
        <w:t xml:space="preserve">heading) for</w:t>
      </w:r>
      <w:r>
        <w:t xml:space="preserve"> </w:t>
      </w:r>
      <w:r>
        <w:t xml:space="preserve">the two report figures and the Share dialog;</w:t>
      </w:r>
      <w:r>
        <w:t xml:space="preserve"> </w:t>
      </w:r>
      <w:r>
        <w:rPr>
          <w:b/>
          <w:bCs/>
        </w:rPr>
        <w:t xml:space="preserve">Add a Program Area</w:t>
      </w:r>
      <w:r>
        <w:t xml:space="preserve"> </w:t>
      </w:r>
      <w:r>
        <w:t xml:space="preserve">(Aleutian Arc) plus</w:t>
      </w:r>
      <w:r>
        <w:t xml:space="preserve"> </w:t>
      </w:r>
      <w:r>
        <w:rPr>
          <w:b/>
          <w:bCs/>
        </w:rPr>
        <w:t xml:space="preserve">Enter</w:t>
      </w:r>
      <w:r>
        <w:rPr>
          <w:b/>
          <w:bCs/>
        </w:rPr>
        <w:t xml:space="preserve"> </w:t>
      </w:r>
      <w:r>
        <w:rPr>
          <w:b/>
          <w:bCs/>
        </w:rPr>
        <w:t xml:space="preserve">coordinates</w:t>
      </w:r>
      <w:r>
        <w:t xml:space="preserve"> </w:t>
      </w:r>
      <w:r>
        <w:t xml:space="preserve">(</w:t>
      </w:r>
      <w:r>
        <w:rPr>
          <w:rStyle w:val="VerbatimChar"/>
        </w:rPr>
        <w:t xml:space="preserve">-93, 26, -90, 29</w:t>
      </w:r>
      <w:r>
        <w:t xml:space="preserve">) for the places list; a single point (</w:t>
      </w:r>
      <w:r>
        <w:rPr>
          <w:rStyle w:val="VerbatimChar"/>
        </w:rPr>
        <w:t xml:space="preserve">-124.1, 40.2</w:t>
      </w:r>
      <w:r>
        <w:t xml:space="preserve">) for the</w:t>
      </w:r>
      <w:r>
        <w:t xml:space="preserve"> </w:t>
      </w:r>
      <w:r>
        <w:t xml:space="preserve">refusal; and a 3,600-vertex noisy outline pasted into</w:t>
      </w:r>
      <w:r>
        <w:t xml:space="preserve"> </w:t>
      </w:r>
      <w:r>
        <w:rPr>
          <w:b/>
          <w:bCs/>
        </w:rPr>
        <w:t xml:space="preserve">Enter coordinates</w:t>
      </w:r>
      <w:r>
        <w:t xml:space="preserve">, then</w:t>
      </w:r>
      <w:r>
        <w:t xml:space="preserve"> </w:t>
      </w:r>
      <w:r>
        <w:rPr>
          <w:b/>
          <w:bCs/>
        </w:rPr>
        <w:t xml:space="preserve">Share</w:t>
      </w:r>
      <w:r>
        <w:t xml:space="preserve">, for the</w:t>
      </w:r>
      <w:r>
        <w:t xml:space="preserve"> </w:t>
      </w:r>
      <w:r>
        <w:t xml:space="preserve">simplification ladder. Each PNG was then reduced with</w:t>
      </w:r>
      <w:r>
        <w:t xml:space="preserve"> </w:t>
      </w:r>
      <w:r>
        <w:rPr>
          <w:rStyle w:val="VerbatimChar"/>
        </w:rPr>
        <w:t xml:space="preserve">pngquant --quality=85-98</w:t>
      </w:r>
      <w:r>
        <w:t xml:space="preserve">. The guided-tour</w:t>
      </w:r>
      <w:r>
        <w:t xml:space="preserve"> </w:t>
      </w:r>
      <w:r>
        <w:t xml:space="preserve">images of the</w:t>
      </w:r>
      <w:r>
        <w:t xml:space="preserve"> </w:t>
      </w:r>
      <w:hyperlink r:id="rId617">
        <w:r>
          <w:rPr>
            <w:rStyle w:val="Hyperlink"/>
          </w:rPr>
          <w:t xml:space="preserve">Atlas user guide</w:t>
        </w:r>
      </w:hyperlink>
      <w:r>
        <w:t xml:space="preserve"> </w:t>
      </w:r>
      <w:r>
        <w:t xml:space="preserve">come from a different script,</w:t>
      </w:r>
      <w:r>
        <w:t xml:space="preserve"> </w:t>
      </w:r>
      <w:r>
        <w:rPr>
          <w:rStyle w:val="VerbatimChar"/>
        </w:rPr>
        <w:t xml:space="preserve">npm run tour:guide</w:t>
      </w:r>
      <w:r>
        <w:t xml:space="preserve"> </w:t>
      </w:r>
      <w:r>
        <w:t xml:space="preserve">(</w:t>
      </w:r>
      <w:r>
        <w:rPr>
          <w:rStyle w:val="VerbatimChar"/>
        </w:rPr>
        <w:t xml:space="preserve">scripts/tour-guide.mjs</w:t>
      </w:r>
      <w:r>
        <w:t xml:space="preserve">, from atlas 0.10.90).</w:t>
      </w:r>
    </w:p>
    <w:bookmarkEnd w:id="618"/>
    <w:bookmarkStart w:id="619" w:name="source-code"/>
    <w:p>
      <w:pPr>
        <w:pStyle w:val="Heading2"/>
      </w:pPr>
      <w:r>
        <w:t xml:space="preserve">21.15 Source Code</w:t>
      </w:r>
    </w:p>
    <w:p>
      <w:pPr>
        <w:pStyle w:val="FirstParagraph"/>
      </w:pPr>
      <w:hyperlink r:id="rId397">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 retired</w:t>
      </w:r>
      <w:r>
        <w:t xml:space="preserve"> </w:t>
      </w:r>
      <w:hyperlink r:id="rId542">
        <w:r>
          <w:rPr>
            <w:rStyle w:val="Hyperlink"/>
          </w:rPr>
          <w:t xml:space="preserve">Scores</w:t>
        </w:r>
      </w:hyperlink>
      <w:r>
        <w:t xml:space="preserve"> </w:t>
      </w:r>
      <w:r>
        <w:t xml:space="preserve">and</w:t>
      </w:r>
      <w:r>
        <w:t xml:space="preserve"> </w:t>
      </w:r>
      <w:hyperlink r:id="rId543">
        <w:r>
          <w:rPr>
            <w:rStyle w:val="Hyperlink"/>
          </w:rPr>
          <w:t xml:space="preserve">Species</w:t>
        </w:r>
      </w:hyperlink>
      <w:r>
        <w:t xml:space="preserve"> </w:t>
      </w:r>
      <w:r>
        <w:t xml:space="preserve">apps followed.</w:t>
      </w:r>
    </w:p>
    <w:bookmarkEnd w:id="619"/>
    <w:bookmarkEnd w:id="620"/>
    <w:bookmarkStart w:id="701" w:name="atlas-user-guide"/>
    <w:p>
      <w:pPr>
        <w:pStyle w:val="Heading1"/>
      </w:pPr>
      <w:r>
        <w:t xml:space="preserve">22. Atlas User Guide</w:t>
      </w:r>
    </w:p>
    <w:p>
      <w:pPr>
        <w:pStyle w:val="FirstParagraph"/>
      </w:pPr>
      <w:r>
        <w:t xml:space="preserve">Step-by-step walkthrough of the Atlas, one control at a time</w:t>
      </w:r>
    </w:p>
    <w:p>
      <w:pPr>
        <w:pStyle w:val="BodyText"/>
      </w:pPr>
      <w:r>
        <w:br/>
      </w:r>
    </w:p>
    <w:p>
      <w:pPr>
        <w:pStyle w:val="BodyText"/>
      </w:pPr>
      <w:r>
        <w:t xml:space="preserve">This guide walks through the</w:t>
      </w:r>
      <w:r>
        <w:t xml:space="preserve"> </w:t>
      </w:r>
      <w:r>
        <w:rPr>
          <w:b/>
          <w:bCs/>
        </w:rPr>
        <w:t xml:space="preserve">Atlas</w:t>
      </w:r>
      <w:r>
        <w:t xml:space="preserve"> </w:t>
      </w:r>
      <w:r>
        <w:t xml:space="preserve">(</w:t>
      </w:r>
      <w:hyperlink r:id="rId24">
        <w:r>
          <w:rPr>
            <w:rStyle w:val="Hyperlink"/>
          </w:rPr>
          <w:t xml:space="preserve">preview.marinesensitivity.org/v7c/atlas/</w:t>
        </w:r>
      </w:hyperlink>
      <w:r>
        <w:t xml:space="preserve">) one control at a</w:t>
      </w:r>
      <w:r>
        <w:t xml:space="preserve"> </w:t>
      </w:r>
      <w:r>
        <w:t xml:space="preserve">time. Each numbered step below mirrors a step in the Atlas’s built-in</w:t>
      </w:r>
      <w:r>
        <w:t xml:space="preserve"> </w:t>
      </w:r>
      <w:r>
        <w:rPr>
          <w:b/>
          <w:bCs/>
        </w:rPr>
        <w:t xml:space="preserve">Take a tour</w:t>
      </w:r>
      <w:r>
        <w:t xml:space="preserve"> </w:t>
      </w:r>
      <w:r>
        <w:t xml:space="preserve">(click</w:t>
      </w:r>
      <w:r>
        <w:t xml:space="preserve"> </w:t>
      </w:r>
      <w:r>
        <w:rPr>
          <w:b/>
          <w:bCs/>
        </w:rPr>
        <w:t xml:space="preserve">(?) Help › Take a tour</w:t>
      </w:r>
      <w:r>
        <w:t xml:space="preserve"> </w:t>
      </w:r>
      <w:r>
        <w:t xml:space="preserve">on a desktop, or</w:t>
      </w:r>
      <w:r>
        <w:t xml:space="preserve"> </w:t>
      </w:r>
      <w:r>
        <w:rPr>
          <w:b/>
          <w:bCs/>
        </w:rPr>
        <w:t xml:space="preserve">⋯ More › Take a tour</w:t>
      </w:r>
      <w:r>
        <w:t xml:space="preserve"> </w:t>
      </w:r>
      <w:r>
        <w:t xml:space="preserve">on a phone, to</w:t>
      </w:r>
      <w:r>
        <w:t xml:space="preserve"> </w:t>
      </w:r>
      <w:r>
        <w:t xml:space="preserve">walk the same path live), with the relevant control highlighted on the screenshot, and links</w:t>
      </w:r>
      <w:r>
        <w:t xml:space="preserve"> </w:t>
      </w:r>
      <w:r>
        <w:t xml:space="preserve">to open that step’s view in the Atlas itself.</w:t>
      </w:r>
    </w:p>
    <w:p>
      <w:pPr>
        <w:pStyle w:val="BodyText"/>
      </w:pPr>
      <w:r>
        <w:t xml:space="preserve">For a feature-by-feature reference instead, see the</w:t>
      </w:r>
      <w:r>
        <w:t xml:space="preserve"> </w:t>
      </w:r>
      <w:hyperlink w:anchor="Xdb7596251ccac05cc02bb08ef65d814effe7d92">
        <w:r>
          <w:rPr>
            <w:rStyle w:val="Hyperlink"/>
          </w:rPr>
          <w:t xml:space="preserve">Atlas</w:t>
        </w:r>
      </w:hyperlink>
      <w:r>
        <w:t xml:space="preserve"> </w:t>
      </w:r>
      <w:r>
        <w:t xml:space="preserve">chapter</w:t>
      </w:r>
      <w:r>
        <w:t xml:space="preserve"> </w:t>
      </w:r>
      <w:r>
        <w:t xml:space="preserve">(</w:t>
      </w:r>
      <w:hyperlink w:anchor="sec-app-atlas">
        <w:r>
          <w:rPr>
            <w:rStyle w:val="Hyperlink"/>
          </w:rPr>
          <w:t xml:space="preserve">Chapter 21</w:t>
        </w:r>
      </w:hyperlink>
      <w:r>
        <w:t xml:space="preserve">). The Scores and Species Shiny apps that came before the Atlas have their own,</w:t>
      </w:r>
      <w:r>
        <w:t xml:space="preserve"> </w:t>
      </w:r>
      <w:r>
        <w:t xml:space="preserve">frozen</w:t>
      </w:r>
      <w:r>
        <w:t xml:space="preserve"> </w:t>
      </w:r>
      <w:hyperlink r:id="rId537">
        <w:r>
          <w:rPr>
            <w:rStyle w:val="Hyperlink"/>
          </w:rPr>
          <w:t xml:space="preserve">step-by-step guide</w:t>
        </w:r>
      </w:hyperlink>
      <w:r>
        <w:t xml:space="preserve"> </w:t>
      </w:r>
      <w:r>
        <w:t xml:space="preserve">in the Legacy appendix.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1" name="Picture"/>
                  <a:graphic>
                    <a:graphicData uri="http://schemas.openxmlformats.org/drawingml/2006/picture">
                      <pic:pic>
                        <pic:nvPicPr>
                          <pic:cNvPr descr="/Applications/quarto/share/formats/docx/tip.png" id="622" name="Picture"/>
                          <pic:cNvPicPr>
                            <a:picLocks noChangeArrowheads="1" noChangeAspect="1"/>
                          </pic:cNvPicPr>
                        </pic:nvPicPr>
                        <pic:blipFill>
                          <a:blip r:embed="rId1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 the Atlas’s own</w:t>
            </w:r>
            <w:r>
              <w:t xml:space="preserve"> </w:t>
            </w:r>
            <w:r>
              <w:t xml:space="preserve">guided tour (the driver.js step data in</w:t>
            </w:r>
            <w:r>
              <w:t xml:space="preserve"> </w:t>
            </w:r>
            <w:r>
              <w:rPr>
                <w:rStyle w:val="VerbatimChar"/>
              </w:rPr>
              <w:t xml:space="preserve">src/shell/tour.ts</w:t>
            </w:r>
            <w:r>
              <w:t xml:space="preserve"> </w:t>
            </w:r>
            <w:r>
              <w:t xml:space="preserve">of the</w:t>
            </w:r>
            <w:r>
              <w:t xml:space="preserve"> </w:t>
            </w:r>
            <w:hyperlink r:id="rId397">
              <w:r>
                <w:rPr>
                  <w:rStyle w:val="VerbatimChar"/>
                </w:rPr>
                <w:t xml:space="preserve">atlas</w:t>
              </w:r>
            </w:hyperlink>
            <w:r>
              <w:t xml:space="preserve"> </w:t>
            </w:r>
            <w:r>
              <w:t xml:space="preserve">repository). From the atlas repository,</w:t>
            </w:r>
            <w:r>
              <w:t xml:space="preserve"> </w:t>
            </w:r>
            <w:r>
              <w:rPr>
                <w:rStyle w:val="VerbatimChar"/>
              </w:rPr>
              <w:t xml:space="preserve">node scripts/tour-guide.mjs --out &lt;docs&gt;/figures/atlas-guide</w:t>
            </w:r>
            <w:r>
              <w:t xml:space="preserve"> </w:t>
            </w:r>
            <w:r>
              <w:t xml:space="preserve">walks the tour on a running</w:t>
            </w:r>
            <w:r>
              <w:t xml:space="preserve"> </w:t>
            </w:r>
            <w:r>
              <w:t xml:space="preserve">build of the Atlas, re-captures a screenshot with each step’s control highlighted, and writes</w:t>
            </w:r>
            <w:r>
              <w:t xml:space="preserve"> </w:t>
            </w:r>
            <w:r>
              <w:rPr>
                <w:rStyle w:val="VerbatimChar"/>
              </w:rPr>
              <w:t xml:space="preserve">figures/atlas-guide/steps.json</w:t>
            </w:r>
            <w:r>
              <w:t xml:space="preserve"> </w:t>
            </w:r>
            <w:r>
              <w:t xml:space="preserve">into this book. So whenever the tour changes, re-running that</w:t>
            </w:r>
            <w:r>
              <w:t xml:space="preserve"> </w:t>
            </w:r>
            <w:r>
              <w:t xml:space="preserve">one script refreshes this whole page.</w:t>
            </w:r>
          </w:p>
          <w:p/>
        </w:tc>
      </w:tr>
    </w:tbl>
    <w:p>
      <w:pPr>
        <w:pStyle w:val="BodyText"/>
      </w:pPr>
      <w:r>
        <w:t xml:space="preserve">Screenshots captured from the live Atlas 0.10.91 (7e6d326), release v7, 2026-10-16.</w:t>
      </w:r>
    </w:p>
    <w:bookmarkStart w:id="672" w:name="atlas-scores-lens"/>
    <w:p>
      <w:pPr>
        <w:pStyle w:val="Heading2"/>
      </w:pPr>
      <w:r>
        <w:t xml:space="preserve">22.1 Atlas — Scores lens</w:t>
      </w:r>
    </w:p>
    <w:bookmarkStart w:id="627" w:name="the-map"/>
    <w:p>
      <w:pPr>
        <w:pStyle w:val="Heading3"/>
      </w:pPr>
      <w:r>
        <w:t xml:space="preserve">22.1.1 1. The map</w:t>
      </w:r>
    </w:p>
    <w:p>
      <w:pPr>
        <w:pStyle w:val="FirstParagraph"/>
      </w:pPr>
      <w:r>
        <w:t xml:space="preserve">Colour is the combined sensitivity score for each 0.05° cell of US waters (red high, blue low).</w:t>
      </w:r>
    </w:p>
    <w:tbl>
      <w:tblPr>
        <w:tblStyle w:val="Table"/>
        <w:tblW w:type="pct" w:w="5000"/>
        <w:tblLayout w:type="fixed"/>
        <w:tblLook w:firstRow="0" w:lastRow="0" w:firstColumn="0" w:lastColumn="0" w:noHBand="0" w:noVBand="0" w:val="0000"/>
      </w:tblPr>
      <w:tblGrid>
        <w:gridCol w:w="7920"/>
      </w:tblGrid>
      <w:tr>
        <w:tc>
          <w:tcPr/>
          <w:bookmarkStart w:id="626" w:name="fig-atlas-scores-01"/>
          <w:p>
            <w:pPr>
              <w:pStyle w:val="Compact"/>
              <w:jc w:val="center"/>
            </w:pPr>
            <w:r>
              <w:drawing>
                <wp:inline>
                  <wp:extent cx="5334000" cy="3333750"/>
                  <wp:effectExtent b="0" l="0" r="0" t="0"/>
                  <wp:docPr descr="" title="" id="624" name="Picture"/>
                  <a:graphic>
                    <a:graphicData uri="http://schemas.openxmlformats.org/drawingml/2006/picture">
                      <pic:pic>
                        <pic:nvPicPr>
                          <pic:cNvPr descr="figures/atlas-guide/atlas-scores-01.png" id="625" name="Picture"/>
                          <pic:cNvPicPr>
                            <a:picLocks noChangeArrowheads="1" noChangeAspect="1"/>
                          </pic:cNvPicPr>
                        </pic:nvPicPr>
                        <pic:blipFill>
                          <a:blip r:embed="rId62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The map</w:t>
            </w:r>
          </w:p>
          <w:bookmarkEnd w:id="626"/>
        </w:tc>
      </w:tr>
    </w:tbl>
    <w:p>
      <w:pPr>
        <w:pStyle w:val="BodyText"/>
      </w:pPr>
      <w:hyperlink r:id="rId24">
        <w:r>
          <w:rPr>
            <w:rStyle w:val="Hyperlink"/>
          </w:rPr>
          <w:t xml:space="preserve">Open this step in the Atlas</w:t>
        </w:r>
      </w:hyperlink>
    </w:p>
    <w:bookmarkEnd w:id="627"/>
    <w:bookmarkStart w:id="632" w:name="the-release"/>
    <w:p>
      <w:pPr>
        <w:pStyle w:val="Heading3"/>
      </w:pPr>
      <w:r>
        <w:t xml:space="preserve">22.1.2 2. The release</w:t>
      </w:r>
    </w:p>
    <w:p>
      <w:pPr>
        <w:pStyle w:val="FirstParagraph"/>
      </w:pPr>
      <w:r>
        <w:t xml:space="preserve">You are looking at this release; every published release is here.</w:t>
      </w:r>
    </w:p>
    <w:tbl>
      <w:tblPr>
        <w:tblStyle w:val="Table"/>
        <w:tblW w:type="pct" w:w="5000"/>
        <w:tblLayout w:type="fixed"/>
        <w:tblLook w:firstRow="0" w:lastRow="0" w:firstColumn="0" w:lastColumn="0" w:noHBand="0" w:noVBand="0" w:val="0000"/>
      </w:tblPr>
      <w:tblGrid>
        <w:gridCol w:w="7920"/>
      </w:tblGrid>
      <w:tr>
        <w:tc>
          <w:tcPr/>
          <w:bookmarkStart w:id="631" w:name="fig-atlas-scores-02"/>
          <w:p>
            <w:pPr>
              <w:pStyle w:val="Compact"/>
              <w:jc w:val="center"/>
            </w:pPr>
            <w:r>
              <w:drawing>
                <wp:inline>
                  <wp:extent cx="5334000" cy="3333750"/>
                  <wp:effectExtent b="0" l="0" r="0" t="0"/>
                  <wp:docPr descr="" title="" id="629" name="Picture"/>
                  <a:graphic>
                    <a:graphicData uri="http://schemas.openxmlformats.org/drawingml/2006/picture">
                      <pic:pic>
                        <pic:nvPicPr>
                          <pic:cNvPr descr="figures/atlas-guide/atlas-scores-02.png" id="630" name="Picture"/>
                          <pic:cNvPicPr>
                            <a:picLocks noChangeArrowheads="1" noChangeAspect="1"/>
                          </pic:cNvPicPr>
                        </pic:nvPicPr>
                        <pic:blipFill>
                          <a:blip r:embed="rId62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The release</w:t>
            </w:r>
          </w:p>
          <w:bookmarkEnd w:id="631"/>
        </w:tc>
      </w:tr>
    </w:tbl>
    <w:p>
      <w:pPr>
        <w:pStyle w:val="BodyText"/>
      </w:pPr>
      <w:hyperlink r:id="rId24">
        <w:r>
          <w:rPr>
            <w:rStyle w:val="Hyperlink"/>
          </w:rPr>
          <w:t xml:space="preserve">Open this step in the Atlas</w:t>
        </w:r>
      </w:hyperlink>
    </w:p>
    <w:bookmarkEnd w:id="632"/>
    <w:bookmarkStart w:id="637" w:name="the-lenses"/>
    <w:p>
      <w:pPr>
        <w:pStyle w:val="Heading3"/>
      </w:pPr>
      <w:r>
        <w:t xml:space="preserve">22.1.3 3. The lenses</w:t>
      </w:r>
    </w:p>
    <w:p>
      <w:pPr>
        <w:pStyle w:val="FirstParagraph"/>
      </w:pPr>
      <w:r>
        <w:t xml:space="preserve">Scores ranks places; Species shows one species’ distribution.</w:t>
      </w:r>
    </w:p>
    <w:tbl>
      <w:tblPr>
        <w:tblStyle w:val="Table"/>
        <w:tblW w:type="pct" w:w="5000"/>
        <w:tblLayout w:type="fixed"/>
        <w:tblLook w:firstRow="0" w:lastRow="0" w:firstColumn="0" w:lastColumn="0" w:noHBand="0" w:noVBand="0" w:val="0000"/>
      </w:tblPr>
      <w:tblGrid>
        <w:gridCol w:w="7920"/>
      </w:tblGrid>
      <w:tr>
        <w:tc>
          <w:tcPr/>
          <w:bookmarkStart w:id="636" w:name="fig-atlas-scores-03"/>
          <w:p>
            <w:pPr>
              <w:pStyle w:val="Compact"/>
              <w:jc w:val="center"/>
            </w:pPr>
            <w:r>
              <w:drawing>
                <wp:inline>
                  <wp:extent cx="5334000" cy="3333750"/>
                  <wp:effectExtent b="0" l="0" r="0" t="0"/>
                  <wp:docPr descr="" title="" id="634" name="Picture"/>
                  <a:graphic>
                    <a:graphicData uri="http://schemas.openxmlformats.org/drawingml/2006/picture">
                      <pic:pic>
                        <pic:nvPicPr>
                          <pic:cNvPr descr="figures/atlas-guide/atlas-scores-03.png" id="635" name="Picture"/>
                          <pic:cNvPicPr>
                            <a:picLocks noChangeArrowheads="1" noChangeAspect="1"/>
                          </pic:cNvPicPr>
                        </pic:nvPicPr>
                        <pic:blipFill>
                          <a:blip r:embed="rId63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22.3: The lenses</w:t>
            </w:r>
          </w:p>
          <w:bookmarkEnd w:id="636"/>
        </w:tc>
      </w:tr>
    </w:tbl>
    <w:p>
      <w:pPr>
        <w:pStyle w:val="BodyText"/>
      </w:pPr>
      <w:hyperlink r:id="rId24">
        <w:r>
          <w:rPr>
            <w:rStyle w:val="Hyperlink"/>
          </w:rPr>
          <w:t xml:space="preserve">Open this step in the Atlas</w:t>
        </w:r>
      </w:hyperlink>
    </w:p>
    <w:bookmarkEnd w:id="637"/>
    <w:bookmarkStart w:id="643" w:name="layers"/>
    <w:p>
      <w:pPr>
        <w:pStyle w:val="Heading3"/>
      </w:pPr>
      <w:r>
        <w:t xml:space="preserve">22.1.4 4. Layers</w:t>
      </w:r>
    </w:p>
    <w:p>
      <w:pPr>
        <w:pStyle w:val="FirstParagraph"/>
      </w:pPr>
      <w:r>
        <w:t xml:space="preserve">Choose the score layer, Program Areas or cells, and the colour ramp.</w:t>
      </w:r>
    </w:p>
    <w:tbl>
      <w:tblPr>
        <w:tblStyle w:val="Table"/>
        <w:tblW w:type="pct" w:w="5000"/>
        <w:tblLayout w:type="fixed"/>
        <w:tblLook w:firstRow="0" w:lastRow="0" w:firstColumn="0" w:lastColumn="0" w:noHBand="0" w:noVBand="0" w:val="0000"/>
      </w:tblPr>
      <w:tblGrid>
        <w:gridCol w:w="7920"/>
      </w:tblGrid>
      <w:tr>
        <w:tc>
          <w:tcPr/>
          <w:bookmarkStart w:id="641" w:name="fig-atlas-scores-04"/>
          <w:p>
            <w:pPr>
              <w:pStyle w:val="Compact"/>
              <w:jc w:val="center"/>
            </w:pPr>
            <w:r>
              <w:drawing>
                <wp:inline>
                  <wp:extent cx="5334000" cy="3333750"/>
                  <wp:effectExtent b="0" l="0" r="0" t="0"/>
                  <wp:docPr descr="" title="" id="639" name="Picture"/>
                  <a:graphic>
                    <a:graphicData uri="http://schemas.openxmlformats.org/drawingml/2006/picture">
                      <pic:pic>
                        <pic:nvPicPr>
                          <pic:cNvPr descr="figures/atlas-guide/atlas-scores-04.png" id="640" name="Picture"/>
                          <pic:cNvPicPr>
                            <a:picLocks noChangeArrowheads="1" noChangeAspect="1"/>
                          </pic:cNvPicPr>
                        </pic:nvPicPr>
                        <pic:blipFill>
                          <a:blip r:embed="rId63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22.4: Layers</w:t>
            </w:r>
          </w:p>
          <w:bookmarkEnd w:id="641"/>
        </w:tc>
      </w:tr>
    </w:tbl>
    <w:p>
      <w:pPr>
        <w:pStyle w:val="BodyText"/>
      </w:pPr>
      <w:hyperlink r:id="rId642">
        <w:r>
          <w:rPr>
            <w:rStyle w:val="Hyperlink"/>
          </w:rPr>
          <w:t xml:space="preserve">Open this step in the Atlas</w:t>
        </w:r>
      </w:hyperlink>
    </w:p>
    <w:bookmarkEnd w:id="643"/>
    <w:bookmarkStart w:id="648" w:name="click"/>
    <w:p>
      <w:pPr>
        <w:pStyle w:val="Heading3"/>
      </w:pPr>
      <w:r>
        <w:t xml:space="preserve">22.1.5 5. Click</w:t>
      </w:r>
    </w:p>
    <w:p>
      <w:pPr>
        <w:pStyle w:val="FirstParagraph"/>
      </w:pPr>
      <w:r>
        <w:t xml:space="preserve">Click a cell or a Program Area for its score and a link to its details.</w:t>
      </w:r>
    </w:p>
    <w:tbl>
      <w:tblPr>
        <w:tblStyle w:val="Table"/>
        <w:tblW w:type="pct" w:w="5000"/>
        <w:tblLayout w:type="fixed"/>
        <w:tblLook w:firstRow="0" w:lastRow="0" w:firstColumn="0" w:lastColumn="0" w:noHBand="0" w:noVBand="0" w:val="0000"/>
      </w:tblPr>
      <w:tblGrid>
        <w:gridCol w:w="7920"/>
      </w:tblGrid>
      <w:tr>
        <w:tc>
          <w:tcPr/>
          <w:bookmarkStart w:id="647" w:name="fig-atlas-scores-05"/>
          <w:p>
            <w:pPr>
              <w:pStyle w:val="Compact"/>
              <w:jc w:val="center"/>
            </w:pPr>
            <w:r>
              <w:drawing>
                <wp:inline>
                  <wp:extent cx="5334000" cy="3333750"/>
                  <wp:effectExtent b="0" l="0" r="0" t="0"/>
                  <wp:docPr descr="" title="" id="645" name="Picture"/>
                  <a:graphic>
                    <a:graphicData uri="http://schemas.openxmlformats.org/drawingml/2006/picture">
                      <pic:pic>
                        <pic:nvPicPr>
                          <pic:cNvPr descr="figures/atlas-guide/atlas-scores-05.png" id="646" name="Picture"/>
                          <pic:cNvPicPr>
                            <a:picLocks noChangeArrowheads="1" noChangeAspect="1"/>
                          </pic:cNvPicPr>
                        </pic:nvPicPr>
                        <pic:blipFill>
                          <a:blip r:embed="rId64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22.5: Click</w:t>
            </w:r>
          </w:p>
          <w:bookmarkEnd w:id="647"/>
        </w:tc>
      </w:tr>
    </w:tbl>
    <w:p>
      <w:pPr>
        <w:pStyle w:val="BodyText"/>
      </w:pPr>
      <w:hyperlink r:id="rId24">
        <w:r>
          <w:rPr>
            <w:rStyle w:val="Hyperlink"/>
          </w:rPr>
          <w:t xml:space="preserve">Open this step in the Atlas</w:t>
        </w:r>
      </w:hyperlink>
    </w:p>
    <w:bookmarkEnd w:id="648"/>
    <w:bookmarkStart w:id="654" w:name="details"/>
    <w:p>
      <w:pPr>
        <w:pStyle w:val="Heading3"/>
      </w:pPr>
      <w:r>
        <w:t xml:space="preserve">22.1.6 6. Details</w:t>
      </w:r>
    </w:p>
    <w:p>
      <w:pPr>
        <w:pStyle w:val="FirstParagraph"/>
      </w:pPr>
      <w:r>
        <w:t xml:space="preserve">The flower for what you clicked; add it to your report or open its table.</w:t>
      </w:r>
    </w:p>
    <w:tbl>
      <w:tblPr>
        <w:tblStyle w:val="Table"/>
        <w:tblW w:type="pct" w:w="5000"/>
        <w:tblLayout w:type="fixed"/>
        <w:tblLook w:firstRow="0" w:lastRow="0" w:firstColumn="0" w:lastColumn="0" w:noHBand="0" w:noVBand="0" w:val="0000"/>
      </w:tblPr>
      <w:tblGrid>
        <w:gridCol w:w="7920"/>
      </w:tblGrid>
      <w:tr>
        <w:tc>
          <w:tcPr/>
          <w:bookmarkStart w:id="652" w:name="fig-atlas-scores-06"/>
          <w:p>
            <w:pPr>
              <w:pStyle w:val="Compact"/>
              <w:jc w:val="center"/>
            </w:pPr>
            <w:r>
              <w:drawing>
                <wp:inline>
                  <wp:extent cx="5334000" cy="3333750"/>
                  <wp:effectExtent b="0" l="0" r="0" t="0"/>
                  <wp:docPr descr="" title="" id="650" name="Picture"/>
                  <a:graphic>
                    <a:graphicData uri="http://schemas.openxmlformats.org/drawingml/2006/picture">
                      <pic:pic>
                        <pic:nvPicPr>
                          <pic:cNvPr descr="figures/atlas-guide/atlas-scores-06.png" id="651" name="Picture"/>
                          <pic:cNvPicPr>
                            <a:picLocks noChangeArrowheads="1" noChangeAspect="1"/>
                          </pic:cNvPicPr>
                        </pic:nvPicPr>
                        <pic:blipFill>
                          <a:blip r:embed="rId64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22.6: Details</w:t>
            </w:r>
          </w:p>
          <w:bookmarkEnd w:id="652"/>
        </w:tc>
      </w:tr>
    </w:tbl>
    <w:p>
      <w:pPr>
        <w:pStyle w:val="BodyText"/>
      </w:pPr>
      <w:hyperlink r:id="rId653">
        <w:r>
          <w:rPr>
            <w:rStyle w:val="Hyperlink"/>
          </w:rPr>
          <w:t xml:space="preserve">Open this step in the Atlas</w:t>
        </w:r>
      </w:hyperlink>
    </w:p>
    <w:bookmarkEnd w:id="654"/>
    <w:bookmarkStart w:id="660" w:name="table"/>
    <w:p>
      <w:pPr>
        <w:pStyle w:val="Heading3"/>
      </w:pPr>
      <w:r>
        <w:t xml:space="preserve">22.1.7 7. Table</w:t>
      </w:r>
    </w:p>
    <w:p>
      <w:pPr>
        <w:pStyle w:val="FirstParagraph"/>
      </w:pPr>
      <w:r>
        <w:t xml:space="preserve">Every Program Area ranked; tick some and report on them.</w:t>
      </w:r>
    </w:p>
    <w:tbl>
      <w:tblPr>
        <w:tblStyle w:val="Table"/>
        <w:tblW w:type="pct" w:w="5000"/>
        <w:tblLayout w:type="fixed"/>
        <w:tblLook w:firstRow="0" w:lastRow="0" w:firstColumn="0" w:lastColumn="0" w:noHBand="0" w:noVBand="0" w:val="0000"/>
      </w:tblPr>
      <w:tblGrid>
        <w:gridCol w:w="7920"/>
      </w:tblGrid>
      <w:tr>
        <w:tc>
          <w:tcPr/>
          <w:bookmarkStart w:id="658" w:name="fig-atlas-scores-07"/>
          <w:p>
            <w:pPr>
              <w:pStyle w:val="Compact"/>
              <w:jc w:val="center"/>
            </w:pPr>
            <w:r>
              <w:drawing>
                <wp:inline>
                  <wp:extent cx="5334000" cy="3333750"/>
                  <wp:effectExtent b="0" l="0" r="0" t="0"/>
                  <wp:docPr descr="" title="" id="656" name="Picture"/>
                  <a:graphic>
                    <a:graphicData uri="http://schemas.openxmlformats.org/drawingml/2006/picture">
                      <pic:pic>
                        <pic:nvPicPr>
                          <pic:cNvPr descr="figures/atlas-guide/atlas-scores-07.png" id="657" name="Picture"/>
                          <pic:cNvPicPr>
                            <a:picLocks noChangeArrowheads="1" noChangeAspect="1"/>
                          </pic:cNvPicPr>
                        </pic:nvPicPr>
                        <pic:blipFill>
                          <a:blip r:embed="rId65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22.7: Table</w:t>
            </w:r>
          </w:p>
          <w:bookmarkEnd w:id="658"/>
        </w:tc>
      </w:tr>
    </w:tbl>
    <w:p>
      <w:pPr>
        <w:pStyle w:val="BodyText"/>
      </w:pPr>
      <w:hyperlink r:id="rId659">
        <w:r>
          <w:rPr>
            <w:rStyle w:val="Hyperlink"/>
          </w:rPr>
          <w:t xml:space="preserve">Open this step in the Atlas</w:t>
        </w:r>
      </w:hyperlink>
    </w:p>
    <w:bookmarkEnd w:id="660"/>
    <w:bookmarkStart w:id="666" w:name="places"/>
    <w:p>
      <w:pPr>
        <w:pStyle w:val="Heading3"/>
      </w:pPr>
      <w:r>
        <w:t xml:space="preserve">22.1.8 8. Places</w:t>
      </w:r>
    </w:p>
    <w:p>
      <w:pPr>
        <w:pStyle w:val="FirstParagraph"/>
      </w:pPr>
      <w:r>
        <w:t xml:space="preserve">Draw your own area, enter coordinates or upload a file.</w:t>
      </w:r>
    </w:p>
    <w:tbl>
      <w:tblPr>
        <w:tblStyle w:val="Table"/>
        <w:tblW w:type="pct" w:w="5000"/>
        <w:tblLayout w:type="fixed"/>
        <w:tblLook w:firstRow="0" w:lastRow="0" w:firstColumn="0" w:lastColumn="0" w:noHBand="0" w:noVBand="0" w:val="0000"/>
      </w:tblPr>
      <w:tblGrid>
        <w:gridCol w:w="7920"/>
      </w:tblGrid>
      <w:tr>
        <w:tc>
          <w:tcPr/>
          <w:bookmarkStart w:id="664" w:name="fig-atlas-scores-08"/>
          <w:p>
            <w:pPr>
              <w:pStyle w:val="Compact"/>
              <w:jc w:val="center"/>
            </w:pPr>
            <w:r>
              <w:drawing>
                <wp:inline>
                  <wp:extent cx="5334000" cy="3333750"/>
                  <wp:effectExtent b="0" l="0" r="0" t="0"/>
                  <wp:docPr descr="" title="" id="662" name="Picture"/>
                  <a:graphic>
                    <a:graphicData uri="http://schemas.openxmlformats.org/drawingml/2006/picture">
                      <pic:pic>
                        <pic:nvPicPr>
                          <pic:cNvPr descr="figures/atlas-guide/atlas-scores-08.png" id="663" name="Picture"/>
                          <pic:cNvPicPr>
                            <a:picLocks noChangeArrowheads="1" noChangeAspect="1"/>
                          </pic:cNvPicPr>
                        </pic:nvPicPr>
                        <pic:blipFill>
                          <a:blip r:embed="rId66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22.8: Places</w:t>
            </w:r>
          </w:p>
          <w:bookmarkEnd w:id="664"/>
        </w:tc>
      </w:tr>
    </w:tbl>
    <w:p>
      <w:pPr>
        <w:pStyle w:val="BodyText"/>
      </w:pPr>
      <w:hyperlink r:id="rId665">
        <w:r>
          <w:rPr>
            <w:rStyle w:val="Hyperlink"/>
          </w:rPr>
          <w:t xml:space="preserve">Open this step in the Atlas</w:t>
        </w:r>
      </w:hyperlink>
    </w:p>
    <w:bookmarkEnd w:id="666"/>
    <w:bookmarkStart w:id="671" w:name="report-1"/>
    <w:p>
      <w:pPr>
        <w:pStyle w:val="Heading3"/>
      </w:pPr>
      <w:r>
        <w:t xml:space="preserve">22.1.9 9. Report</w:t>
      </w:r>
    </w:p>
    <w:p>
      <w:pPr>
        <w:pStyle w:val="FirstParagraph"/>
      </w:pPr>
      <w:r>
        <w:t xml:space="preserve">Build a printable, downloadable report for what you selected.</w:t>
      </w:r>
    </w:p>
    <w:tbl>
      <w:tblPr>
        <w:tblStyle w:val="Table"/>
        <w:tblW w:type="pct" w:w="5000"/>
        <w:tblLayout w:type="fixed"/>
        <w:tblLook w:firstRow="0" w:lastRow="0" w:firstColumn="0" w:lastColumn="0" w:noHBand="0" w:noVBand="0" w:val="0000"/>
      </w:tblPr>
      <w:tblGrid>
        <w:gridCol w:w="7920"/>
      </w:tblGrid>
      <w:tr>
        <w:tc>
          <w:tcPr/>
          <w:bookmarkStart w:id="670" w:name="fig-atlas-scores-09"/>
          <w:p>
            <w:pPr>
              <w:pStyle w:val="Compact"/>
              <w:jc w:val="center"/>
            </w:pPr>
            <w:r>
              <w:drawing>
                <wp:inline>
                  <wp:extent cx="5334000" cy="3333750"/>
                  <wp:effectExtent b="0" l="0" r="0" t="0"/>
                  <wp:docPr descr="" title="" id="668" name="Picture"/>
                  <a:graphic>
                    <a:graphicData uri="http://schemas.openxmlformats.org/drawingml/2006/picture">
                      <pic:pic>
                        <pic:nvPicPr>
                          <pic:cNvPr descr="figures/atlas-guide/atlas-scores-09.png" id="669" name="Picture"/>
                          <pic:cNvPicPr>
                            <a:picLocks noChangeArrowheads="1" noChangeAspect="1"/>
                          </pic:cNvPicPr>
                        </pic:nvPicPr>
                        <pic:blipFill>
                          <a:blip r:embed="rId66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22.9: Report</w:t>
            </w:r>
          </w:p>
          <w:bookmarkEnd w:id="670"/>
        </w:tc>
      </w:tr>
    </w:tbl>
    <w:p>
      <w:pPr>
        <w:pStyle w:val="BodyText"/>
      </w:pPr>
      <w:hyperlink r:id="rId665">
        <w:r>
          <w:rPr>
            <w:rStyle w:val="Hyperlink"/>
          </w:rPr>
          <w:t xml:space="preserve">Open this step in the Atlas</w:t>
        </w:r>
      </w:hyperlink>
    </w:p>
    <w:bookmarkEnd w:id="671"/>
    <w:bookmarkEnd w:id="672"/>
    <w:bookmarkStart w:id="700" w:name="atlas-species-lens"/>
    <w:p>
      <w:pPr>
        <w:pStyle w:val="Heading2"/>
      </w:pPr>
      <w:r>
        <w:t xml:space="preserve">22.2 Atlas — Species lens</w:t>
      </w:r>
    </w:p>
    <w:bookmarkStart w:id="678" w:name="search"/>
    <w:p>
      <w:pPr>
        <w:pStyle w:val="Heading3"/>
      </w:pPr>
      <w:r>
        <w:t xml:space="preserve">22.2.1 1. Search</w:t>
      </w:r>
    </w:p>
    <w:p>
      <w:pPr>
        <w:pStyle w:val="FirstParagraph"/>
      </w:pPr>
      <w:r>
        <w:t xml:space="preserve">Find a species by common or scientific name.</w:t>
      </w:r>
    </w:p>
    <w:tbl>
      <w:tblPr>
        <w:tblStyle w:val="Table"/>
        <w:tblW w:type="pct" w:w="5000"/>
        <w:tblLayout w:type="fixed"/>
        <w:tblLook w:firstRow="0" w:lastRow="0" w:firstColumn="0" w:lastColumn="0" w:noHBand="0" w:noVBand="0" w:val="0000"/>
      </w:tblPr>
      <w:tblGrid>
        <w:gridCol w:w="7920"/>
      </w:tblGrid>
      <w:tr>
        <w:tc>
          <w:tcPr/>
          <w:bookmarkStart w:id="676" w:name="fig-atlas-species-01"/>
          <w:p>
            <w:pPr>
              <w:pStyle w:val="Compact"/>
              <w:jc w:val="center"/>
            </w:pPr>
            <w:r>
              <w:drawing>
                <wp:inline>
                  <wp:extent cx="5334000" cy="3333750"/>
                  <wp:effectExtent b="0" l="0" r="0" t="0"/>
                  <wp:docPr descr="" title="" id="674" name="Picture"/>
                  <a:graphic>
                    <a:graphicData uri="http://schemas.openxmlformats.org/drawingml/2006/picture">
                      <pic:pic>
                        <pic:nvPicPr>
                          <pic:cNvPr descr="figures/atlas-guide/atlas-species-01.png" id="675" name="Picture"/>
                          <pic:cNvPicPr>
                            <a:picLocks noChangeArrowheads="1" noChangeAspect="1"/>
                          </pic:cNvPicPr>
                        </pic:nvPicPr>
                        <pic:blipFill>
                          <a:blip r:embed="rId67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22.10: Search</w:t>
            </w:r>
          </w:p>
          <w:bookmarkEnd w:id="676"/>
        </w:tc>
      </w:tr>
    </w:tbl>
    <w:p>
      <w:pPr>
        <w:pStyle w:val="BodyText"/>
      </w:pPr>
      <w:hyperlink r:id="rId677">
        <w:r>
          <w:rPr>
            <w:rStyle w:val="Hyperlink"/>
          </w:rPr>
          <w:t xml:space="preserve">Open this step in the Atlas</w:t>
        </w:r>
      </w:hyperlink>
    </w:p>
    <w:bookmarkEnd w:id="678"/>
    <w:bookmarkStart w:id="684" w:name="the-card"/>
    <w:p>
      <w:pPr>
        <w:pStyle w:val="Heading3"/>
      </w:pPr>
      <w:r>
        <w:t xml:space="preserve">22.2.2 2. The card</w:t>
      </w:r>
    </w:p>
    <w:p>
      <w:pPr>
        <w:pStyle w:val="FirstParagraph"/>
      </w:pPr>
      <w:r>
        <w:t xml:space="preserve">The merged model and the inputs it combines.</w:t>
      </w:r>
    </w:p>
    <w:tbl>
      <w:tblPr>
        <w:tblStyle w:val="Table"/>
        <w:tblW w:type="pct" w:w="5000"/>
        <w:tblLayout w:type="fixed"/>
        <w:tblLook w:firstRow="0" w:lastRow="0" w:firstColumn="0" w:lastColumn="0" w:noHBand="0" w:noVBand="0" w:val="0000"/>
      </w:tblPr>
      <w:tblGrid>
        <w:gridCol w:w="7920"/>
      </w:tblGrid>
      <w:tr>
        <w:tc>
          <w:tcPr/>
          <w:bookmarkStart w:id="682" w:name="fig-atlas-species-02"/>
          <w:p>
            <w:pPr>
              <w:pStyle w:val="Compact"/>
              <w:jc w:val="center"/>
            </w:pPr>
            <w:r>
              <w:drawing>
                <wp:inline>
                  <wp:extent cx="5334000" cy="3333750"/>
                  <wp:effectExtent b="0" l="0" r="0" t="0"/>
                  <wp:docPr descr="" title="" id="680" name="Picture"/>
                  <a:graphic>
                    <a:graphicData uri="http://schemas.openxmlformats.org/drawingml/2006/picture">
                      <pic:pic>
                        <pic:nvPicPr>
                          <pic:cNvPr descr="figures/atlas-guide/atlas-species-02.png" id="681" name="Picture"/>
                          <pic:cNvPicPr>
                            <a:picLocks noChangeArrowheads="1" noChangeAspect="1"/>
                          </pic:cNvPicPr>
                        </pic:nvPicPr>
                        <pic:blipFill>
                          <a:blip r:embed="rId67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22.11: The card</w:t>
            </w:r>
          </w:p>
          <w:bookmarkEnd w:id="682"/>
        </w:tc>
      </w:tr>
    </w:tbl>
    <w:p>
      <w:pPr>
        <w:pStyle w:val="BodyText"/>
      </w:pPr>
      <w:hyperlink r:id="rId683">
        <w:r>
          <w:rPr>
            <w:rStyle w:val="Hyperlink"/>
          </w:rPr>
          <w:t xml:space="preserve">Open this step in the Atlas</w:t>
        </w:r>
      </w:hyperlink>
    </w:p>
    <w:bookmarkEnd w:id="684"/>
    <w:bookmarkStart w:id="689" w:name="the-map-1"/>
    <w:p>
      <w:pPr>
        <w:pStyle w:val="Heading3"/>
      </w:pPr>
      <w:r>
        <w:t xml:space="preserve">22.2.3 3. The map</w:t>
      </w:r>
    </w:p>
    <w:p>
      <w:pPr>
        <w:pStyle w:val="FirstParagraph"/>
      </w:pPr>
      <w:r>
        <w:t xml:space="preserve">Click anywhere for the modelled value.</w:t>
      </w:r>
    </w:p>
    <w:tbl>
      <w:tblPr>
        <w:tblStyle w:val="Table"/>
        <w:tblW w:type="pct" w:w="5000"/>
        <w:tblLayout w:type="fixed"/>
        <w:tblLook w:firstRow="0" w:lastRow="0" w:firstColumn="0" w:lastColumn="0" w:noHBand="0" w:noVBand="0" w:val="0000"/>
      </w:tblPr>
      <w:tblGrid>
        <w:gridCol w:w="7920"/>
      </w:tblGrid>
      <w:tr>
        <w:tc>
          <w:tcPr/>
          <w:bookmarkStart w:id="688" w:name="fig-atlas-species-03"/>
          <w:p>
            <w:pPr>
              <w:pStyle w:val="Compact"/>
              <w:jc w:val="center"/>
            </w:pPr>
            <w:r>
              <w:drawing>
                <wp:inline>
                  <wp:extent cx="5334000" cy="3333750"/>
                  <wp:effectExtent b="0" l="0" r="0" t="0"/>
                  <wp:docPr descr="" title="" id="686" name="Picture"/>
                  <a:graphic>
                    <a:graphicData uri="http://schemas.openxmlformats.org/drawingml/2006/picture">
                      <pic:pic>
                        <pic:nvPicPr>
                          <pic:cNvPr descr="figures/atlas-guide/atlas-species-03.png" id="687" name="Picture"/>
                          <pic:cNvPicPr>
                            <a:picLocks noChangeArrowheads="1" noChangeAspect="1"/>
                          </pic:cNvPicPr>
                        </pic:nvPicPr>
                        <pic:blipFill>
                          <a:blip r:embed="rId68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22.12: The map</w:t>
            </w:r>
          </w:p>
          <w:bookmarkEnd w:id="688"/>
        </w:tc>
      </w:tr>
    </w:tbl>
    <w:p>
      <w:pPr>
        <w:pStyle w:val="BodyText"/>
      </w:pPr>
      <w:hyperlink r:id="rId677">
        <w:r>
          <w:rPr>
            <w:rStyle w:val="Hyperlink"/>
          </w:rPr>
          <w:t xml:space="preserve">Open this step in the Atlas</w:t>
        </w:r>
      </w:hyperlink>
    </w:p>
    <w:bookmarkEnd w:id="689"/>
    <w:bookmarkStart w:id="694" w:name="the-legend"/>
    <w:p>
      <w:pPr>
        <w:pStyle w:val="Heading3"/>
      </w:pPr>
      <w:r>
        <w:t xml:space="preserve">22.2.4 4. The legend</w:t>
      </w:r>
    </w:p>
    <w:p>
      <w:pPr>
        <w:pStyle w:val="FirstParagraph"/>
      </w:pPr>
      <w:r>
        <w:t xml:space="preserve">What 1–100 means.</w:t>
      </w:r>
    </w:p>
    <w:tbl>
      <w:tblPr>
        <w:tblStyle w:val="Table"/>
        <w:tblW w:type="pct" w:w="5000"/>
        <w:tblLayout w:type="fixed"/>
        <w:tblLook w:firstRow="0" w:lastRow="0" w:firstColumn="0" w:lastColumn="0" w:noHBand="0" w:noVBand="0" w:val="0000"/>
      </w:tblPr>
      <w:tblGrid>
        <w:gridCol w:w="7920"/>
      </w:tblGrid>
      <w:tr>
        <w:tc>
          <w:tcPr/>
          <w:bookmarkStart w:id="693" w:name="fig-atlas-species-04"/>
          <w:p>
            <w:pPr>
              <w:pStyle w:val="Compact"/>
              <w:jc w:val="center"/>
            </w:pPr>
            <w:r>
              <w:drawing>
                <wp:inline>
                  <wp:extent cx="5334000" cy="3333750"/>
                  <wp:effectExtent b="0" l="0" r="0" t="0"/>
                  <wp:docPr descr="" title="" id="691" name="Picture"/>
                  <a:graphic>
                    <a:graphicData uri="http://schemas.openxmlformats.org/drawingml/2006/picture">
                      <pic:pic>
                        <pic:nvPicPr>
                          <pic:cNvPr descr="figures/atlas-guide/atlas-species-04.png" id="692" name="Picture"/>
                          <pic:cNvPicPr>
                            <a:picLocks noChangeArrowheads="1" noChangeAspect="1"/>
                          </pic:cNvPicPr>
                        </pic:nvPicPr>
                        <pic:blipFill>
                          <a:blip r:embed="rId69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22.13: The legend</w:t>
            </w:r>
          </w:p>
          <w:bookmarkEnd w:id="693"/>
        </w:tc>
      </w:tr>
    </w:tbl>
    <w:p>
      <w:pPr>
        <w:pStyle w:val="BodyText"/>
      </w:pPr>
      <w:hyperlink r:id="rId677">
        <w:r>
          <w:rPr>
            <w:rStyle w:val="Hyperlink"/>
          </w:rPr>
          <w:t xml:space="preserve">Open this step in the Atlas</w:t>
        </w:r>
      </w:hyperlink>
    </w:p>
    <w:bookmarkEnd w:id="694"/>
    <w:bookmarkStart w:id="699" w:name="back"/>
    <w:p>
      <w:pPr>
        <w:pStyle w:val="Heading3"/>
      </w:pPr>
      <w:r>
        <w:t xml:space="preserve">22.2.5 5. Back</w:t>
      </w:r>
    </w:p>
    <w:p>
      <w:pPr>
        <w:pStyle w:val="FirstParagraph"/>
      </w:pPr>
      <w:r>
        <w:t xml:space="preserve">Switch to Scores to see how this species contributes.</w:t>
      </w:r>
    </w:p>
    <w:tbl>
      <w:tblPr>
        <w:tblStyle w:val="Table"/>
        <w:tblW w:type="pct" w:w="5000"/>
        <w:tblLayout w:type="fixed"/>
        <w:tblLook w:firstRow="0" w:lastRow="0" w:firstColumn="0" w:lastColumn="0" w:noHBand="0" w:noVBand="0" w:val="0000"/>
      </w:tblPr>
      <w:tblGrid>
        <w:gridCol w:w="7920"/>
      </w:tblGrid>
      <w:tr>
        <w:tc>
          <w:tcPr/>
          <w:bookmarkStart w:id="698" w:name="fig-atlas-species-05"/>
          <w:p>
            <w:pPr>
              <w:pStyle w:val="Compact"/>
              <w:jc w:val="center"/>
            </w:pPr>
            <w:r>
              <w:drawing>
                <wp:inline>
                  <wp:extent cx="5334000" cy="3333750"/>
                  <wp:effectExtent b="0" l="0" r="0" t="0"/>
                  <wp:docPr descr="" title="" id="696" name="Picture"/>
                  <a:graphic>
                    <a:graphicData uri="http://schemas.openxmlformats.org/drawingml/2006/picture">
                      <pic:pic>
                        <pic:nvPicPr>
                          <pic:cNvPr descr="figures/atlas-guide/atlas-species-05.png" id="697" name="Picture"/>
                          <pic:cNvPicPr>
                            <a:picLocks noChangeArrowheads="1" noChangeAspect="1"/>
                          </pic:cNvPicPr>
                        </pic:nvPicPr>
                        <pic:blipFill>
                          <a:blip r:embed="rId69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22.14: Back</w:t>
            </w:r>
          </w:p>
          <w:bookmarkEnd w:id="698"/>
        </w:tc>
      </w:tr>
    </w:tbl>
    <w:p>
      <w:pPr>
        <w:pStyle w:val="BodyText"/>
      </w:pPr>
      <w:hyperlink r:id="rId677">
        <w:r>
          <w:rPr>
            <w:rStyle w:val="Hyperlink"/>
          </w:rPr>
          <w:t xml:space="preserve">Open this step in the Atlas</w:t>
        </w:r>
      </w:hyperlink>
    </w:p>
    <w:bookmarkEnd w:id="699"/>
    <w:bookmarkEnd w:id="700"/>
    <w:bookmarkEnd w:id="701"/>
    <w:bookmarkStart w:id="703" w:name="docs"/>
    <w:p>
      <w:pPr>
        <w:pStyle w:val="Heading1"/>
      </w:pPr>
      <w:r>
        <w:t xml:space="preserve">23. Docs</w:t>
      </w:r>
    </w:p>
    <w:p>
      <w:pPr>
        <w:pStyle w:val="FirstParagraph"/>
      </w:pPr>
      <w:r>
        <w:t xml:space="preserve">Technical documentation is principally in this book:</w:t>
      </w:r>
    </w:p>
    <w:p>
      <w:pPr>
        <w:numPr>
          <w:ilvl w:val="0"/>
          <w:numId w:val="1065"/>
        </w:numPr>
      </w:pPr>
      <w:hyperlink r:id="rId346">
        <w:r>
          <w:rPr>
            <w:rStyle w:val="Hyperlink"/>
          </w:rPr>
          <w:t xml:space="preserve">marinesensitivity.org/docs</w:t>
        </w:r>
      </w:hyperlink>
      <w:r>
        <w:br/>
      </w:r>
      <w:r>
        <w:t xml:space="preserve">the main documentation site</w:t>
      </w:r>
    </w:p>
    <w:p>
      <w:pPr>
        <w:numPr>
          <w:ilvl w:val="0"/>
          <w:numId w:val="1065"/>
        </w:numPr>
      </w:pPr>
      <w:hyperlink r:id="rId405">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66"/>
        </w:numPr>
      </w:pPr>
      <w:hyperlink r:id="rId702">
        <w:r>
          <w:rPr>
            <w:rStyle w:val="Hyperlink"/>
          </w:rPr>
          <w:t xml:space="preserve">marinesensitivity.org/</w:t>
        </w:r>
        <w:r>
          <w:rPr>
            <w:rStyle w:val="VerbatimChar"/>
          </w:rPr>
          <w:t xml:space="preserve">msens</w:t>
        </w:r>
      </w:hyperlink>
      <w:r>
        <w:br/>
      </w:r>
      <w:r>
        <w:t xml:space="preserve">documented R functions</w:t>
      </w:r>
    </w:p>
    <w:bookmarkEnd w:id="703"/>
    <w:bookmarkStart w:id="707" w:name="summary"/>
    <w:p>
      <w:pPr>
        <w:pStyle w:val="Heading1"/>
      </w:pPr>
      <w:r>
        <w:t xml:space="preserve">24.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v7c</w:t>
      </w:r>
      <w:r>
        <w:t xml:space="preserve">; figures are read from that release.</w:t>
      </w:r>
    </w:p>
    <w:bookmarkStart w:id="704" w:name="what-this-release-delivers"/>
    <w:p>
      <w:pPr>
        <w:pStyle w:val="Heading2"/>
      </w:pPr>
      <w:r>
        <w:t xml:space="preserve">24.1 What this release delivers</w:t>
      </w:r>
    </w:p>
    <w:p>
      <w:pPr>
        <w:numPr>
          <w:ilvl w:val="0"/>
          <w:numId w:val="1067"/>
        </w:numPr>
      </w:pPr>
      <w:r>
        <w:rPr>
          <w:b/>
          <w:bCs/>
        </w:rPr>
        <w:t xml:space="preserve">16,153 valid marine species</w:t>
      </w:r>
      <w:r>
        <w:t xml:space="preserve"> </w:t>
      </w:r>
      <w:r>
        <w:t xml:space="preserve">on a 0.05° grid (~4 km cells) across the US EEZ study area, of which</w:t>
      </w:r>
      <w:r>
        <w:t xml:space="preserve"> </w:t>
      </w:r>
      <w:r>
        <w:rPr>
          <w:b/>
          <w:bCs/>
        </w:rPr>
        <w:t xml:space="preserve">9,229</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8 source datasets</w:t>
      </w:r>
      <w:r>
        <w:t xml:space="preserve"> </w:t>
      </w:r>
      <w:r>
        <w:t xml:space="preserve">— continuous suitability models, regulatory habitat designations and expert range maps.</w:t>
      </w:r>
    </w:p>
    <w:p>
      <w:pPr>
        <w:numPr>
          <w:ilvl w:val="0"/>
          <w:numId w:val="1067"/>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bird</w:t>
      </w:r>
      <w:r>
        <w:t xml:space="preserve">,</w:t>
      </w:r>
      <w:r>
        <w:t xml:space="preserve"> </w:t>
      </w:r>
      <w:r>
        <w:rPr>
          <w:rStyle w:val="VerbatimChar"/>
        </w:rPr>
        <w:t xml:space="preserve">coral</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67"/>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67"/>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67"/>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67"/>
        </w:numPr>
      </w:pPr>
      <w:r>
        <w:rPr>
          <w:b/>
          <w:bCs/>
        </w:rPr>
        <w:t xml:space="preserve">The Atlas</w:t>
      </w:r>
      <w:r>
        <w:t xml:space="preserve">, the interactive application (Scores and Species lenses, plus Places and Reports), renders</w:t>
      </w:r>
      <w:r>
        <w:t xml:space="preserve"> </w:t>
      </w:r>
      <w:r>
        <w:rPr>
          <w:b/>
          <w:bCs/>
        </w:rPr>
        <w:t xml:space="preserve">any published release</w:t>
      </w:r>
      <w:r>
        <w:t xml:space="preserve"> </w:t>
      </w:r>
      <w:r>
        <w:t xml:space="preserve">(e.g. </w:t>
      </w:r>
      <w:r>
        <w:rPr>
          <w:rStyle w:val="VerbatimChar"/>
        </w:rPr>
        <w:t xml:space="preserve">?ver=v3</w:t>
      </w:r>
      <w:r>
        <w:t xml:space="preserve">; a restricted pre-release only on the review host, at</w:t>
      </w:r>
      <w:r>
        <w:t xml:space="preserve"> </w:t>
      </w:r>
      <w:r>
        <w:rPr>
          <w:rStyle w:val="VerbatimChar"/>
        </w:rPr>
        <w:t xml:space="preserve">/{version}/atlas/</w:t>
      </w:r>
      <w:r>
        <w:t xml:space="preserve">), so a reader can look at the release a report cited rather than only the newest one. The earlier Scores and Species Shiny apps are retired and their links redirect to the Atlas.</w:t>
      </w:r>
    </w:p>
    <w:bookmarkEnd w:id="704"/>
    <w:bookmarkStart w:id="705" w:name="delivered-since-the-first-release"/>
    <w:p>
      <w:pPr>
        <w:pStyle w:val="Heading2"/>
      </w:pPr>
      <w:r>
        <w:t xml:space="preserve">24.2 Delivered since the first release</w:t>
      </w:r>
    </w:p>
    <w:p>
      <w:pPr>
        <w:pStyle w:val="FirstParagraph"/>
      </w:pPr>
      <w:r>
        <w:t xml:space="preserve">Several capabilities listed as future work in earlier editions of this documentation have since shipped:</w:t>
      </w:r>
    </w:p>
    <w:p>
      <w:pPr>
        <w:pStyle w:val="Compact"/>
        <w:numPr>
          <w:ilvl w:val="0"/>
          <w:numId w:val="1068"/>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68"/>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68"/>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68"/>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68"/>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705"/>
    <w:bookmarkStart w:id="706" w:name="future-directions"/>
    <w:p>
      <w:pPr>
        <w:pStyle w:val="Heading2"/>
      </w:pPr>
      <w:r>
        <w:t xml:space="preserve">24.3 Future directions</w:t>
      </w:r>
    </w:p>
    <w:p>
      <w:pPr>
        <w:pStyle w:val="Compact"/>
        <w:numPr>
          <w:ilvl w:val="0"/>
          <w:numId w:val="1069"/>
        </w:numPr>
      </w:pPr>
      <w:r>
        <w:rPr>
          <w:b/>
          <w:bCs/>
        </w:rPr>
        <w:t xml:space="preserve">OBIS/GBIF validation</w:t>
      </w:r>
      <w:r>
        <w:t xml:space="preserve"> </w:t>
      </w:r>
      <w:r>
        <w:t xml:space="preserve">— refine distributions against occurrence records, with temporal filters.</w:t>
      </w:r>
    </w:p>
    <w:p>
      <w:pPr>
        <w:pStyle w:val="Compact"/>
        <w:numPr>
          <w:ilvl w:val="0"/>
          <w:numId w:val="1069"/>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69"/>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69"/>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69"/>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69"/>
        </w:numPr>
      </w:pPr>
      <w:r>
        <w:rPr>
          <w:b/>
          <w:bCs/>
        </w:rPr>
        <w:t xml:space="preserve">Infrastructure transfer</w:t>
      </w:r>
      <w:r>
        <w:t xml:space="preserve"> </w:t>
      </w:r>
      <w:r>
        <w:t xml:space="preserve">— support moving the data and applications onto BOEM infrastructure for long-term operation.</w:t>
      </w:r>
    </w:p>
    <w:bookmarkEnd w:id="706"/>
    <w:bookmarkEnd w:id="707"/>
    <w:bookmarkStart w:id="774" w:name="references"/>
    <w:p>
      <w:pPr>
        <w:pStyle w:val="Heading1"/>
      </w:pPr>
      <w:r>
        <w:t xml:space="preserve">References</w:t>
      </w:r>
    </w:p>
    <w:bookmarkStart w:id="773" w:name="refs"/>
    <w:bookmarkStart w:id="709"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708">
        <w:r>
          <w:rPr>
            <w:rStyle w:val="Hyperlink"/>
          </w:rPr>
          <w:t xml:space="preserve">https://doi.org/10.4319/lo.1997.42.1.0001</w:t>
        </w:r>
      </w:hyperlink>
      <w:r>
        <w:t xml:space="preserve">.</w:t>
      </w:r>
    </w:p>
    <w:bookmarkEnd w:id="709"/>
    <w:bookmarkStart w:id="711" w:name="ref-benaka2019"/>
    <w:p>
      <w:pPr>
        <w:pStyle w:val="Bibliography"/>
      </w:pPr>
      <w:r>
        <w:t xml:space="preserve">Benaka, Lee R., Daryl Bullock, Aimee L. Hoover, and Noelle A. Olsen, eds. 2019.</w:t>
      </w:r>
      <w:r>
        <w:t xml:space="preserve"> </w:t>
      </w:r>
      <w:r>
        <w:rPr>
          <w:i/>
          <w:iCs/>
        </w:rPr>
        <w:t xml:space="preserve">U.S.</w:t>
      </w:r>
      <w:r>
        <w:rPr>
          <w:i/>
          <w:iCs/>
        </w:rPr>
        <w:t xml:space="preserve"> </w:t>
      </w:r>
      <w:r>
        <w:rPr>
          <w:i/>
          <w:iCs/>
        </w:rPr>
        <w:t xml:space="preserve">National Bycatch Report First Edition Update 3</w:t>
      </w:r>
      <w:r>
        <w:t xml:space="preserve">. NOAA Technical Memorandum NMFS-F/SPO-190. U.S. Department of Commerce, National Oceanic; Atmospheric Administration, National Marine Fisheries Service.</w:t>
      </w:r>
      <w:r>
        <w:t xml:space="preserve"> </w:t>
      </w:r>
      <w:hyperlink r:id="rId710">
        <w:r>
          <w:rPr>
            <w:rStyle w:val="Hyperlink"/>
          </w:rPr>
          <w:t xml:space="preserve">https://media.fisheries.noaa.gov/dam-migration/nbr_update_3.pdf</w:t>
        </w:r>
      </w:hyperlink>
      <w:r>
        <w:t xml:space="preserve">.</w:t>
      </w:r>
    </w:p>
    <w:bookmarkEnd w:id="711"/>
    <w:bookmarkStart w:id="713" w:name="ref-benson2026"/>
    <w:p>
      <w:pPr>
        <w:pStyle w:val="Bibliography"/>
      </w:pPr>
      <w:r>
        <w:t xml:space="preserve">Benson, Scott, Christina Fahy, Jason Jannot, and Jason Eibner. 2026.</w:t>
      </w:r>
      <w:r>
        <w:t xml:space="preserve"> </w:t>
      </w:r>
      <w:r>
        <w:rPr>
          <w:i/>
          <w:iCs/>
        </w:rPr>
        <w:t xml:space="preserve">Leatherback Sea Turtle Bycatch in</w:t>
      </w:r>
      <w:r>
        <w:rPr>
          <w:i/>
          <w:iCs/>
        </w:rPr>
        <w:t xml:space="preserve"> </w:t>
      </w:r>
      <w:r>
        <w:rPr>
          <w:i/>
          <w:iCs/>
        </w:rPr>
        <w:t xml:space="preserve">U.S.</w:t>
      </w:r>
      <w:r>
        <w:rPr>
          <w:i/>
          <w:iCs/>
        </w:rPr>
        <w:t xml:space="preserve"> </w:t>
      </w:r>
      <w:r>
        <w:rPr>
          <w:i/>
          <w:iCs/>
        </w:rPr>
        <w:t xml:space="preserve">West</w:t>
      </w:r>
      <w:r>
        <w:rPr>
          <w:i/>
          <w:iCs/>
        </w:rPr>
        <w:t xml:space="preserve"> </w:t>
      </w:r>
      <w:r>
        <w:rPr>
          <w:i/>
          <w:iCs/>
        </w:rPr>
        <w:t xml:space="preserve">Coast</w:t>
      </w:r>
      <w:r>
        <w:rPr>
          <w:i/>
          <w:iCs/>
        </w:rPr>
        <w:t xml:space="preserve"> </w:t>
      </w:r>
      <w:r>
        <w:rPr>
          <w:i/>
          <w:iCs/>
        </w:rPr>
        <w:t xml:space="preserve">Groundfish Fisheries 2002–2019</w:t>
      </w:r>
      <w:r>
        <w:t xml:space="preserve">. NOAA Technical Memorandum NMFS-SWFSC-731. NOAA National Marine Fisheries Service, Southwest Fisheries Science Center.</w:t>
      </w:r>
      <w:r>
        <w:t xml:space="preserve"> </w:t>
      </w:r>
      <w:hyperlink r:id="rId712">
        <w:r>
          <w:rPr>
            <w:rStyle w:val="Hyperlink"/>
          </w:rPr>
          <w:t xml:space="preserve">https://doi.org/10.25923/px0e-gh24</w:t>
        </w:r>
      </w:hyperlink>
      <w:r>
        <w:t xml:space="preserve">.</w:t>
      </w:r>
    </w:p>
    <w:bookmarkEnd w:id="713"/>
    <w:bookmarkStart w:id="715"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714">
        <w:r>
          <w:rPr>
            <w:rStyle w:val="Hyperlink"/>
          </w:rPr>
          <w:t xml:space="preserve">https://doi.org/10.1371/journal.pone.0000140</w:t>
        </w:r>
      </w:hyperlink>
      <w:r>
        <w:t xml:space="preserve">.</w:t>
      </w:r>
    </w:p>
    <w:bookmarkEnd w:id="715"/>
    <w:bookmarkStart w:id="717"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716">
        <w:r>
          <w:rPr>
            <w:rStyle w:val="Hyperlink"/>
          </w:rPr>
          <w:t xml:space="preserve">https://doi.org/10.1371/journal.pbio.0020383</w:t>
        </w:r>
      </w:hyperlink>
      <w:r>
        <w:t xml:space="preserve">.</w:t>
      </w:r>
    </w:p>
    <w:bookmarkEnd w:id="717"/>
    <w:bookmarkStart w:id="719"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718">
        <w:r>
          <w:rPr>
            <w:rStyle w:val="Hyperlink"/>
          </w:rPr>
          <w:t xml:space="preserve">https://CRAN.R-project.org/package=shiny</w:t>
        </w:r>
      </w:hyperlink>
      <w:r>
        <w:t xml:space="preserve">.</w:t>
      </w:r>
    </w:p>
    <w:bookmarkEnd w:id="719"/>
    <w:bookmarkStart w:id="721" w:name="ref-gbif2026"/>
    <w:p>
      <w:pPr>
        <w:pStyle w:val="Bibliography"/>
      </w:pPr>
      <w:r>
        <w:t xml:space="preserve">GBIF.org. 2026.</w:t>
      </w:r>
      <w:r>
        <w:t xml:space="preserve"> </w:t>
      </w:r>
      <w:r>
        <w:rPr>
          <w:i/>
          <w:iCs/>
        </w:rPr>
        <w:t xml:space="preserve">GBIF</w:t>
      </w:r>
      <w:r>
        <w:rPr>
          <w:i/>
          <w:iCs/>
        </w:rPr>
        <w:t xml:space="preserve"> </w:t>
      </w:r>
      <w:r>
        <w:rPr>
          <w:i/>
          <w:iCs/>
        </w:rPr>
        <w:t xml:space="preserve">Occurrence Search</w:t>
      </w:r>
      <w:r>
        <w:rPr>
          <w:i/>
          <w:iCs/>
        </w:rPr>
        <w:t xml:space="preserve"> </w:t>
      </w:r>
      <w:r>
        <w:rPr>
          <w:i/>
          <w:iCs/>
        </w:rPr>
        <w:t xml:space="preserve">API</w:t>
      </w:r>
      <w:r>
        <w:rPr>
          <w:i/>
          <w:iCs/>
        </w:rPr>
        <w:t xml:space="preserve">: Sea Turtle and Marine Mammal Record Counts Per Ecoregion</w:t>
      </w:r>
      <w:r>
        <w:t xml:space="preserve">. Queried October 2026.</w:t>
      </w:r>
      <w:r>
        <w:t xml:space="preserve"> </w:t>
      </w:r>
      <w:hyperlink r:id="rId720">
        <w:r>
          <w:rPr>
            <w:rStyle w:val="Hyperlink"/>
          </w:rPr>
          <w:t xml:space="preserve">https://api.gbif.org/v1/occurrence/search</w:t>
        </w:r>
      </w:hyperlink>
      <w:r>
        <w:t xml:space="preserve">.</w:t>
      </w:r>
    </w:p>
    <w:bookmarkEnd w:id="721"/>
    <w:bookmarkStart w:id="723"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722">
        <w:r>
          <w:rPr>
            <w:rStyle w:val="Hyperlink"/>
          </w:rPr>
          <w:t xml:space="preserve">https://doi.org/10.1080/09640568.2014.973483</w:t>
        </w:r>
      </w:hyperlink>
      <w:r>
        <w:t xml:space="preserve">.</w:t>
      </w:r>
    </w:p>
    <w:bookmarkEnd w:id="723"/>
    <w:bookmarkStart w:id="725"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724">
        <w:r>
          <w:rPr>
            <w:rStyle w:val="Hyperlink"/>
          </w:rPr>
          <w:t xml:space="preserve">https://doi.org/10.1038/nature11397</w:t>
        </w:r>
      </w:hyperlink>
      <w:r>
        <w:t xml:space="preserve">.</w:t>
      </w:r>
    </w:p>
    <w:bookmarkEnd w:id="725"/>
    <w:bookmarkStart w:id="727"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726">
        <w:r>
          <w:rPr>
            <w:rStyle w:val="Hyperlink"/>
          </w:rPr>
          <w:t xml:space="preserve">https://doi.org/10.1111/j.1523-1739.2007.00752.x</w:t>
        </w:r>
      </w:hyperlink>
      <w:r>
        <w:t xml:space="preserve">.</w:t>
      </w:r>
    </w:p>
    <w:bookmarkEnd w:id="727"/>
    <w:bookmarkStart w:id="729"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728">
        <w:r>
          <w:rPr>
            <w:rStyle w:val="Hyperlink"/>
          </w:rPr>
          <w:t xml:space="preserve">https://doi.org/10.1371/journal.pone.0146756</w:t>
        </w:r>
      </w:hyperlink>
      <w:r>
        <w:t xml:space="preserve">.</w:t>
      </w:r>
    </w:p>
    <w:bookmarkEnd w:id="729"/>
    <w:bookmarkStart w:id="730" w:name="ref-hodgewing2000"/>
    <w:p>
      <w:pPr>
        <w:pStyle w:val="Bibliography"/>
      </w:pPr>
      <w:r>
        <w:t xml:space="preserve">Hodge, R. P., and B. L. Wing. 2000.</w:t>
      </w:r>
      <w:r>
        <w:t xml:space="preserve"> </w:t>
      </w:r>
      <w:r>
        <w:t xml:space="preserve">“Occurrences of Marine Turtles in</w:t>
      </w:r>
      <w:r>
        <w:t xml:space="preserve"> </w:t>
      </w:r>
      <w:r>
        <w:t xml:space="preserve">Alaska</w:t>
      </w:r>
      <w:r>
        <w:t xml:space="preserve"> </w:t>
      </w:r>
      <w:r>
        <w:t xml:space="preserve">Waters: 1960–1998.”</w:t>
      </w:r>
      <w:r>
        <w:t xml:space="preserve"> </w:t>
      </w:r>
      <w:r>
        <w:rPr>
          <w:i/>
          <w:iCs/>
        </w:rPr>
        <w:t xml:space="preserve">Herpetological Review</w:t>
      </w:r>
      <w:r>
        <w:t xml:space="preserve"> </w:t>
      </w:r>
      <w:r>
        <w:t xml:space="preserve">31: 148–51.</w:t>
      </w:r>
    </w:p>
    <w:bookmarkEnd w:id="730"/>
    <w:bookmarkStart w:id="732" w:name="ref-inaturalist2026"/>
    <w:p>
      <w:pPr>
        <w:pStyle w:val="Bibliography"/>
      </w:pPr>
      <w:r>
        <w:t xml:space="preserve">iNaturalist contributors, and iNaturalist</w:t>
      </w:r>
      <w:r>
        <w:t xml:space="preserve">. 2026.</w:t>
      </w:r>
      <w:r>
        <w:t xml:space="preserve"> </w:t>
      </w:r>
      <w:r>
        <w:rPr>
          <w:i/>
          <w:iCs/>
        </w:rPr>
        <w:t xml:space="preserve">iNaturalist</w:t>
      </w:r>
      <w:r>
        <w:rPr>
          <w:i/>
          <w:iCs/>
        </w:rPr>
        <w:t xml:space="preserve"> </w:t>
      </w:r>
      <w:r>
        <w:rPr>
          <w:i/>
          <w:iCs/>
        </w:rPr>
        <w:t xml:space="preserve">Research-Grade Observations</w:t>
      </w:r>
      <w:r>
        <w:t xml:space="preserve">. Occurrence dataset, accessed via GBIF.org, October 2026.</w:t>
      </w:r>
      <w:r>
        <w:t xml:space="preserve"> </w:t>
      </w:r>
      <w:hyperlink r:id="rId731">
        <w:r>
          <w:rPr>
            <w:rStyle w:val="Hyperlink"/>
          </w:rPr>
          <w:t xml:space="preserve">https://doi.org/10.15468/ab3s5x</w:t>
        </w:r>
      </w:hyperlink>
      <w:r>
        <w:t xml:space="preserve">.</w:t>
      </w:r>
    </w:p>
    <w:bookmarkEnd w:id="732"/>
    <w:bookmarkStart w:id="733"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733"/>
    <w:bookmarkStart w:id="734"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31">
        <w:r>
          <w:rPr>
            <w:rStyle w:val="Hyperlink"/>
          </w:rPr>
          <w:t xml:space="preserve">https://www.aquamaps.org</w:t>
        </w:r>
      </w:hyperlink>
      <w:r>
        <w:t xml:space="preserve">.</w:t>
      </w:r>
    </w:p>
    <w:bookmarkEnd w:id="734"/>
    <w:bookmarkStart w:id="736"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735">
        <w:r>
          <w:rPr>
            <w:rStyle w:val="Hyperlink"/>
          </w:rPr>
          <w:t xml:space="preserve">https://doi.org/10.1038/s41559-017-0160</w:t>
        </w:r>
      </w:hyperlink>
      <w:r>
        <w:t xml:space="preserve">.</w:t>
      </w:r>
    </w:p>
    <w:bookmarkEnd w:id="736"/>
    <w:bookmarkStart w:id="738"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737">
        <w:r>
          <w:rPr>
            <w:rStyle w:val="Hyperlink"/>
          </w:rPr>
          <w:t xml:space="preserve">https://doi.org/10.1038/s41559-021-01432-0</w:t>
        </w:r>
      </w:hyperlink>
      <w:r>
        <w:t xml:space="preserve">.</w:t>
      </w:r>
    </w:p>
    <w:bookmarkEnd w:id="738"/>
    <w:bookmarkStart w:id="740"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739">
        <w:r>
          <w:rPr>
            <w:rStyle w:val="Hyperlink"/>
          </w:rPr>
          <w:t xml:space="preserve">https://doi.org/10.1002/ece3.70030</w:t>
        </w:r>
      </w:hyperlink>
      <w:r>
        <w:t xml:space="preserve">.</w:t>
      </w:r>
    </w:p>
    <w:bookmarkEnd w:id="740"/>
    <w:bookmarkStart w:id="742"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741">
        <w:r>
          <w:rPr>
            <w:rStyle w:val="Hyperlink"/>
          </w:rPr>
          <w:t xml:space="preserve">https://doi.org/10.1371/journal.pone.0003700</w:t>
        </w:r>
      </w:hyperlink>
      <w:r>
        <w:t xml:space="preserve">.</w:t>
      </w:r>
    </w:p>
    <w:bookmarkEnd w:id="742"/>
    <w:bookmarkStart w:id="744"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743">
        <w:r>
          <w:rPr>
            <w:rStyle w:val="Hyperlink"/>
          </w:rPr>
          <w:t xml:space="preserve">https://www.boem.gov/sites/default/files/environmental-stewardship/Environmental-Studies/Pacific-Region/Studies/BOEM-2018-031-Vol1.pdf</w:t>
        </w:r>
      </w:hyperlink>
      <w:r>
        <w:t xml:space="preserve">.</w:t>
      </w:r>
    </w:p>
    <w:bookmarkEnd w:id="744"/>
    <w:bookmarkStart w:id="745"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745"/>
    <w:bookmarkStart w:id="747"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746">
        <w:r>
          <w:rPr>
            <w:rStyle w:val="Hyperlink"/>
          </w:rPr>
          <w:t xml:space="preserve">https://noaa.maps.arcgis.com/home/search.html?searchTerm=turtle+dps</w:t>
        </w:r>
      </w:hyperlink>
      <w:r>
        <w:t xml:space="preserve">.</w:t>
      </w:r>
    </w:p>
    <w:bookmarkEnd w:id="747"/>
    <w:bookmarkStart w:id="749" w:name="ref-noaa_ak_turtles_2026"/>
    <w:p>
      <w:pPr>
        <w:pStyle w:val="Bibliography"/>
      </w:pPr>
      <w:r>
        <w:t xml:space="preserve">NOAA Fisheries Alaska Region. 2026.</w:t>
      </w:r>
      <w:r>
        <w:t xml:space="preserve"> </w:t>
      </w:r>
      <w:r>
        <w:rPr>
          <w:i/>
          <w:iCs/>
        </w:rPr>
        <w:t xml:space="preserve">Sea Turtle Records in</w:t>
      </w:r>
      <w:r>
        <w:rPr>
          <w:i/>
          <w:iCs/>
        </w:rPr>
        <w:t xml:space="preserve"> </w:t>
      </w:r>
      <w:r>
        <w:rPr>
          <w:i/>
          <w:iCs/>
        </w:rPr>
        <w:t xml:space="preserve">Alaska</w:t>
      </w:r>
      <w:r>
        <w:rPr>
          <w:i/>
          <w:iCs/>
        </w:rPr>
        <w:t xml:space="preserve">, 1963–2020: Sightings, Strandings and Bycatch</w:t>
      </w:r>
      <w:r>
        <w:t xml:space="preserve">. Data file provided by J. Malek (NOAA Fisheries Alaska Region) to T. White (BOEM), 5 October 2026; see also the feature story</w:t>
      </w:r>
      <w:r>
        <w:t xml:space="preserve"> </w:t>
      </w:r>
      <w:r>
        <w:t xml:space="preserve">“Sea Turtles in Alaska? Yes, We Have Them In the Far North!”</w:t>
      </w:r>
      <w:r>
        <w:t xml:space="preserve"> </w:t>
      </w:r>
      <w:r>
        <w:t xml:space="preserve">(13 June 2022).</w:t>
      </w:r>
      <w:r>
        <w:t xml:space="preserve"> </w:t>
      </w:r>
      <w:hyperlink r:id="rId748">
        <w:r>
          <w:rPr>
            <w:rStyle w:val="Hyperlink"/>
          </w:rPr>
          <w:t xml:space="preserve">https://www.fisheries.noaa.gov/feature-story/sea-turtles-alaska-yes-we-have-them-far-north</w:t>
        </w:r>
      </w:hyperlink>
      <w:r>
        <w:t xml:space="preserve">.</w:t>
      </w:r>
    </w:p>
    <w:bookmarkEnd w:id="749"/>
    <w:bookmarkStart w:id="751" w:name="ref-piro2026"/>
    <w:p>
      <w:pPr>
        <w:pStyle w:val="Bibliography"/>
      </w:pPr>
      <w:r>
        <w:t xml:space="preserve">NOAA Fisheries Pacific Islands Regional Office. 2026.</w:t>
      </w:r>
      <w:r>
        <w:t xml:space="preserve"> </w:t>
      </w:r>
      <w:r>
        <w:rPr>
          <w:i/>
          <w:iCs/>
        </w:rPr>
        <w:t xml:space="preserve">Hawaiʻi Shallow-Set Longline Fishery Quarterly and Annual Status Report 2025</w:t>
      </w:r>
      <w:r>
        <w:t xml:space="preserve">.</w:t>
      </w:r>
      <w:r>
        <w:t xml:space="preserve"> </w:t>
      </w:r>
      <w:hyperlink r:id="rId750">
        <w:r>
          <w:rPr>
            <w:rStyle w:val="Hyperlink"/>
          </w:rPr>
          <w:t xml:space="preserve">https://www.fisheries.noaa.gov/resource/data/hawaii-shallow-set-longline-fishery-quarterly-and-annual-status-report-2025</w:t>
        </w:r>
      </w:hyperlink>
      <w:r>
        <w:t xml:space="preserve">.</w:t>
      </w:r>
    </w:p>
    <w:bookmarkEnd w:id="751"/>
    <w:bookmarkStart w:id="753" w:name="ref-noaa_sero2006"/>
    <w:p>
      <w:pPr>
        <w:pStyle w:val="Bibliography"/>
      </w:pPr>
      <w:r>
        <w:t xml:space="preserve">NOAA Fisheries Service Southeast Regional Office, and Florida Fish and Wildlife Conservation Commission. 2006.</w:t>
      </w:r>
      <w:r>
        <w:t xml:space="preserve"> </w:t>
      </w:r>
      <w:r>
        <w:rPr>
          <w:i/>
          <w:iCs/>
        </w:rPr>
        <w:t xml:space="preserve">NOAA</w:t>
      </w:r>
      <w:r>
        <w:rPr>
          <w:i/>
          <w:iCs/>
        </w:rPr>
        <w:t xml:space="preserve"> </w:t>
      </w:r>
      <w:r>
        <w:rPr>
          <w:i/>
          <w:iCs/>
        </w:rPr>
        <w:t xml:space="preserve">and</w:t>
      </w:r>
      <w:r>
        <w:rPr>
          <w:i/>
          <w:iCs/>
        </w:rPr>
        <w:t xml:space="preserve"> </w:t>
      </w:r>
      <w:r>
        <w:rPr>
          <w:i/>
          <w:iCs/>
        </w:rPr>
        <w:t xml:space="preserve">FWC</w:t>
      </w:r>
      <w:r>
        <w:rPr>
          <w:i/>
          <w:iCs/>
        </w:rPr>
        <w:t xml:space="preserve"> </w:t>
      </w:r>
      <w:r>
        <w:rPr>
          <w:i/>
          <w:iCs/>
        </w:rPr>
        <w:t xml:space="preserve">Confirm Right Whales Off</w:t>
      </w:r>
      <w:r>
        <w:rPr>
          <w:i/>
          <w:iCs/>
        </w:rPr>
        <w:t xml:space="preserve"> </w:t>
      </w:r>
      <w:r>
        <w:rPr>
          <w:i/>
          <w:iCs/>
        </w:rPr>
        <w:t xml:space="preserve">Florida</w:t>
      </w:r>
      <w:r>
        <w:rPr>
          <w:i/>
          <w:iCs/>
        </w:rPr>
        <w:t xml:space="preserve"> </w:t>
      </w:r>
      <w:r>
        <w:rPr>
          <w:i/>
          <w:iCs/>
        </w:rPr>
        <w:t xml:space="preserve">Gulf</w:t>
      </w:r>
      <w:r>
        <w:rPr>
          <w:i/>
          <w:iCs/>
        </w:rPr>
        <w:t xml:space="preserve"> </w:t>
      </w:r>
      <w:r>
        <w:rPr>
          <w:i/>
          <w:iCs/>
        </w:rPr>
        <w:t xml:space="preserve">Coast</w:t>
      </w:r>
      <w:r>
        <w:t xml:space="preserve">. No. SER060228. News release SER060228, 28 February 2006. Read from the archived copy in the UNT Libraries Web Archive (captured 14 February 2013).</w:t>
      </w:r>
      <w:r>
        <w:t xml:space="preserve"> </w:t>
      </w:r>
      <w:hyperlink r:id="rId752">
        <w:r>
          <w:rPr>
            <w:rStyle w:val="Hyperlink"/>
          </w:rPr>
          <w:t xml:space="preserve">https://webarchive.library.unt.edu/web/20130214220527/http:/sero.nmfs.noaa.gov/media/pdfs/2006/News%20Release2_28_06.pdf</w:t>
        </w:r>
      </w:hyperlink>
      <w:r>
        <w:t xml:space="preserve">.</w:t>
      </w:r>
    </w:p>
    <w:bookmarkEnd w:id="753"/>
    <w:bookmarkStart w:id="755" w:name="ref-stssn2026"/>
    <w:p>
      <w:pPr>
        <w:pStyle w:val="Bibliography"/>
      </w:pPr>
      <w:r>
        <w:t xml:space="preserve">NOAA Fisheries Southeast Fisheries Science Center. 2026.</w:t>
      </w:r>
      <w:r>
        <w:t xml:space="preserve"> </w:t>
      </w:r>
      <w:r>
        <w:rPr>
          <w:i/>
          <w:iCs/>
        </w:rPr>
        <w:t xml:space="preserve">Sea Turtle Stranding and Salvage Network (</w:t>
      </w:r>
      <w:r>
        <w:rPr>
          <w:i/>
          <w:iCs/>
        </w:rPr>
        <w:t xml:space="preserve">STSSN</w:t>
      </w:r>
      <w:r>
        <w:rPr>
          <w:i/>
          <w:iCs/>
        </w:rPr>
        <w:t xml:space="preserve">) Data Application: Strandings by State, Species and Encounter Type, 2016–2025 (Preliminary Data)</w:t>
      </w:r>
      <w:r>
        <w:t xml:space="preserve">. Online data application, accessed October 2026; preliminary data, cited pending the state coordinators’ permission.</w:t>
      </w:r>
      <w:r>
        <w:t xml:space="preserve"> </w:t>
      </w:r>
      <w:hyperlink r:id="rId754">
        <w:r>
          <w:rPr>
            <w:rStyle w:val="Hyperlink"/>
          </w:rPr>
          <w:t xml:space="preserve">https://connect.fisheries.noaa.gov/content/cb3f4647-9e4f-4f3d-9edf-e7a87a1feef6/</w:t>
        </w:r>
      </w:hyperlink>
      <w:r>
        <w:t xml:space="preserve">.</w:t>
      </w:r>
    </w:p>
    <w:bookmarkEnd w:id="755"/>
    <w:bookmarkStart w:id="757" w:name="ref-obis_sdm2025"/>
    <w:p>
      <w:pPr>
        <w:pStyle w:val="Bibliography"/>
      </w:pPr>
      <w:r>
        <w:t xml:space="preserve">OBIS. 2025a.</w:t>
      </w:r>
      <w:r>
        <w:t xml:space="preserve"> </w:t>
      </w:r>
      <w:r>
        <w:rPr>
          <w:i/>
          <w:iCs/>
        </w:rPr>
        <w:t xml:space="preserve">OBIS</w:t>
      </w:r>
      <w:r>
        <w:rPr>
          <w:i/>
          <w:iCs/>
        </w:rPr>
        <w:t xml:space="preserve"> </w:t>
      </w:r>
      <w:r>
        <w:rPr>
          <w:i/>
          <w:iCs/>
        </w:rPr>
        <w:t xml:space="preserve">Published Species Distribution Model Ensembles (</w:t>
      </w:r>
      <w:r>
        <w:rPr>
          <w:i/>
          <w:iCs/>
        </w:rPr>
        <w:t xml:space="preserve">MPA</w:t>
      </w:r>
      <w:r>
        <w:rPr>
          <w:i/>
          <w:iCs/>
        </w:rPr>
        <w:t xml:space="preserve"> </w:t>
      </w:r>
      <w:r>
        <w:rPr>
          <w:i/>
          <w:iCs/>
        </w:rPr>
        <w:t xml:space="preserve">Europe</w:t>
      </w:r>
      <w:r>
        <w:rPr>
          <w:i/>
          <w:iCs/>
        </w:rPr>
        <w:t xml:space="preserve">), with 10th-Percentile Training-Presence Thresholds</w:t>
      </w:r>
      <w:r>
        <w:t xml:space="preserve">. Intergovernmental Oceanographic Commission of UNESCO.</w:t>
      </w:r>
      <w:r>
        <w:t xml:space="preserve"> </w:t>
      </w:r>
      <w:hyperlink r:id="rId756">
        <w:r>
          <w:rPr>
            <w:rStyle w:val="Hyperlink"/>
          </w:rPr>
          <w:t xml:space="preserve">https://github.com/iobis/mpaeu_sdm</w:t>
        </w:r>
      </w:hyperlink>
      <w:r>
        <w:t xml:space="preserve">.</w:t>
      </w:r>
    </w:p>
    <w:bookmarkEnd w:id="757"/>
    <w:bookmarkStart w:id="759" w:name="ref-obis2025"/>
    <w:p>
      <w:pPr>
        <w:pStyle w:val="Bibliography"/>
      </w:pPr>
      <w:r>
        <w:t xml:space="preserve">OBIS. 2025b.</w:t>
      </w:r>
      <w:r>
        <w:t xml:space="preserve"> </w:t>
      </w:r>
      <w:r>
        <w:rPr>
          <w:i/>
          <w:iCs/>
        </w:rPr>
        <w:t xml:space="preserve">Ocean Biodiversity Information System (</w:t>
      </w:r>
      <w:r>
        <w:rPr>
          <w:i/>
          <w:iCs/>
        </w:rPr>
        <w:t xml:space="preserve">OBIS</w:t>
      </w:r>
      <w:r>
        <w:rPr>
          <w:i/>
          <w:iCs/>
        </w:rPr>
        <w:t xml:space="preserve">) Full Occurrence Export, 18 March 2025</w:t>
      </w:r>
      <w:r>
        <w:t xml:space="preserve">. Intergovernmental Oceanographic Commission of UNESCO.</w:t>
      </w:r>
      <w:r>
        <w:t xml:space="preserve"> </w:t>
      </w:r>
      <w:hyperlink r:id="rId758">
        <w:r>
          <w:rPr>
            <w:rStyle w:val="Hyperlink"/>
          </w:rPr>
          <w:t xml:space="preserve">https://obis.org/data/access/</w:t>
        </w:r>
      </w:hyperlink>
      <w:r>
        <w:t xml:space="preserve">.</w:t>
      </w:r>
    </w:p>
    <w:bookmarkEnd w:id="759"/>
    <w:bookmarkStart w:id="761" w:name="ref-speciesgrids2025"/>
    <w:p>
      <w:pPr>
        <w:pStyle w:val="Bibliography"/>
      </w:pPr>
      <w:r>
        <w:t xml:space="preserve">Provoost, Pieter. 2026.</w:t>
      </w:r>
      <w:r>
        <w:t xml:space="preserve"> </w:t>
      </w:r>
      <w:r>
        <w:rPr>
          <w:i/>
          <w:iCs/>
        </w:rPr>
        <w:t xml:space="preserve">Speciesgrids: Cloud-Optimized Gridded Dataset of Marine Species Occurrence (</w:t>
      </w:r>
      <w:r>
        <w:rPr>
          <w:i/>
          <w:iCs/>
        </w:rPr>
        <w:t xml:space="preserve">OBIS</w:t>
      </w:r>
      <w:r>
        <w:rPr>
          <w:i/>
          <w:iCs/>
        </w:rPr>
        <w:t xml:space="preserve"> </w:t>
      </w:r>
      <w:r>
        <w:rPr>
          <w:i/>
          <w:iCs/>
        </w:rPr>
        <w:t xml:space="preserve">+</w:t>
      </w:r>
      <w:r>
        <w:rPr>
          <w:i/>
          <w:iCs/>
        </w:rPr>
        <w:t xml:space="preserve"> </w:t>
      </w:r>
      <w:r>
        <w:rPr>
          <w:i/>
          <w:iCs/>
        </w:rPr>
        <w:t xml:space="preserve">GBIF</w:t>
      </w:r>
      <w:r>
        <w:rPr>
          <w:i/>
          <w:iCs/>
        </w:rPr>
        <w:t xml:space="preserve">)</w:t>
      </w:r>
      <w:r>
        <w:t xml:space="preserve">. Zenodo; binned to the global 0.05° cell grid by the Marine Sensitivity Toolkit; Zenodo.</w:t>
      </w:r>
      <w:r>
        <w:t xml:space="preserve"> </w:t>
      </w:r>
      <w:hyperlink r:id="rId760">
        <w:r>
          <w:rPr>
            <w:rStyle w:val="Hyperlink"/>
          </w:rPr>
          <w:t xml:space="preserve">https://doi.org/10.5281/zenodo.21375219</w:t>
        </w:r>
      </w:hyperlink>
      <w:r>
        <w:t xml:space="preserve">.</w:t>
      </w:r>
    </w:p>
    <w:bookmarkEnd w:id="761"/>
    <w:bookmarkStart w:id="763" w:name="ref-roberts2016"/>
    <w:p>
      <w:pPr>
        <w:pStyle w:val="Bibliography"/>
      </w:pPr>
      <w:r>
        <w:t xml:space="preserve">Roberts, Jason J., Benjamin D. Best, Laura Mannocci, et al. 2016.</w:t>
      </w:r>
      <w:r>
        <w:t xml:space="preserve"> </w:t>
      </w:r>
      <w:r>
        <w:t xml:space="preserve">“Habitat-Based Cetacean Density Models for the</w:t>
      </w:r>
      <w:r>
        <w:t xml:space="preserve"> </w:t>
      </w:r>
      <w:r>
        <w:t xml:space="preserve">U.S.</w:t>
      </w:r>
      <w:r>
        <w:t xml:space="preserve"> </w:t>
      </w:r>
      <w:r>
        <w:t xml:space="preserve">Atlantic</w:t>
      </w:r>
      <w:r>
        <w:t xml:space="preserve"> </w:t>
      </w:r>
      <w:r>
        <w:t xml:space="preserve">and</w:t>
      </w:r>
      <w:r>
        <w:t xml:space="preserve"> </w:t>
      </w:r>
      <w:r>
        <w:t xml:space="preserve">Gulf</w:t>
      </w:r>
      <w:r>
        <w:t xml:space="preserve"> </w:t>
      </w:r>
      <w:r>
        <w:t xml:space="preserve">of</w:t>
      </w:r>
      <w:r>
        <w:t xml:space="preserve"> </w:t>
      </w:r>
      <w:r>
        <w:t xml:space="preserve">Mexico</w:t>
      </w:r>
      <w:r>
        <w:t xml:space="preserve">.”</w:t>
      </w:r>
      <w:r>
        <w:t xml:space="preserve"> </w:t>
      </w:r>
      <w:r>
        <w:rPr>
          <w:i/>
          <w:iCs/>
        </w:rPr>
        <w:t xml:space="preserve">Scientific Reports</w:t>
      </w:r>
      <w:r>
        <w:t xml:space="preserve"> </w:t>
      </w:r>
      <w:r>
        <w:t xml:space="preserve">6: 22615.</w:t>
      </w:r>
      <w:r>
        <w:t xml:space="preserve"> </w:t>
      </w:r>
      <w:hyperlink r:id="rId762">
        <w:r>
          <w:rPr>
            <w:rStyle w:val="Hyperlink"/>
          </w:rPr>
          <w:t xml:space="preserve">https://doi.org/10.1038/srep22615</w:t>
        </w:r>
      </w:hyperlink>
      <w:r>
        <w:t xml:space="preserve">.</w:t>
      </w:r>
    </w:p>
    <w:bookmarkEnd w:id="763"/>
    <w:bookmarkStart w:id="764"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764"/>
    <w:bookmarkStart w:id="766" w:name="ref-wdfw2017"/>
    <w:p>
      <w:pPr>
        <w:pStyle w:val="Bibliography"/>
      </w:pPr>
      <w:r>
        <w:t xml:space="preserve">Sato, Chris L. 2017.</w:t>
      </w:r>
      <w:r>
        <w:t xml:space="preserve"> </w:t>
      </w:r>
      <w:r>
        <w:rPr>
          <w:i/>
          <w:iCs/>
        </w:rPr>
        <w:t xml:space="preserve">Periodic Status Review for the Green and Loggerhead Sea Turtles in</w:t>
      </w:r>
      <w:r>
        <w:rPr>
          <w:i/>
          <w:iCs/>
        </w:rPr>
        <w:t xml:space="preserve"> </w:t>
      </w:r>
      <w:r>
        <w:rPr>
          <w:i/>
          <w:iCs/>
        </w:rPr>
        <w:t xml:space="preserve">Washington</w:t>
      </w:r>
      <w:r>
        <w:t xml:space="preserve">. Washington Department of Fish; Wildlife.</w:t>
      </w:r>
      <w:r>
        <w:t xml:space="preserve"> </w:t>
      </w:r>
      <w:hyperlink r:id="rId765">
        <w:r>
          <w:rPr>
            <w:rStyle w:val="Hyperlink"/>
          </w:rPr>
          <w:t xml:space="preserve">https://wdfw.wa.gov/publications/01870</w:t>
        </w:r>
      </w:hyperlink>
      <w:r>
        <w:t xml:space="preserve">.</w:t>
      </w:r>
    </w:p>
    <w:bookmarkEnd w:id="766"/>
    <w:bookmarkStart w:id="768"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767">
        <w:r>
          <w:rPr>
            <w:rStyle w:val="Hyperlink"/>
          </w:rPr>
          <w:t xml:space="preserve">https://doi.org/10.3354/esr01243</w:t>
        </w:r>
      </w:hyperlink>
      <w:r>
        <w:t xml:space="preserve">.</w:t>
      </w:r>
    </w:p>
    <w:bookmarkEnd w:id="768"/>
    <w:bookmarkStart w:id="770" w:name="ref-ward_geiger2011"/>
    <w:p>
      <w:pPr>
        <w:pStyle w:val="Bibliography"/>
      </w:pPr>
      <w:r>
        <w:t xml:space="preserve">Ward-Geiger, Leslie I., Amy R. Knowlton, Anthony F. Amos, Thomas D. Pitchford, Blair Mase-Guthrie, and Barbara J. Zoodsma. 2011.</w:t>
      </w:r>
      <w:r>
        <w:t xml:space="preserve"> </w:t>
      </w:r>
      <w:r>
        <w:t xml:space="preserve">“Recent Sightings of the</w:t>
      </w:r>
      <w:r>
        <w:t xml:space="preserve"> </w:t>
      </w:r>
      <w:r>
        <w:t xml:space="preserve">North</w:t>
      </w:r>
      <w:r>
        <w:t xml:space="preserve"> </w:t>
      </w:r>
      <w:r>
        <w:t xml:space="preserve">Atlantic</w:t>
      </w:r>
      <w:r>
        <w:t xml:space="preserve"> </w:t>
      </w:r>
      <w:r>
        <w:t xml:space="preserve">Right Whale in the</w:t>
      </w:r>
      <w:r>
        <w:t xml:space="preserve"> </w:t>
      </w:r>
      <w:r>
        <w:t xml:space="preserve">Gulf</w:t>
      </w:r>
      <w:r>
        <w:t xml:space="preserve"> </w:t>
      </w:r>
      <w:r>
        <w:t xml:space="preserve">of</w:t>
      </w:r>
      <w:r>
        <w:t xml:space="preserve"> </w:t>
      </w:r>
      <w:r>
        <w:t xml:space="preserve">Mexico</w:t>
      </w:r>
      <w:r>
        <w:t xml:space="preserve">.”</w:t>
      </w:r>
      <w:r>
        <w:t xml:space="preserve"> </w:t>
      </w:r>
      <w:r>
        <w:rPr>
          <w:i/>
          <w:iCs/>
        </w:rPr>
        <w:t xml:space="preserve">Gulf of Mexico Science</w:t>
      </w:r>
      <w:r>
        <w:t xml:space="preserve"> </w:t>
      </w:r>
      <w:r>
        <w:t xml:space="preserve">29 (1).</w:t>
      </w:r>
      <w:r>
        <w:t xml:space="preserve"> </w:t>
      </w:r>
      <w:hyperlink r:id="rId769">
        <w:r>
          <w:rPr>
            <w:rStyle w:val="Hyperlink"/>
          </w:rPr>
          <w:t xml:space="preserve">https://doi.org/10.18785/goms.2901.06</w:t>
        </w:r>
      </w:hyperlink>
      <w:r>
        <w:t xml:space="preserve">.</w:t>
      </w:r>
    </w:p>
    <w:bookmarkEnd w:id="770"/>
    <w:bookmarkStart w:id="772"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771">
        <w:r>
          <w:rPr>
            <w:rStyle w:val="Hyperlink"/>
          </w:rPr>
          <w:t xml:space="preserve">https://doi.org/10.1038/sdata.2016.18</w:t>
        </w:r>
      </w:hyperlink>
      <w:r>
        <w:t xml:space="preserve">.</w:t>
      </w:r>
    </w:p>
    <w:bookmarkEnd w:id="772"/>
    <w:bookmarkEnd w:id="773"/>
    <w:bookmarkEnd w:id="774"/>
    <w:bookmarkStart w:id="776"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775">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776"/>
    <w:bookmarkStart w:id="777" w:name="X0866deb9de13c5a949683d88efa8b94747e10df"/>
    <w:p>
      <w:pPr>
        <w:pStyle w:val="Heading1"/>
      </w:pPr>
      <w:r>
        <w:t xml:space="preserve">Appendix A — Scores — mapper of aggregate sensitivity scores</w:t>
      </w:r>
    </w:p>
    <w:bookmarkEnd w:id="777"/>
    <w:bookmarkStart w:id="798" w:name="sec-app-scores"/>
    <w:p>
      <w:pPr>
        <w:pStyle w:val="Heading1"/>
      </w:pPr>
      <w:r>
        <w:t xml:space="preserve">Appendix A — Scores</w:t>
      </w:r>
    </w:p>
    <w:bookmarkStart w:id="788" w:name="overview-2"/>
    <w:p>
      <w:pPr>
        <w:pStyle w:val="Heading2"/>
      </w:pPr>
      <w:r>
        <w:t xml:space="preserve">A.1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78" name="Picture"/>
                  <a:graphic>
                    <a:graphicData uri="http://schemas.openxmlformats.org/drawingml/2006/picture">
                      <pic:pic>
                        <pic:nvPicPr>
                          <pic:cNvPr descr="/Applications/quarto/share/formats/docx/important.png" id="77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app.marinesensitivity.org/{ver}/scores/</w:t>
            </w:r>
            <w:r>
              <w:t xml:space="preserve">, the older</w:t>
            </w:r>
            <w:r>
              <w:t xml:space="preserve"> </w:t>
            </w:r>
            <w:r>
              <w:rPr>
                <w:rStyle w:val="VerbatimChar"/>
              </w:rPr>
              <w:t xml:space="preserve">?ver=</w:t>
            </w:r>
            <w:r>
              <w:t xml:space="preserve"> </w:t>
            </w:r>
            <w:r>
              <w:t xml:space="preserve">form) now redirect to the Atlas’s Scores lens with the query carried, and its source stays in the</w:t>
            </w:r>
            <w:r>
              <w:t xml:space="preserve"> </w:t>
            </w:r>
            <w:hyperlink r:id="rId396">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Scores</w:t>
      </w:r>
      <w:r>
        <w:t xml:space="preserve"> </w:t>
      </w:r>
      <w:r>
        <w:t xml:space="preserve">application (</w:t>
      </w:r>
      <w:r>
        <w:rPr>
          <w:rStyle w:val="VerbatimChar"/>
        </w:rPr>
        <w:t xml:space="preserve">app.marinesensitivity.org/{ver}/scores/</w:t>
      </w:r>
      <w:r>
        <w:t xml:space="preserve">) was the project’s interactive tool for exploring composite marine sensitivity scores. It rendered</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showed v3 — defaulting to the promoted release when none was given. It let users visualize extinction risk weighted species presence at multiple spatial resolutions, with integrated flower plot and treemap summaries.</w:t>
      </w:r>
    </w:p>
    <w:p>
      <w:pPr>
        <w:pStyle w:val="BodyText"/>
      </w:pPr>
      <w:hyperlink w:anchor="fig-scores-map">
        <w:r>
          <w:rPr>
            <w:rStyle w:val="Hyperlink"/>
          </w:rPr>
          <w:t xml:space="preserve">Figure B.1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783" w:name="fig-scores-map"/>
          <w:p>
            <w:pPr>
              <w:pStyle w:val="Compact"/>
              <w:jc w:val="center"/>
            </w:pPr>
            <w:r>
              <w:drawing>
                <wp:inline>
                  <wp:extent cx="5334000" cy="3018971"/>
                  <wp:effectExtent b="0" l="0" r="0" t="0"/>
                  <wp:docPr descr="" title="" id="781" name="Picture"/>
                  <a:graphic>
                    <a:graphicData uri="http://schemas.openxmlformats.org/drawingml/2006/picture">
                      <pic:pic>
                        <pic:nvPicPr>
                          <pic:cNvPr descr="figures/apps/scores-map.png" id="782" name="Picture"/>
                          <pic:cNvPicPr>
                            <a:picLocks noChangeArrowheads="1" noChangeAspect="1"/>
                          </pic:cNvPicPr>
                        </pic:nvPicPr>
                        <pic:blipFill>
                          <a:blip r:embed="rId780"/>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783"/>
        </w:tc>
      </w:tr>
    </w:tbl>
    <w:p>
      <w:pPr>
        <w:pStyle w:val="BodyText"/>
      </w:pPr>
      <w:hyperlink w:anchor="fig-scores-flower">
        <w:r>
          <w:rPr>
            <w:rStyle w:val="Hyperlink"/>
          </w:rPr>
          <w:t xml:space="preserve">Figure B.2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787" w:name="fig-scores-flower"/>
          <w:p>
            <w:pPr>
              <w:pStyle w:val="Compact"/>
              <w:jc w:val="center"/>
            </w:pPr>
            <w:r>
              <w:drawing>
                <wp:inline>
                  <wp:extent cx="5334000" cy="3018971"/>
                  <wp:effectExtent b="0" l="0" r="0" t="0"/>
                  <wp:docPr descr="" title="" id="785" name="Picture"/>
                  <a:graphic>
                    <a:graphicData uri="http://schemas.openxmlformats.org/drawingml/2006/picture">
                      <pic:pic>
                        <pic:nvPicPr>
                          <pic:cNvPr descr="figures/apps/scores-flower.png" id="786" name="Picture"/>
                          <pic:cNvPicPr>
                            <a:picLocks noChangeArrowheads="1" noChangeAspect="1"/>
                          </pic:cNvPicPr>
                        </pic:nvPicPr>
                        <pic:blipFill>
                          <a:blip r:embed="rId784"/>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B.2: The Scores application showing the flower plot panel for Southern California. Petal length represents each category’s rescaled sensitivity score; petal width represents its weight. The center value (29) is the weighted mean across all categories.</w:t>
            </w:r>
          </w:p>
          <w:bookmarkEnd w:id="787"/>
        </w:tc>
      </w:tr>
    </w:tbl>
    <w:bookmarkEnd w:id="788"/>
    <w:bookmarkStart w:id="794" w:name="features"/>
    <w:p>
      <w:pPr>
        <w:pStyle w:val="Heading2"/>
      </w:pPr>
      <w:r>
        <w:t xml:space="preserve">A.2 Features</w:t>
      </w:r>
    </w:p>
    <w:bookmarkStart w:id="789" w:name="map-display"/>
    <w:p>
      <w:pPr>
        <w:pStyle w:val="Heading3"/>
      </w:pPr>
      <w:r>
        <w:t xml:space="preserve">A.2.1 Map Display</w:t>
      </w:r>
    </w:p>
    <w:p>
      <w:pPr>
        <w:pStyle w:val="Compact"/>
        <w:numPr>
          <w:ilvl w:val="0"/>
          <w:numId w:val="1070"/>
        </w:numPr>
      </w:pPr>
      <w:r>
        <w:rPr>
          <w:b/>
          <w:bCs/>
        </w:rPr>
        <w:t xml:space="preserve">Cell-level view</w:t>
      </w:r>
      <w:r>
        <w:t xml:space="preserve">: 0.05° grid cells colored by sensitivity score for the selected metric</w:t>
      </w:r>
    </w:p>
    <w:p>
      <w:pPr>
        <w:pStyle w:val="Compact"/>
        <w:numPr>
          <w:ilvl w:val="0"/>
          <w:numId w:val="1070"/>
        </w:numPr>
      </w:pPr>
      <w:r>
        <w:rPr>
          <w:b/>
          <w:bCs/>
        </w:rPr>
        <w:t xml:space="preserve">Program area view</w:t>
      </w:r>
      <w:r>
        <w:t xml:space="preserve">: aggregated scores by BOEM Program Area, with boundaries overlaid</w:t>
      </w:r>
    </w:p>
    <w:p>
      <w:pPr>
        <w:pStyle w:val="Compact"/>
        <w:numPr>
          <w:ilvl w:val="0"/>
          <w:numId w:val="1070"/>
        </w:numPr>
      </w:pPr>
      <w:r>
        <w:rPr>
          <w:b/>
          <w:bCs/>
        </w:rPr>
        <w:t xml:space="preserve">Base maps</w:t>
      </w:r>
      <w:r>
        <w:t xml:space="preserve">: multiple MapBox base layers (satellite, streets, light, dark)</w:t>
      </w:r>
    </w:p>
    <w:p>
      <w:pPr>
        <w:pStyle w:val="Compact"/>
        <w:numPr>
          <w:ilvl w:val="0"/>
          <w:numId w:val="1070"/>
        </w:numPr>
      </w:pPr>
      <w:r>
        <w:rPr>
          <w:b/>
          <w:bCs/>
        </w:rPr>
        <w:t xml:space="preserve">Study area selection</w:t>
      </w:r>
      <w:r>
        <w:t xml:space="preserve">: click a program area to focus the view and update summary panels</w:t>
      </w:r>
    </w:p>
    <w:bookmarkEnd w:id="789"/>
    <w:bookmarkStart w:id="790" w:name="sensitivity-metrics"/>
    <w:p>
      <w:pPr>
        <w:pStyle w:val="Heading3"/>
      </w:pPr>
      <w:r>
        <w:t xml:space="preserve">A.2.2 Sensitivity Metrics</w:t>
      </w:r>
    </w:p>
    <w:p>
      <w:pPr>
        <w:pStyle w:val="FirstParagraph"/>
      </w:pPr>
      <w:r>
        <w:t xml:space="preserve">The map can display any of the following layers:</w:t>
      </w:r>
    </w:p>
    <w:p>
      <w:pPr>
        <w:pStyle w:val="Compact"/>
        <w:numPr>
          <w:ilvl w:val="0"/>
          <w:numId w:val="1071"/>
        </w:numPr>
      </w:pPr>
      <w:r>
        <w:t xml:space="preserve">Composite extinction risk (weighted sum across all species categories)</w:t>
      </w:r>
    </w:p>
    <w:p>
      <w:pPr>
        <w:pStyle w:val="Compact"/>
        <w:numPr>
          <w:ilvl w:val="0"/>
          <w:numId w:val="1071"/>
        </w:numPr>
      </w:pPr>
      <w:r>
        <w:t xml:space="preserve">Individual category scores, one per scored species category in the release being viewed</w:t>
      </w:r>
    </w:p>
    <w:p>
      <w:pPr>
        <w:pStyle w:val="Compact"/>
        <w:numPr>
          <w:ilvl w:val="0"/>
          <w:numId w:val="1071"/>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790"/>
    <w:bookmarkStart w:id="791" w:name="flower-plot-1"/>
    <w:p>
      <w:pPr>
        <w:pStyle w:val="Heading3"/>
      </w:pPr>
      <w:r>
        <w:t xml:space="preserve">A.2.3 Flower Plot</w:t>
      </w:r>
    </w:p>
    <w:p>
      <w:pPr>
        <w:pStyle w:val="FirstParagraph"/>
      </w:pPr>
      <w:r>
        <w:t xml:space="preserve">Selecting a program area displays a flower plot summarizing the sensitivity profile:</w:t>
      </w:r>
    </w:p>
    <w:p>
      <w:pPr>
        <w:pStyle w:val="Compact"/>
        <w:numPr>
          <w:ilvl w:val="0"/>
          <w:numId w:val="1072"/>
        </w:numPr>
      </w:pPr>
      <w:r>
        <w:t xml:space="preserve">Each petal represents a species category</w:t>
      </w:r>
    </w:p>
    <w:p>
      <w:pPr>
        <w:pStyle w:val="Compact"/>
        <w:numPr>
          <w:ilvl w:val="0"/>
          <w:numId w:val="1072"/>
        </w:numPr>
      </w:pPr>
      <w:r>
        <w:t xml:space="preserve">Petal length = rescaled sensitivity score (0–100)</w:t>
      </w:r>
    </w:p>
    <w:p>
      <w:pPr>
        <w:pStyle w:val="Compact"/>
        <w:numPr>
          <w:ilvl w:val="0"/>
          <w:numId w:val="1072"/>
        </w:numPr>
      </w:pPr>
      <w:r>
        <w:t xml:space="preserve">Petal width = category weight</w:t>
      </w:r>
    </w:p>
    <w:p>
      <w:pPr>
        <w:pStyle w:val="Compact"/>
        <w:numPr>
          <w:ilvl w:val="0"/>
          <w:numId w:val="1072"/>
        </w:numPr>
      </w:pPr>
      <w:r>
        <w:t xml:space="preserve">Center value = weighted mean across categories</w:t>
      </w:r>
    </w:p>
    <w:bookmarkEnd w:id="791"/>
    <w:bookmarkStart w:id="792" w:name="species-table"/>
    <w:p>
      <w:pPr>
        <w:pStyle w:val="Heading3"/>
      </w:pPr>
      <w:r>
        <w:t xml:space="preserve">A.2.4 Species Table</w:t>
      </w:r>
    </w:p>
    <w:p>
      <w:pPr>
        <w:pStyle w:val="FirstParagraph"/>
      </w:pPr>
      <w:r>
        <w:t xml:space="preserve">A sortable table of all valid species present in the selected area, showing:</w:t>
      </w:r>
    </w:p>
    <w:p>
      <w:pPr>
        <w:pStyle w:val="Compact"/>
        <w:numPr>
          <w:ilvl w:val="0"/>
          <w:numId w:val="1073"/>
        </w:numPr>
      </w:pPr>
      <w:r>
        <w:t xml:space="preserve">Scientific and common name</w:t>
      </w:r>
    </w:p>
    <w:p>
      <w:pPr>
        <w:pStyle w:val="Compact"/>
        <w:numPr>
          <w:ilvl w:val="0"/>
          <w:numId w:val="1073"/>
        </w:numPr>
      </w:pPr>
      <w:r>
        <w:t xml:space="preserve">Species category</w:t>
      </w:r>
    </w:p>
    <w:p>
      <w:pPr>
        <w:pStyle w:val="Compact"/>
        <w:numPr>
          <w:ilvl w:val="0"/>
          <w:numId w:val="1073"/>
        </w:numPr>
      </w:pPr>
      <w:r>
        <w:t xml:space="preserve">ESA listing, IUCN Red List status</w:t>
      </w:r>
    </w:p>
    <w:p>
      <w:pPr>
        <w:pStyle w:val="Compact"/>
        <w:numPr>
          <w:ilvl w:val="0"/>
          <w:numId w:val="1073"/>
        </w:numPr>
      </w:pPr>
      <w:r>
        <w:t xml:space="preserve">MMPA/MBTA protection flags</w:t>
      </w:r>
    </w:p>
    <w:p>
      <w:pPr>
        <w:pStyle w:val="Compact"/>
        <w:numPr>
          <w:ilvl w:val="0"/>
          <w:numId w:val="1073"/>
        </w:numPr>
      </w:pPr>
      <w:r>
        <w:t xml:space="preserve">Extinction risk score</w:t>
      </w:r>
    </w:p>
    <w:bookmarkEnd w:id="792"/>
    <w:bookmarkStart w:id="793" w:name="data-export"/>
    <w:p>
      <w:pPr>
        <w:pStyle w:val="Heading3"/>
      </w:pPr>
      <w:r>
        <w:t xml:space="preserve">A.2.5 Data Export</w:t>
      </w:r>
    </w:p>
    <w:p>
      <w:pPr>
        <w:pStyle w:val="FirstParagraph"/>
      </w:pPr>
      <w:r>
        <w:t xml:space="preserve">Users can download CSV files of scores and species lists for the selected program area or custom area of interest.</w:t>
      </w:r>
    </w:p>
    <w:bookmarkEnd w:id="793"/>
    <w:bookmarkEnd w:id="794"/>
    <w:bookmarkStart w:id="795" w:name="generating-screenshots-1"/>
    <w:p>
      <w:pPr>
        <w:pStyle w:val="Heading2"/>
      </w:pPr>
      <w:r>
        <w:t xml:space="preserve">A.3 Generating Screenshots</w:t>
      </w:r>
    </w:p>
    <w:bookmarkEnd w:id="795"/>
    <w:bookmarkStart w:id="797" w:name="source-code-1"/>
    <w:p>
      <w:pPr>
        <w:pStyle w:val="Heading2"/>
      </w:pPr>
      <w:r>
        <w:t xml:space="preserve">A.4 Source Code</w:t>
      </w:r>
    </w:p>
    <w:p>
      <w:pPr>
        <w:pStyle w:val="FirstParagraph"/>
      </w:pPr>
      <w:hyperlink r:id="rId796">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were retired earlier; since the Atlas cutover they, the</w:t>
      </w:r>
      <w:r>
        <w:t xml:space="preserve"> </w:t>
      </w:r>
      <w:r>
        <w:rPr>
          <w:rStyle w:val="VerbatimChar"/>
        </w:rPr>
        <w:t xml:space="preserve">/v{n}/scores/</w:t>
      </w:r>
      <w:r>
        <w:t xml:space="preserve"> </w:t>
      </w:r>
      <w:r>
        <w:t xml:space="preserve">path and an older</w:t>
      </w:r>
      <w:r>
        <w:t xml:space="preserve"> </w:t>
      </w:r>
      <w:r>
        <w:rPr>
          <w:rStyle w:val="VerbatimChar"/>
        </w:rPr>
        <w:t xml:space="preserve">?ver=</w:t>
      </w:r>
      <w:r>
        <w:t xml:space="preserve"> </w:t>
      </w:r>
      <w:r>
        <w:t xml:space="preserve">deep link all redirect (HTTP 302) straight to the Atlas in one hop, a restricted release’s to its Atlas on the preview host.</w:t>
      </w:r>
    </w:p>
    <w:bookmarkEnd w:id="797"/>
    <w:bookmarkEnd w:id="798"/>
    <w:bookmarkStart w:id="799" w:name="X3680c5fb3e20b6a91c613e2235f302b13356ea8"/>
    <w:p>
      <w:pPr>
        <w:pStyle w:val="Heading1"/>
      </w:pPr>
      <w:r>
        <w:t xml:space="preserve">Appendix B — Species — mapper of individual species distributions</w:t>
      </w:r>
    </w:p>
    <w:bookmarkEnd w:id="799"/>
    <w:bookmarkStart w:id="815" w:name="sec-app-species"/>
    <w:p>
      <w:pPr>
        <w:pStyle w:val="Heading1"/>
      </w:pPr>
      <w:r>
        <w:t xml:space="preserve">Appendix B — Species</w:t>
      </w:r>
    </w:p>
    <w:bookmarkStart w:id="806" w:name="overview-3"/>
    <w:p>
      <w:pPr>
        <w:pStyle w:val="Heading2"/>
      </w:pPr>
      <w:r>
        <w:t xml:space="preserve">B.1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Applications/quarto/share/formats/docx/important.png" id="801"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Species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forms) now redirect to the Atlas’s Species lens with the query carried, and its source stays in the</w:t>
            </w:r>
            <w:r>
              <w:t xml:space="preserve"> </w:t>
            </w:r>
            <w:hyperlink r:id="rId396">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Species</w:t>
      </w:r>
      <w:r>
        <w:t xml:space="preserve"> </w:t>
      </w:r>
      <w:r>
        <w:t xml:space="preserve">application (</w:t>
      </w:r>
      <w:r>
        <w:rPr>
          <w:rStyle w:val="VerbatimChar"/>
        </w:rPr>
        <w:t xml:space="preserve">app.marinesensitivity.org/{ver}/species/</w:t>
      </w:r>
      <w:r>
        <w:t xml:space="preserve">) enabled exploration of individual species distribution models. Like the Scores app it rendered</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showed v3. Users could view merged and source-level models, compare masked vs. unmasked distributions, and access detailed species regulatory status information.</w:t>
      </w:r>
    </w:p>
    <w:p>
      <w:pPr>
        <w:pStyle w:val="BodyText"/>
      </w:pPr>
      <w:hyperlink w:anchor="fig-species-blue-whale">
        <w:r>
          <w:rPr>
            <w:rStyle w:val="Hyperlink"/>
          </w:rPr>
          <w:t xml:space="preserve">Figure D.1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805" w:name="fig-species-blue-whale"/>
          <w:p>
            <w:pPr>
              <w:pStyle w:val="Compact"/>
              <w:jc w:val="center"/>
            </w:pPr>
            <w:r>
              <w:drawing>
                <wp:inline>
                  <wp:extent cx="5334000" cy="3018971"/>
                  <wp:effectExtent b="0" l="0" r="0" t="0"/>
                  <wp:docPr descr="" title="" id="803" name="Picture"/>
                  <a:graphic>
                    <a:graphicData uri="http://schemas.openxmlformats.org/drawingml/2006/picture">
                      <pic:pic>
                        <pic:nvPicPr>
                          <pic:cNvPr descr="figures/apps/species-blue-whale.png" id="804" name="Picture"/>
                          <pic:cNvPicPr>
                            <a:picLocks noChangeArrowheads="1" noChangeAspect="1"/>
                          </pic:cNvPicPr>
                        </pic:nvPicPr>
                        <pic:blipFill>
                          <a:blip r:embed="rId802"/>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805"/>
        </w:tc>
      </w:tr>
    </w:tbl>
    <w:bookmarkEnd w:id="806"/>
    <w:bookmarkStart w:id="811" w:name="features-1"/>
    <w:p>
      <w:pPr>
        <w:pStyle w:val="Heading2"/>
      </w:pPr>
      <w:r>
        <w:t xml:space="preserve">B.2 Features</w:t>
      </w:r>
    </w:p>
    <w:bookmarkStart w:id="807" w:name="species-selection"/>
    <w:p>
      <w:pPr>
        <w:pStyle w:val="Heading3"/>
      </w:pPr>
      <w:r>
        <w:t xml:space="preserve">B.2.1 Species Selection</w:t>
      </w:r>
    </w:p>
    <w:p>
      <w:pPr>
        <w:pStyle w:val="Compact"/>
        <w:numPr>
          <w:ilvl w:val="0"/>
          <w:numId w:val="1074"/>
        </w:numPr>
      </w:pPr>
      <w:r>
        <w:rPr>
          <w:b/>
          <w:bCs/>
        </w:rPr>
        <w:t xml:space="preserve">Search</w:t>
      </w:r>
      <w:r>
        <w:t xml:space="preserve">: find species by common name or scientific name</w:t>
      </w:r>
    </w:p>
    <w:p>
      <w:pPr>
        <w:pStyle w:val="Compact"/>
        <w:numPr>
          <w:ilvl w:val="0"/>
          <w:numId w:val="1074"/>
        </w:numPr>
      </w:pPr>
      <w:r>
        <w:rPr>
          <w:b/>
          <w:bCs/>
        </w:rPr>
        <w:t xml:space="preserve">Category filter</w:t>
      </w:r>
      <w:r>
        <w:t xml:space="preserve">: narrow results by species category, as defined in the release being viewed</w:t>
      </w:r>
    </w:p>
    <w:p>
      <w:pPr>
        <w:pStyle w:val="Compact"/>
        <w:numPr>
          <w:ilvl w:val="0"/>
          <w:numId w:val="1074"/>
        </w:numPr>
      </w:pPr>
      <w:r>
        <w:rPr>
          <w:b/>
          <w:bCs/>
        </w:rPr>
        <w:t xml:space="preserve">Alphabetical browsing</w:t>
      </w:r>
      <w:r>
        <w:t xml:space="preserve">: scroll through species lists within each category</w:t>
      </w:r>
    </w:p>
    <w:bookmarkEnd w:id="807"/>
    <w:bookmarkStart w:id="808" w:name="model-display"/>
    <w:p>
      <w:pPr>
        <w:pStyle w:val="Heading3"/>
      </w:pPr>
      <w:r>
        <w:t xml:space="preserve">B.2.2 Model Display</w:t>
      </w:r>
    </w:p>
    <w:p>
      <w:pPr>
        <w:pStyle w:val="Compact"/>
        <w:numPr>
          <w:ilvl w:val="0"/>
          <w:numId w:val="1075"/>
        </w:numPr>
      </w:pPr>
      <w:r>
        <w:rPr>
          <w:b/>
          <w:bCs/>
        </w:rPr>
        <w:t xml:space="preserve">Merged model</w:t>
      </w:r>
      <w:r>
        <w:t xml:space="preserve">: the final merged distribution showing MAX values across all source datasets, with masking and spatial floors applied</w:t>
      </w:r>
    </w:p>
    <w:p>
      <w:pPr>
        <w:pStyle w:val="Compact"/>
        <w:numPr>
          <w:ilvl w:val="0"/>
          <w:numId w:val="1075"/>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75"/>
        </w:numPr>
      </w:pPr>
      <w:r>
        <w:rPr>
          <w:b/>
          <w:bCs/>
        </w:rPr>
        <w:t xml:space="preserve">IUCN masking toggle</w:t>
      </w:r>
      <w:r>
        <w:t xml:space="preserve">: compare the unmasked AquaMaps SDM with the masked merged model to visualize the effect of range constraints</w:t>
      </w:r>
    </w:p>
    <w:bookmarkEnd w:id="808"/>
    <w:bookmarkStart w:id="809" w:name="species-info-panel"/>
    <w:p>
      <w:pPr>
        <w:pStyle w:val="Heading3"/>
      </w:pPr>
      <w:r>
        <w:t xml:space="preserve">B.2.3 Species Info Panel</w:t>
      </w:r>
    </w:p>
    <w:p>
      <w:pPr>
        <w:pStyle w:val="FirstParagraph"/>
      </w:pPr>
      <w:r>
        <w:t xml:space="preserve">Detailed information for the selected species:</w:t>
      </w:r>
    </w:p>
    <w:p>
      <w:pPr>
        <w:pStyle w:val="Compact"/>
        <w:numPr>
          <w:ilvl w:val="0"/>
          <w:numId w:val="1076"/>
        </w:numPr>
      </w:pPr>
      <w:r>
        <w:t xml:space="preserve">Scientific name and common name</w:t>
      </w:r>
    </w:p>
    <w:p>
      <w:pPr>
        <w:pStyle w:val="Compact"/>
        <w:numPr>
          <w:ilvl w:val="0"/>
          <w:numId w:val="1076"/>
        </w:numPr>
      </w:pPr>
      <w:r>
        <w:t xml:space="preserve">Species category (bird, fish, mammal, etc.)</w:t>
      </w:r>
    </w:p>
    <w:p>
      <w:pPr>
        <w:pStyle w:val="Compact"/>
        <w:numPr>
          <w:ilvl w:val="0"/>
          <w:numId w:val="1076"/>
        </w:numPr>
      </w:pPr>
      <w:r>
        <w:t xml:space="preserve">ESA listing status (Endangered, Threatened, or not listed)</w:t>
      </w:r>
    </w:p>
    <w:p>
      <w:pPr>
        <w:pStyle w:val="Compact"/>
        <w:numPr>
          <w:ilvl w:val="0"/>
          <w:numId w:val="1076"/>
        </w:numPr>
      </w:pPr>
      <w:r>
        <w:t xml:space="preserve">IUCN Red List category</w:t>
      </w:r>
    </w:p>
    <w:p>
      <w:pPr>
        <w:pStyle w:val="Compact"/>
        <w:numPr>
          <w:ilvl w:val="0"/>
          <w:numId w:val="1076"/>
        </w:numPr>
      </w:pPr>
      <w:r>
        <w:t xml:space="preserve">MMPA protection flag</w:t>
      </w:r>
    </w:p>
    <w:p>
      <w:pPr>
        <w:pStyle w:val="Compact"/>
        <w:numPr>
          <w:ilvl w:val="0"/>
          <w:numId w:val="1076"/>
        </w:numPr>
      </w:pPr>
      <w:r>
        <w:t xml:space="preserve">MBTA protection flag</w:t>
      </w:r>
    </w:p>
    <w:p>
      <w:pPr>
        <w:pStyle w:val="Compact"/>
        <w:numPr>
          <w:ilvl w:val="0"/>
          <w:numId w:val="1076"/>
        </w:numPr>
      </w:pPr>
      <w:r>
        <w:t xml:space="preserve">Computed extinction risk score (1–100)</w:t>
      </w:r>
    </w:p>
    <w:p>
      <w:pPr>
        <w:pStyle w:val="Compact"/>
        <w:numPr>
          <w:ilvl w:val="0"/>
          <w:numId w:val="1076"/>
        </w:numPr>
      </w:pPr>
      <w:r>
        <w:t xml:space="preserve">Number of source datasets contributing to the merged model</w:t>
      </w:r>
    </w:p>
    <w:bookmarkEnd w:id="809"/>
    <w:bookmarkStart w:id="810" w:name="deep-linking"/>
    <w:p>
      <w:pPr>
        <w:pStyle w:val="Heading3"/>
      </w:pPr>
      <w:r>
        <w:t xml:space="preserve">B.2.4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810"/>
    <w:bookmarkEnd w:id="811"/>
    <w:bookmarkStart w:id="812" w:name="generating-screenshots-2"/>
    <w:p>
      <w:pPr>
        <w:pStyle w:val="Heading2"/>
      </w:pPr>
      <w:r>
        <w:t xml:space="preserve">B.3 Generating Screenshots</w:t>
      </w:r>
    </w:p>
    <w:bookmarkEnd w:id="812"/>
    <w:bookmarkStart w:id="814" w:name="source-code-2"/>
    <w:p>
      <w:pPr>
        <w:pStyle w:val="Heading2"/>
      </w:pPr>
      <w:r>
        <w:t xml:space="preserve">B.4 Source Code</w:t>
      </w:r>
    </w:p>
    <w:p>
      <w:pPr>
        <w:pStyle w:val="FirstParagraph"/>
      </w:pPr>
      <w:hyperlink r:id="rId813">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814"/>
    <w:bookmarkEnd w:id="815"/>
    <w:bookmarkStart w:id="902" w:name="shiny-apps-user-guide-retired"/>
    <w:p>
      <w:pPr>
        <w:pStyle w:val="Heading1"/>
      </w:pPr>
      <w:r>
        <w:t xml:space="preserve">Appendix C — Shiny Apps User Guide (retired)</w:t>
      </w:r>
    </w:p>
    <w:p>
      <w:pPr>
        <w:pStyle w:val="FirstParagraph"/>
      </w:pPr>
      <w:r>
        <w:t xml:space="preserve">Step-by-step walkthrough of the retired Scores and Species Shiny</w:t>
      </w:r>
      <w:r>
        <w:t xml:space="preserve"> </w:t>
      </w:r>
      <w:r>
        <w:t xml:space="preserve">applications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16" name="Picture"/>
                  <a:graphic>
                    <a:graphicData uri="http://schemas.openxmlformats.org/drawingml/2006/picture">
                      <pic:pic>
                        <pic:nvPicPr>
                          <pic:cNvPr descr="/Applications/quarto/share/formats/docx/important.png" id="81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and Species Shiny apps this guide walks through were retired in October 2026 when the</w:t>
            </w:r>
            <w:r>
              <w:t xml:space="preserve"> </w:t>
            </w:r>
            <w:r>
              <w:t xml:space="preserve">Atlas became the project’s application; their URLs now redirect to the Atlas. The screenshots below</w:t>
            </w:r>
            <w:r>
              <w:t xml:space="preserve"> </w:t>
            </w:r>
            <w:r>
              <w:t xml:space="preserve">were captured on 2026-06-05; the apps changed after that until their retirement, so they may differ in detail from the last build. They are kept as a record. For the current app see the</w:t>
            </w:r>
            <w:r>
              <w:t xml:space="preserve"> </w:t>
            </w:r>
            <w:hyperlink w:anchor="atlas-user-guide">
              <w:r>
                <w:rPr>
                  <w:rStyle w:val="Hyperlink"/>
                </w:rPr>
                <w:t xml:space="preserve">Atlas user guide</w:t>
              </w:r>
            </w:hyperlink>
            <w:r>
              <w:t xml:space="preserve">.</w:t>
            </w:r>
          </w:p>
          <w:p/>
        </w:tc>
      </w:tr>
    </w:tbl>
    <w:p>
      <w:pPr>
        <w:pStyle w:val="BodyText"/>
      </w:pPr>
      <w:r>
        <w:t xml:space="preserve">This guide walked through the two interactive Shiny applications —</w:t>
      </w:r>
      <w:r>
        <w:t xml:space="preserve"> </w:t>
      </w:r>
      <w:r>
        <w:rPr>
          <w:b/>
          <w:bCs/>
        </w:rPr>
        <w:t xml:space="preserve">Scores</w:t>
      </w:r>
      <w:r>
        <w:t xml:space="preserve"> </w:t>
      </w:r>
      <w:r>
        <w:t xml:space="preserve">(</w:t>
      </w:r>
      <w:r>
        <w:rPr>
          <w:rStyle w:val="VerbatimChar"/>
        </w:rPr>
        <w:t xml:space="preserve">app.marinesensitivity.org/{ver}/scores/</w:t>
      </w:r>
      <w:r>
        <w:t xml:space="preserve">) and</w:t>
      </w:r>
      <w:r>
        <w:t xml:space="preserve"> </w:t>
      </w:r>
      <w:r>
        <w:rPr>
          <w:b/>
          <w:bCs/>
        </w:rPr>
        <w:t xml:space="preserve">Species</w:t>
      </w:r>
      <w:r>
        <w:t xml:space="preserve"> </w:t>
      </w:r>
      <w:r>
        <w:t xml:space="preserve">(</w:t>
      </w:r>
      <w:r>
        <w:rPr>
          <w:rStyle w:val="VerbatimChar"/>
        </w:rPr>
        <w:t xml:space="preserve">app.marinesensitivity.org/{ver}/species/</w:t>
      </w:r>
      <w:r>
        <w:t xml:space="preserve">) — one control at a time. Each numbered step below mirrors</w:t>
      </w:r>
      <w:r>
        <w:t xml:space="preserve"> </w:t>
      </w:r>
      <w:r>
        <w:t xml:space="preserve">a step in that app’s built-in</w:t>
      </w:r>
      <w:r>
        <w:t xml:space="preserve"> </w:t>
      </w:r>
      <w:r>
        <w:rPr>
          <w:b/>
          <w:bCs/>
        </w:rPr>
        <w:t xml:space="preserve">Take a Tour</w:t>
      </w:r>
      <w:r>
        <w:t xml:space="preserve"> </w:t>
      </w:r>
      <w:r>
        <w:t xml:space="preserve">(</w:t>
      </w:r>
      <w:r>
        <w:rPr>
          <w:i/>
          <w:iCs/>
        </w:rPr>
        <w:t xml:space="preserve">About → Take a Tour</w:t>
      </w:r>
      <w:r>
        <w:t xml:space="preserve"> </w:t>
      </w:r>
      <w:r>
        <w:t xml:space="preserve">in either app), with the relevant</w:t>
      </w:r>
      <w:r>
        <w:t xml:space="preserve"> </w:t>
      </w:r>
      <w:r>
        <w:t xml:space="preserve">control highlighted on the screenshot.</w:t>
      </w:r>
    </w:p>
    <w:p>
      <w:pPr>
        <w:pStyle w:val="BodyText"/>
      </w:pPr>
      <w:r>
        <w:t xml:space="preserve">For a feature-by-feature reference instead, see the</w:t>
      </w:r>
      <w:r>
        <w:t xml:space="preserve"> </w:t>
      </w:r>
      <w:hyperlink w:anchor="X0866deb9de13c5a949683d88efa8b94747e10df">
        <w:r>
          <w:rPr>
            <w:rStyle w:val="Hyperlink"/>
          </w:rPr>
          <w:t xml:space="preserve">Scores</w:t>
        </w:r>
      </w:hyperlink>
      <w:r>
        <w:t xml:space="preserve"> </w:t>
      </w:r>
      <w:r>
        <w:t xml:space="preserve">and</w:t>
      </w:r>
      <w:r>
        <w:t xml:space="preserve"> </w:t>
      </w:r>
      <w:hyperlink w:anchor="X3680c5fb3e20b6a91c613e2235f302b13356ea8">
        <w:r>
          <w:rPr>
            <w:rStyle w:val="Hyperlink"/>
          </w:rPr>
          <w:t xml:space="preserve">Species</w:t>
        </w:r>
      </w:hyperlink>
      <w:r>
        <w:t xml:space="preserve"> </w:t>
      </w:r>
      <w:r>
        <w:t xml:space="preserve">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18" name="Picture"/>
                  <a:graphic>
                    <a:graphicData uri="http://schemas.openxmlformats.org/drawingml/2006/picture">
                      <pic:pic>
                        <pic:nvPicPr>
                          <pic:cNvPr descr="/Applications/quarto/share/formats/docx/tip.png" id="819" name="Picture"/>
                          <pic:cNvPicPr>
                            <a:picLocks noChangeArrowheads="1" noChangeAspect="1"/>
                          </pic:cNvPicPr>
                        </pic:nvPicPr>
                        <pic:blipFill>
                          <a:blip r:embed="rId1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was generated</w:t>
            </w:r>
          </w:p>
        </w:tc>
      </w:tr>
      <w:tr>
        <w:trPr>
          <w:cantSplit/>
        </w:trPr>
        <w:tc>
          <w:tcPr>
            <w:tcMar>
              <w:top w:w="108" w:type="dxa"/>
              <w:bottom w:w="108" w:type="dxa"/>
            </w:tcMar>
          </w:tcPr>
          <w:p>
            <w:pPr>
              <w:pStyle w:val="BodyText"/>
            </w:pPr>
            <w:pPr>
              <w:spacing w:before="16" w:after="16"/>
            </w:pPr>
            <w:r>
              <w:t xml:space="preserve">The steps, captions, and highlighted screenshots were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by</w:t>
            </w:r>
            <w:r>
              <w:t xml:space="preserve"> </w:t>
            </w:r>
            <w:r>
              <w:rPr>
                <w:rStyle w:val="VerbatimChar"/>
              </w:rPr>
              <w:t xml:space="preserve">libs/apps-guide-regenerate.R</w:t>
            </w:r>
            <w:r>
              <w:t xml:space="preserve">, which wrote</w:t>
            </w:r>
            <w:r>
              <w:t xml:space="preserve"> </w:t>
            </w:r>
            <w:r>
              <w:rPr>
                <w:rStyle w:val="VerbatimChar"/>
              </w:rPr>
              <w:t xml:space="preserve">figures/apps-guide/steps.json</w:t>
            </w:r>
            <w:r>
              <w:t xml:space="preserve">. The apps are retired and unreachable, so that</w:t>
            </w:r>
            <w:r>
              <w:t xml:space="preserve"> </w:t>
            </w:r>
            <w:r>
              <w:t xml:space="preserve">script can no longer run and this page is frozen at the last capture.</w:t>
            </w:r>
          </w:p>
          <w:p/>
        </w:tc>
      </w:tr>
    </w:tbl>
    <w:bookmarkStart w:id="875" w:name="scores-app"/>
    <w:p>
      <w:pPr>
        <w:pStyle w:val="Heading2"/>
      </w:pPr>
      <w:r>
        <w:t xml:space="preserve">C.1 Scores app</w:t>
      </w:r>
    </w:p>
    <w:bookmarkStart w:id="824" w:name="study-area"/>
    <w:p>
      <w:pPr>
        <w:pStyle w:val="Heading3"/>
      </w:pPr>
      <w:r>
        <w:t xml:space="preserve">C.1.1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823" w:name="fig-scores-01"/>
          <w:p>
            <w:pPr>
              <w:pStyle w:val="Compact"/>
              <w:jc w:val="center"/>
            </w:pPr>
            <w:r>
              <w:drawing>
                <wp:inline>
                  <wp:extent cx="5334000" cy="3583781"/>
                  <wp:effectExtent b="0" l="0" r="0" t="0"/>
                  <wp:docPr descr="" title="" id="821" name="Picture"/>
                  <a:graphic>
                    <a:graphicData uri="http://schemas.openxmlformats.org/drawingml/2006/picture">
                      <pic:pic>
                        <pic:nvPicPr>
                          <pic:cNvPr descr="figures/apps-guide/scores-01.png" id="822" name="Picture"/>
                          <pic:cNvPicPr>
                            <a:picLocks noChangeArrowheads="1" noChangeAspect="1"/>
                          </pic:cNvPicPr>
                        </pic:nvPicPr>
                        <pic:blipFill>
                          <a:blip r:embed="rId82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 Study Area</w:t>
            </w:r>
          </w:p>
          <w:bookmarkEnd w:id="823"/>
        </w:tc>
      </w:tr>
    </w:tbl>
    <w:bookmarkEnd w:id="824"/>
    <w:bookmarkStart w:id="829" w:name="spatial-units-1"/>
    <w:p>
      <w:pPr>
        <w:pStyle w:val="Heading3"/>
      </w:pPr>
      <w:r>
        <w:t xml:space="preserve">C.1.2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828" w:name="fig-scores-02"/>
          <w:p>
            <w:pPr>
              <w:pStyle w:val="Compact"/>
              <w:jc w:val="center"/>
            </w:pPr>
            <w:r>
              <w:drawing>
                <wp:inline>
                  <wp:extent cx="5334000" cy="3583781"/>
                  <wp:effectExtent b="0" l="0" r="0" t="0"/>
                  <wp:docPr descr="" title="" id="826" name="Picture"/>
                  <a:graphic>
                    <a:graphicData uri="http://schemas.openxmlformats.org/drawingml/2006/picture">
                      <pic:pic>
                        <pic:nvPicPr>
                          <pic:cNvPr descr="figures/apps-guide/scores-02.png" id="827" name="Picture"/>
                          <pic:cNvPicPr>
                            <a:picLocks noChangeArrowheads="1" noChangeAspect="1"/>
                          </pic:cNvPicPr>
                        </pic:nvPicPr>
                        <pic:blipFill>
                          <a:blip r:embed="rId82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E.2: Spatial Units</w:t>
            </w:r>
          </w:p>
          <w:bookmarkEnd w:id="828"/>
        </w:tc>
      </w:tr>
    </w:tbl>
    <w:bookmarkEnd w:id="829"/>
    <w:bookmarkStart w:id="834" w:name="layer-selection"/>
    <w:p>
      <w:pPr>
        <w:pStyle w:val="Heading3"/>
      </w:pPr>
      <w:r>
        <w:t xml:space="preserve">C.1.3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833" w:name="fig-scores-03"/>
          <w:p>
            <w:pPr>
              <w:pStyle w:val="Compact"/>
              <w:jc w:val="center"/>
            </w:pPr>
            <w:r>
              <w:drawing>
                <wp:inline>
                  <wp:extent cx="5334000" cy="3583781"/>
                  <wp:effectExtent b="0" l="0" r="0" t="0"/>
                  <wp:docPr descr="" title="" id="831" name="Picture"/>
                  <a:graphic>
                    <a:graphicData uri="http://schemas.openxmlformats.org/drawingml/2006/picture">
                      <pic:pic>
                        <pic:nvPicPr>
                          <pic:cNvPr descr="figures/apps-guide/scores-03.png" id="832" name="Picture"/>
                          <pic:cNvPicPr>
                            <a:picLocks noChangeArrowheads="1" noChangeAspect="1"/>
                          </pic:cNvPicPr>
                        </pic:nvPicPr>
                        <pic:blipFill>
                          <a:blip r:embed="rId83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E.3: Layer Selection</w:t>
            </w:r>
          </w:p>
          <w:bookmarkEnd w:id="833"/>
        </w:tc>
      </w:tr>
    </w:tbl>
    <w:bookmarkEnd w:id="834"/>
    <w:bookmarkStart w:id="839" w:name="map-tab"/>
    <w:p>
      <w:pPr>
        <w:pStyle w:val="Heading3"/>
      </w:pPr>
      <w:r>
        <w:t xml:space="preserve">C.1.4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838" w:name="fig-scores-04"/>
          <w:p>
            <w:pPr>
              <w:pStyle w:val="Compact"/>
              <w:jc w:val="center"/>
            </w:pPr>
            <w:r>
              <w:drawing>
                <wp:inline>
                  <wp:extent cx="5334000" cy="3583781"/>
                  <wp:effectExtent b="0" l="0" r="0" t="0"/>
                  <wp:docPr descr="" title="" id="836" name="Picture"/>
                  <a:graphic>
                    <a:graphicData uri="http://schemas.openxmlformats.org/drawingml/2006/picture">
                      <pic:pic>
                        <pic:nvPicPr>
                          <pic:cNvPr descr="figures/apps-guide/scores-04.png" id="837" name="Picture"/>
                          <pic:cNvPicPr>
                            <a:picLocks noChangeArrowheads="1" noChangeAspect="1"/>
                          </pic:cNvPicPr>
                        </pic:nvPicPr>
                        <pic:blipFill>
                          <a:blip r:embed="rId83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E.4: Map tab</w:t>
            </w:r>
          </w:p>
          <w:bookmarkEnd w:id="838"/>
        </w:tc>
      </w:tr>
    </w:tbl>
    <w:bookmarkEnd w:id="839"/>
    <w:bookmarkStart w:id="844" w:name="layers-control"/>
    <w:p>
      <w:pPr>
        <w:pStyle w:val="Heading3"/>
      </w:pPr>
      <w:r>
        <w:t xml:space="preserve">C.1.5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843" w:name="fig-scores-05"/>
          <w:p>
            <w:pPr>
              <w:pStyle w:val="Compact"/>
              <w:jc w:val="center"/>
            </w:pPr>
            <w:r>
              <w:drawing>
                <wp:inline>
                  <wp:extent cx="5334000" cy="3583781"/>
                  <wp:effectExtent b="0" l="0" r="0" t="0"/>
                  <wp:docPr descr="" title="" id="841" name="Picture"/>
                  <a:graphic>
                    <a:graphicData uri="http://schemas.openxmlformats.org/drawingml/2006/picture">
                      <pic:pic>
                        <pic:nvPicPr>
                          <pic:cNvPr descr="figures/apps-guide/scores-05.png" id="842" name="Picture"/>
                          <pic:cNvPicPr>
                            <a:picLocks noChangeArrowheads="1" noChangeAspect="1"/>
                          </pic:cNvPicPr>
                        </pic:nvPicPr>
                        <pic:blipFill>
                          <a:blip r:embed="rId84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E.5: Layers control</w:t>
            </w:r>
          </w:p>
          <w:bookmarkEnd w:id="843"/>
        </w:tc>
      </w:tr>
    </w:tbl>
    <w:bookmarkEnd w:id="844"/>
    <w:bookmarkStart w:id="849" w:name="go-to-location"/>
    <w:p>
      <w:pPr>
        <w:pStyle w:val="Heading3"/>
      </w:pPr>
      <w:r>
        <w:t xml:space="preserve">C.1.6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848" w:name="fig-scores-06"/>
          <w:p>
            <w:pPr>
              <w:pStyle w:val="Compact"/>
              <w:jc w:val="center"/>
            </w:pPr>
            <w:r>
              <w:drawing>
                <wp:inline>
                  <wp:extent cx="5334000" cy="3583781"/>
                  <wp:effectExtent b="0" l="0" r="0" t="0"/>
                  <wp:docPr descr="" title="" id="846" name="Picture"/>
                  <a:graphic>
                    <a:graphicData uri="http://schemas.openxmlformats.org/drawingml/2006/picture">
                      <pic:pic>
                        <pic:nvPicPr>
                          <pic:cNvPr descr="figures/apps-guide/scores-06.png" id="847" name="Picture"/>
                          <pic:cNvPicPr>
                            <a:picLocks noChangeArrowheads="1" noChangeAspect="1"/>
                          </pic:cNvPicPr>
                        </pic:nvPicPr>
                        <pic:blipFill>
                          <a:blip r:embed="rId84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E.6: Go to location</w:t>
            </w:r>
          </w:p>
          <w:bookmarkEnd w:id="848"/>
        </w:tc>
      </w:tr>
    </w:tbl>
    <w:bookmarkEnd w:id="849"/>
    <w:bookmarkStart w:id="854" w:name="full-screen"/>
    <w:p>
      <w:pPr>
        <w:pStyle w:val="Heading3"/>
      </w:pPr>
      <w:r>
        <w:t xml:space="preserve">C.1.7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853" w:name="fig-scores-07"/>
          <w:p>
            <w:pPr>
              <w:pStyle w:val="Compact"/>
              <w:jc w:val="center"/>
            </w:pPr>
            <w:r>
              <w:drawing>
                <wp:inline>
                  <wp:extent cx="5334000" cy="3583781"/>
                  <wp:effectExtent b="0" l="0" r="0" t="0"/>
                  <wp:docPr descr="" title="" id="851" name="Picture"/>
                  <a:graphic>
                    <a:graphicData uri="http://schemas.openxmlformats.org/drawingml/2006/picture">
                      <pic:pic>
                        <pic:nvPicPr>
                          <pic:cNvPr descr="figures/apps-guide/scores-07.png" id="852" name="Picture"/>
                          <pic:cNvPicPr>
                            <a:picLocks noChangeArrowheads="1" noChangeAspect="1"/>
                          </pic:cNvPicPr>
                        </pic:nvPicPr>
                        <pic:blipFill>
                          <a:blip r:embed="rId85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E.7: Full screen</w:t>
            </w:r>
          </w:p>
          <w:bookmarkEnd w:id="853"/>
        </w:tc>
      </w:tr>
    </w:tbl>
    <w:bookmarkEnd w:id="854"/>
    <w:bookmarkStart w:id="859" w:name="zoom-in-out"/>
    <w:p>
      <w:pPr>
        <w:pStyle w:val="Heading3"/>
      </w:pPr>
      <w:r>
        <w:t xml:space="preserve">C.1.8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858" w:name="fig-scores-08"/>
          <w:p>
            <w:pPr>
              <w:pStyle w:val="Compact"/>
              <w:jc w:val="center"/>
            </w:pPr>
            <w:r>
              <w:drawing>
                <wp:inline>
                  <wp:extent cx="5334000" cy="3583781"/>
                  <wp:effectExtent b="0" l="0" r="0" t="0"/>
                  <wp:docPr descr="" title="" id="856" name="Picture"/>
                  <a:graphic>
                    <a:graphicData uri="http://schemas.openxmlformats.org/drawingml/2006/picture">
                      <pic:pic>
                        <pic:nvPicPr>
                          <pic:cNvPr descr="figures/apps-guide/scores-08.png" id="857" name="Picture"/>
                          <pic:cNvPicPr>
                            <a:picLocks noChangeArrowheads="1" noChangeAspect="1"/>
                          </pic:cNvPicPr>
                        </pic:nvPicPr>
                        <pic:blipFill>
                          <a:blip r:embed="rId85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E.8: Zoom in / out</w:t>
            </w:r>
          </w:p>
          <w:bookmarkEnd w:id="858"/>
        </w:tc>
      </w:tr>
    </w:tbl>
    <w:bookmarkEnd w:id="859"/>
    <w:bookmarkStart w:id="864" w:name="plot-of-scores-tab"/>
    <w:p>
      <w:pPr>
        <w:pStyle w:val="Heading3"/>
      </w:pPr>
      <w:r>
        <w:t xml:space="preserve">C.1.9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863" w:name="fig-scores-09"/>
          <w:p>
            <w:pPr>
              <w:pStyle w:val="Compact"/>
              <w:jc w:val="center"/>
            </w:pPr>
            <w:r>
              <w:drawing>
                <wp:inline>
                  <wp:extent cx="5334000" cy="3583781"/>
                  <wp:effectExtent b="0" l="0" r="0" t="0"/>
                  <wp:docPr descr="" title="" id="861" name="Picture"/>
                  <a:graphic>
                    <a:graphicData uri="http://schemas.openxmlformats.org/drawingml/2006/picture">
                      <pic:pic>
                        <pic:nvPicPr>
                          <pic:cNvPr descr="figures/apps-guide/scores-09.png" id="862" name="Picture"/>
                          <pic:cNvPicPr>
                            <a:picLocks noChangeArrowheads="1" noChangeAspect="1"/>
                          </pic:cNvPicPr>
                        </pic:nvPicPr>
                        <pic:blipFill>
                          <a:blip r:embed="rId86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E.9: Plot of Scores tab</w:t>
            </w:r>
          </w:p>
          <w:bookmarkEnd w:id="863"/>
        </w:tc>
      </w:tr>
    </w:tbl>
    <w:bookmarkEnd w:id="864"/>
    <w:bookmarkStart w:id="869" w:name="table-of-species-tab"/>
    <w:p>
      <w:pPr>
        <w:pStyle w:val="Heading3"/>
      </w:pPr>
      <w:r>
        <w:t xml:space="preserve">C.1.10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868" w:name="fig-scores-10"/>
          <w:p>
            <w:pPr>
              <w:pStyle w:val="Compact"/>
              <w:jc w:val="center"/>
            </w:pPr>
            <w:r>
              <w:drawing>
                <wp:inline>
                  <wp:extent cx="5334000" cy="3583781"/>
                  <wp:effectExtent b="0" l="0" r="0" t="0"/>
                  <wp:docPr descr="" title="" id="866" name="Picture"/>
                  <a:graphic>
                    <a:graphicData uri="http://schemas.openxmlformats.org/drawingml/2006/picture">
                      <pic:pic>
                        <pic:nvPicPr>
                          <pic:cNvPr descr="figures/apps-guide/scores-10.png" id="867" name="Picture"/>
                          <pic:cNvPicPr>
                            <a:picLocks noChangeArrowheads="1" noChangeAspect="1"/>
                          </pic:cNvPicPr>
                        </pic:nvPicPr>
                        <pic:blipFill>
                          <a:blip r:embed="rId86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E.10: Table of Species tab</w:t>
            </w:r>
          </w:p>
          <w:bookmarkEnd w:id="868"/>
        </w:tc>
      </w:tr>
    </w:tbl>
    <w:bookmarkEnd w:id="869"/>
    <w:bookmarkStart w:id="874" w:name="report-tab"/>
    <w:p>
      <w:pPr>
        <w:pStyle w:val="Heading3"/>
      </w:pPr>
      <w:r>
        <w:t xml:space="preserve">C.1.11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873" w:name="fig-scores-11"/>
          <w:p>
            <w:pPr>
              <w:pStyle w:val="Compact"/>
              <w:jc w:val="center"/>
            </w:pPr>
            <w:r>
              <w:drawing>
                <wp:inline>
                  <wp:extent cx="5334000" cy="3583781"/>
                  <wp:effectExtent b="0" l="0" r="0" t="0"/>
                  <wp:docPr descr="" title="" id="871" name="Picture"/>
                  <a:graphic>
                    <a:graphicData uri="http://schemas.openxmlformats.org/drawingml/2006/picture">
                      <pic:pic>
                        <pic:nvPicPr>
                          <pic:cNvPr descr="figures/apps-guide/scores-11.png" id="872" name="Picture"/>
                          <pic:cNvPicPr>
                            <a:picLocks noChangeArrowheads="1" noChangeAspect="1"/>
                          </pic:cNvPicPr>
                        </pic:nvPicPr>
                        <pic:blipFill>
                          <a:blip r:embed="rId87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E.11: Report tab</w:t>
            </w:r>
          </w:p>
          <w:bookmarkEnd w:id="873"/>
        </w:tc>
      </w:tr>
    </w:tbl>
    <w:bookmarkEnd w:id="874"/>
    <w:bookmarkEnd w:id="875"/>
    <w:bookmarkStart w:id="901" w:name="species-app"/>
    <w:p>
      <w:pPr>
        <w:pStyle w:val="Heading2"/>
      </w:pPr>
      <w:r>
        <w:t xml:space="preserve">C.2 Species app</w:t>
      </w:r>
    </w:p>
    <w:bookmarkStart w:id="880" w:name="select-a-species"/>
    <w:p>
      <w:pPr>
        <w:pStyle w:val="Heading3"/>
      </w:pPr>
      <w:r>
        <w:t xml:space="preserve">C.2.1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879" w:name="fig-species-01"/>
          <w:p>
            <w:pPr>
              <w:pStyle w:val="Compact"/>
              <w:jc w:val="center"/>
            </w:pPr>
            <w:r>
              <w:drawing>
                <wp:inline>
                  <wp:extent cx="5334000" cy="3583781"/>
                  <wp:effectExtent b="0" l="0" r="0" t="0"/>
                  <wp:docPr descr="" title="" id="877" name="Picture"/>
                  <a:graphic>
                    <a:graphicData uri="http://schemas.openxmlformats.org/drawingml/2006/picture">
                      <pic:pic>
                        <pic:nvPicPr>
                          <pic:cNvPr descr="figures/apps-guide/species-01.png" id="878" name="Picture"/>
                          <pic:cNvPicPr>
                            <a:picLocks noChangeArrowheads="1" noChangeAspect="1"/>
                          </pic:cNvPicPr>
                        </pic:nvPicPr>
                        <pic:blipFill>
                          <a:blip r:embed="rId876"/>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E.12: Select a Species</w:t>
            </w:r>
          </w:p>
          <w:bookmarkEnd w:id="879"/>
        </w:tc>
      </w:tr>
    </w:tbl>
    <w:bookmarkEnd w:id="880"/>
    <w:bookmarkStart w:id="885" w:name="mask-selection"/>
    <w:p>
      <w:pPr>
        <w:pStyle w:val="Heading3"/>
      </w:pPr>
      <w:r>
        <w:t xml:space="preserve">C.2.2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884" w:name="fig-species-02"/>
          <w:p>
            <w:pPr>
              <w:pStyle w:val="Compact"/>
              <w:jc w:val="center"/>
            </w:pPr>
            <w:r>
              <w:drawing>
                <wp:inline>
                  <wp:extent cx="5334000" cy="3583781"/>
                  <wp:effectExtent b="0" l="0" r="0" t="0"/>
                  <wp:docPr descr="" title="" id="882" name="Picture"/>
                  <a:graphic>
                    <a:graphicData uri="http://schemas.openxmlformats.org/drawingml/2006/picture">
                      <pic:pic>
                        <pic:nvPicPr>
                          <pic:cNvPr descr="figures/apps-guide/species-02.png" id="883" name="Picture"/>
                          <pic:cNvPicPr>
                            <a:picLocks noChangeArrowheads="1" noChangeAspect="1"/>
                          </pic:cNvPicPr>
                        </pic:nvPicPr>
                        <pic:blipFill>
                          <a:blip r:embed="rId881"/>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E.13: Mask Selection</w:t>
            </w:r>
          </w:p>
          <w:bookmarkEnd w:id="884"/>
        </w:tc>
      </w:tr>
    </w:tbl>
    <w:bookmarkEnd w:id="885"/>
    <w:bookmarkStart w:id="890" w:name="layer-selector"/>
    <w:p>
      <w:pPr>
        <w:pStyle w:val="Heading3"/>
      </w:pPr>
      <w:r>
        <w:t xml:space="preserve">C.2.3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889" w:name="fig-species-03"/>
          <w:p>
            <w:pPr>
              <w:pStyle w:val="Compact"/>
              <w:jc w:val="center"/>
            </w:pPr>
            <w:r>
              <w:drawing>
                <wp:inline>
                  <wp:extent cx="5334000" cy="3583781"/>
                  <wp:effectExtent b="0" l="0" r="0" t="0"/>
                  <wp:docPr descr="" title="" id="887" name="Picture"/>
                  <a:graphic>
                    <a:graphicData uri="http://schemas.openxmlformats.org/drawingml/2006/picture">
                      <pic:pic>
                        <pic:nvPicPr>
                          <pic:cNvPr descr="figures/apps-guide/species-03.png" id="888" name="Picture"/>
                          <pic:cNvPicPr>
                            <a:picLocks noChangeArrowheads="1" noChangeAspect="1"/>
                          </pic:cNvPicPr>
                        </pic:nvPicPr>
                        <pic:blipFill>
                          <a:blip r:embed="rId886"/>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E.14: Layer Selector</w:t>
            </w:r>
          </w:p>
          <w:bookmarkEnd w:id="889"/>
        </w:tc>
      </w:tr>
    </w:tbl>
    <w:bookmarkEnd w:id="890"/>
    <w:bookmarkStart w:id="895" w:name="species-map"/>
    <w:p>
      <w:pPr>
        <w:pStyle w:val="Heading3"/>
      </w:pPr>
      <w:r>
        <w:t xml:space="preserve">C.2.4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894" w:name="fig-species-04"/>
          <w:p>
            <w:pPr>
              <w:pStyle w:val="Compact"/>
              <w:jc w:val="center"/>
            </w:pPr>
            <w:r>
              <w:drawing>
                <wp:inline>
                  <wp:extent cx="5334000" cy="3583781"/>
                  <wp:effectExtent b="0" l="0" r="0" t="0"/>
                  <wp:docPr descr="" title="" id="892" name="Picture"/>
                  <a:graphic>
                    <a:graphicData uri="http://schemas.openxmlformats.org/drawingml/2006/picture">
                      <pic:pic>
                        <pic:nvPicPr>
                          <pic:cNvPr descr="figures/apps-guide/species-04.png" id="893" name="Picture"/>
                          <pic:cNvPicPr>
                            <a:picLocks noChangeArrowheads="1" noChangeAspect="1"/>
                          </pic:cNvPicPr>
                        </pic:nvPicPr>
                        <pic:blipFill>
                          <a:blip r:embed="rId891"/>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E.15: Species Map</w:t>
            </w:r>
          </w:p>
          <w:bookmarkEnd w:id="894"/>
        </w:tc>
      </w:tr>
    </w:tbl>
    <w:bookmarkEnd w:id="895"/>
    <w:bookmarkStart w:id="900" w:name="species-info"/>
    <w:p>
      <w:pPr>
        <w:pStyle w:val="Heading3"/>
      </w:pPr>
      <w:r>
        <w:t xml:space="preserve">C.2.5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899" w:name="fig-species-05"/>
          <w:p>
            <w:pPr>
              <w:pStyle w:val="Compact"/>
              <w:jc w:val="center"/>
            </w:pPr>
            <w:r>
              <w:drawing>
                <wp:inline>
                  <wp:extent cx="5334000" cy="3583781"/>
                  <wp:effectExtent b="0" l="0" r="0" t="0"/>
                  <wp:docPr descr="" title="" id="897" name="Picture"/>
                  <a:graphic>
                    <a:graphicData uri="http://schemas.openxmlformats.org/drawingml/2006/picture">
                      <pic:pic>
                        <pic:nvPicPr>
                          <pic:cNvPr descr="figures/apps-guide/species-05.png" id="898" name="Picture"/>
                          <pic:cNvPicPr>
                            <a:picLocks noChangeArrowheads="1" noChangeAspect="1"/>
                          </pic:cNvPicPr>
                        </pic:nvPicPr>
                        <pic:blipFill>
                          <a:blip r:embed="rId896"/>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E.16: Species Info</w:t>
            </w:r>
          </w:p>
          <w:bookmarkEnd w:id="899"/>
        </w:tc>
      </w:tr>
    </w:tbl>
    <w:bookmarkEnd w:id="900"/>
    <w:bookmarkEnd w:id="901"/>
    <w:bookmarkEnd w:id="902"/>
    <w:bookmarkStart w:id="908"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77"/>
        </w:numPr>
      </w:pPr>
      <w:hyperlink r:id="rId903">
        <w:r>
          <w:rPr>
            <w:rStyle w:val="Hyperlink"/>
          </w:rPr>
          <w:t xml:space="preserve"> </w:t>
        </w:r>
        <w:r>
          <w:rPr>
            <w:rStyle w:val="Hyperlink"/>
          </w:rPr>
          <w:t xml:space="preserve">website</w:t>
        </w:r>
      </w:hyperlink>
    </w:p>
    <w:p>
      <w:pPr>
        <w:numPr>
          <w:ilvl w:val="0"/>
          <w:numId w:val="1077"/>
        </w:numPr>
      </w:pPr>
      <w:hyperlink r:id="rId904">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906" name="Picture"/>
            <a:graphic>
              <a:graphicData uri="http://schemas.openxmlformats.org/drawingml/2006/picture">
                <pic:pic>
                  <pic:nvPicPr>
                    <pic:cNvPr descr="figures/apps/aoi.png" id="907" name="Picture"/>
                    <pic:cNvPicPr>
                      <a:picLocks noChangeArrowheads="1" noChangeAspect="1"/>
                    </pic:cNvPicPr>
                  </pic:nvPicPr>
                  <pic:blipFill>
                    <a:blip r:embed="rId905"/>
                    <a:stretch>
                      <a:fillRect/>
                    </a:stretch>
                  </pic:blipFill>
                  <pic:spPr bwMode="auto">
                    <a:xfrm>
                      <a:off x="0" y="0"/>
                      <a:ext cx="5334000" cy="2988079"/>
                    </a:xfrm>
                    <a:prstGeom prst="rect">
                      <a:avLst/>
                    </a:prstGeom>
                    <a:noFill/>
                    <a:ln w="9525">
                      <a:noFill/>
                      <a:headEnd/>
                      <a:tailEnd/>
                    </a:ln>
                  </pic:spPr>
                </pic:pic>
              </a:graphicData>
            </a:graphic>
          </wp:inline>
        </w:drawing>
      </w:r>
    </w:p>
    <w:bookmarkEnd w:id="908"/>
    <w:bookmarkStart w:id="914"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8"/>
        </w:numPr>
      </w:pPr>
      <w:hyperlink r:id="rId909">
        <w:r>
          <w:rPr>
            <w:rStyle w:val="Hyperlink"/>
          </w:rPr>
          <w:t xml:space="preserve"> </w:t>
        </w:r>
        <w:r>
          <w:rPr>
            <w:rStyle w:val="Hyperlink"/>
          </w:rPr>
          <w:t xml:space="preserve">website</w:t>
        </w:r>
      </w:hyperlink>
    </w:p>
    <w:p>
      <w:pPr>
        <w:numPr>
          <w:ilvl w:val="0"/>
          <w:numId w:val="1078"/>
        </w:numPr>
      </w:pPr>
      <w:hyperlink r:id="rId910">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912" name="Picture"/>
            <a:graphic>
              <a:graphicData uri="http://schemas.openxmlformats.org/drawingml/2006/picture">
                <pic:pic>
                  <pic:nvPicPr>
                    <pic:cNvPr descr="figures/apps/bird_hotspots.png" id="913" name="Picture"/>
                    <pic:cNvPicPr>
                      <a:picLocks noChangeArrowheads="1" noChangeAspect="1"/>
                    </pic:cNvPicPr>
                  </pic:nvPicPr>
                  <pic:blipFill>
                    <a:blip r:embed="rId911"/>
                    <a:stretch>
                      <a:fillRect/>
                    </a:stretch>
                  </pic:blipFill>
                  <pic:spPr bwMode="auto">
                    <a:xfrm>
                      <a:off x="0" y="0"/>
                      <a:ext cx="5334000" cy="2948423"/>
                    </a:xfrm>
                    <a:prstGeom prst="rect">
                      <a:avLst/>
                    </a:prstGeom>
                    <a:noFill/>
                    <a:ln w="9525">
                      <a:noFill/>
                      <a:headEnd/>
                      <a:tailEnd/>
                    </a:ln>
                  </pic:spPr>
                </pic:pic>
              </a:graphicData>
            </a:graphic>
          </wp:inline>
        </w:drawing>
      </w:r>
    </w:p>
    <w:bookmarkEnd w:id="914"/>
    <w:bookmarkStart w:id="920" w:name="regional-map"/>
    <w:p>
      <w:pPr>
        <w:pStyle w:val="Heading1"/>
      </w:pPr>
      <w:r>
        <w:t xml:space="preserve">Regional Map</w:t>
      </w:r>
    </w:p>
    <w:p>
      <w:pPr>
        <w:pStyle w:val="FirstParagraph"/>
      </w:pPr>
      <w:r>
        <w:t xml:space="preserve">Basic interactive map of BOEM regions.</w:t>
      </w:r>
    </w:p>
    <w:p>
      <w:pPr>
        <w:numPr>
          <w:ilvl w:val="0"/>
          <w:numId w:val="1079"/>
        </w:numPr>
      </w:pPr>
      <w:hyperlink r:id="rId915">
        <w:r>
          <w:rPr>
            <w:rStyle w:val="Hyperlink"/>
          </w:rPr>
          <w:t xml:space="preserve"> </w:t>
        </w:r>
        <w:r>
          <w:rPr>
            <w:rStyle w:val="Hyperlink"/>
          </w:rPr>
          <w:t xml:space="preserve">website</w:t>
        </w:r>
      </w:hyperlink>
    </w:p>
    <w:p>
      <w:pPr>
        <w:numPr>
          <w:ilvl w:val="0"/>
          <w:numId w:val="1079"/>
        </w:numPr>
      </w:pPr>
      <w:hyperlink r:id="rId916">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918" name="Picture"/>
            <a:graphic>
              <a:graphicData uri="http://schemas.openxmlformats.org/drawingml/2006/picture">
                <pic:pic>
                  <pic:nvPicPr>
                    <pic:cNvPr descr="figures/apps/map.png" id="919" name="Picture"/>
                    <pic:cNvPicPr>
                      <a:picLocks noChangeArrowheads="1" noChangeAspect="1"/>
                    </pic:cNvPicPr>
                  </pic:nvPicPr>
                  <pic:blipFill>
                    <a:blip r:embed="rId917"/>
                    <a:stretch>
                      <a:fillRect/>
                    </a:stretch>
                  </pic:blipFill>
                  <pic:spPr bwMode="auto">
                    <a:xfrm>
                      <a:off x="0" y="0"/>
                      <a:ext cx="5334000" cy="3012314"/>
                    </a:xfrm>
                    <a:prstGeom prst="rect">
                      <a:avLst/>
                    </a:prstGeom>
                    <a:noFill/>
                    <a:ln w="9525">
                      <a:noFill/>
                      <a:headEnd/>
                      <a:tailEnd/>
                    </a:ln>
                  </pic:spPr>
                </pic:pic>
              </a:graphicData>
            </a:graphic>
          </wp:inline>
        </w:drawing>
      </w:r>
    </w:p>
    <w:bookmarkEnd w:id="920"/>
    <w:bookmarkStart w:id="925"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80"/>
        </w:numPr>
      </w:pPr>
      <w:hyperlink r:id="rId921">
        <w:r>
          <w:rPr>
            <w:rStyle w:val="Hyperlink"/>
          </w:rPr>
          <w:t xml:space="preserve"> </w:t>
        </w:r>
        <w:r>
          <w:rPr>
            <w:rStyle w:val="Hyperlink"/>
          </w:rPr>
          <w:t xml:space="preserve">website</w:t>
        </w:r>
      </w:hyperlink>
    </w:p>
    <w:p>
      <w:pPr>
        <w:numPr>
          <w:ilvl w:val="0"/>
          <w:numId w:val="1080"/>
        </w:numPr>
      </w:pPr>
      <w:hyperlink r:id="rId796">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923" name="Picture"/>
            <a:graphic>
              <a:graphicData uri="http://schemas.openxmlformats.org/drawingml/2006/picture">
                <pic:pic>
                  <pic:nvPicPr>
                    <pic:cNvPr descr="figures/apps/scores_0.png" id="924" name="Picture"/>
                    <pic:cNvPicPr>
                      <a:picLocks noChangeArrowheads="1" noChangeAspect="1"/>
                    </pic:cNvPicPr>
                  </pic:nvPicPr>
                  <pic:blipFill>
                    <a:blip r:embed="rId922"/>
                    <a:stretch>
                      <a:fillRect/>
                    </a:stretch>
                  </pic:blipFill>
                  <pic:spPr bwMode="auto">
                    <a:xfrm>
                      <a:off x="0" y="0"/>
                      <a:ext cx="5334000" cy="3018971"/>
                    </a:xfrm>
                    <a:prstGeom prst="rect">
                      <a:avLst/>
                    </a:prstGeom>
                    <a:noFill/>
                    <a:ln w="9525">
                      <a:noFill/>
                      <a:headEnd/>
                      <a:tailEnd/>
                    </a:ln>
                  </pic:spPr>
                </pic:pic>
              </a:graphicData>
            </a:graphic>
          </wp:inline>
        </w:drawing>
      </w:r>
    </w:p>
    <w:bookmarkEnd w:id="925"/>
    <w:bookmarkStart w:id="931"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81"/>
        </w:numPr>
      </w:pPr>
      <w:hyperlink r:id="rId926">
        <w:r>
          <w:rPr>
            <w:rStyle w:val="Hyperlink"/>
          </w:rPr>
          <w:t xml:space="preserve"> </w:t>
        </w:r>
        <w:r>
          <w:rPr>
            <w:rStyle w:val="Hyperlink"/>
          </w:rPr>
          <w:t xml:space="preserve">website</w:t>
        </w:r>
      </w:hyperlink>
    </w:p>
    <w:p>
      <w:pPr>
        <w:numPr>
          <w:ilvl w:val="0"/>
          <w:numId w:val="1081"/>
        </w:numPr>
      </w:pPr>
      <w:hyperlink r:id="rId927">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929" name="Picture"/>
            <a:graphic>
              <a:graphicData uri="http://schemas.openxmlformats.org/drawingml/2006/picture">
                <pic:pic>
                  <pic:nvPicPr>
                    <pic:cNvPr descr="figures/apps/sdm.png" id="930" name="Picture"/>
                    <pic:cNvPicPr>
                      <a:picLocks noChangeArrowheads="1" noChangeAspect="1"/>
                    </pic:cNvPicPr>
                  </pic:nvPicPr>
                  <pic:blipFill>
                    <a:blip r:embed="rId928"/>
                    <a:stretch>
                      <a:fillRect/>
                    </a:stretch>
                  </pic:blipFill>
                  <pic:spPr bwMode="auto">
                    <a:xfrm>
                      <a:off x="0" y="0"/>
                      <a:ext cx="5334000" cy="2983171"/>
                    </a:xfrm>
                    <a:prstGeom prst="rect">
                      <a:avLst/>
                    </a:prstGeom>
                    <a:noFill/>
                    <a:ln w="9525">
                      <a:noFill/>
                      <a:headEnd/>
                      <a:tailEnd/>
                    </a:ln>
                  </pic:spPr>
                </pic:pic>
              </a:graphicData>
            </a:graphic>
          </wp:inline>
        </w:drawing>
      </w:r>
    </w:p>
    <w:bookmarkEnd w:id="931"/>
    <w:bookmarkStart w:id="937"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82"/>
        </w:numPr>
      </w:pPr>
      <w:hyperlink r:id="rId932">
        <w:r>
          <w:rPr>
            <w:rStyle w:val="Hyperlink"/>
          </w:rPr>
          <w:t xml:space="preserve"> </w:t>
        </w:r>
        <w:r>
          <w:rPr>
            <w:rStyle w:val="Hyperlink"/>
          </w:rPr>
          <w:t xml:space="preserve">website</w:t>
        </w:r>
      </w:hyperlink>
    </w:p>
    <w:p>
      <w:pPr>
        <w:numPr>
          <w:ilvl w:val="0"/>
          <w:numId w:val="1082"/>
        </w:numPr>
      </w:pPr>
      <w:hyperlink r:id="rId933">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935" name="Picture"/>
            <a:graphic>
              <a:graphicData uri="http://schemas.openxmlformats.org/drawingml/2006/picture">
                <pic:pic>
                  <pic:nvPicPr>
                    <pic:cNvPr descr="figures/apps/sdm-cog.png" id="936" name="Picture"/>
                    <pic:cNvPicPr>
                      <a:picLocks noChangeArrowheads="1" noChangeAspect="1"/>
                    </pic:cNvPicPr>
                  </pic:nvPicPr>
                  <pic:blipFill>
                    <a:blip r:embed="rId934"/>
                    <a:stretch>
                      <a:fillRect/>
                    </a:stretch>
                  </pic:blipFill>
                  <pic:spPr bwMode="auto">
                    <a:xfrm>
                      <a:off x="0" y="0"/>
                      <a:ext cx="5334000" cy="2951752"/>
                    </a:xfrm>
                    <a:prstGeom prst="rect">
                      <a:avLst/>
                    </a:prstGeom>
                    <a:noFill/>
                    <a:ln w="9525">
                      <a:noFill/>
                      <a:headEnd/>
                      <a:tailEnd/>
                    </a:ln>
                  </pic:spPr>
                </pic:pic>
              </a:graphicData>
            </a:graphic>
          </wp:inline>
        </w:drawing>
      </w:r>
    </w:p>
    <w:bookmarkEnd w:id="937"/>
    <w:bookmarkStart w:id="943"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83"/>
        </w:numPr>
      </w:pPr>
      <w:hyperlink r:id="rId938">
        <w:r>
          <w:rPr>
            <w:rStyle w:val="Hyperlink"/>
          </w:rPr>
          <w:t xml:space="preserve"> </w:t>
        </w:r>
        <w:r>
          <w:rPr>
            <w:rStyle w:val="Hyperlink"/>
          </w:rPr>
          <w:t xml:space="preserve">website</w:t>
        </w:r>
      </w:hyperlink>
    </w:p>
    <w:p>
      <w:pPr>
        <w:numPr>
          <w:ilvl w:val="0"/>
          <w:numId w:val="1083"/>
        </w:numPr>
      </w:pPr>
      <w:hyperlink r:id="rId939">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941" name="Picture"/>
            <a:graphic>
              <a:graphicData uri="http://schemas.openxmlformats.org/drawingml/2006/picture">
                <pic:pic>
                  <pic:nvPicPr>
                    <pic:cNvPr descr="figures/apps/vmap.png" id="942" name="Picture"/>
                    <pic:cNvPicPr>
                      <a:picLocks noChangeArrowheads="1" noChangeAspect="1"/>
                    </pic:cNvPicPr>
                  </pic:nvPicPr>
                  <pic:blipFill>
                    <a:blip r:embed="rId940"/>
                    <a:stretch>
                      <a:fillRect/>
                    </a:stretch>
                  </pic:blipFill>
                  <pic:spPr bwMode="auto">
                    <a:xfrm>
                      <a:off x="0" y="0"/>
                      <a:ext cx="5334000" cy="2955021"/>
                    </a:xfrm>
                    <a:prstGeom prst="rect">
                      <a:avLst/>
                    </a:prstGeom>
                    <a:noFill/>
                    <a:ln w="9525">
                      <a:noFill/>
                      <a:headEnd/>
                      <a:tailEnd/>
                    </a:ln>
                  </pic:spPr>
                </pic:pic>
              </a:graphicData>
            </a:graphic>
          </wp:inline>
        </w:drawing>
      </w:r>
    </w:p>
    <w:bookmarkEnd w:id="9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 Target="media/rId13.png" /><Relationship Type="http://schemas.openxmlformats.org/officeDocument/2006/relationships/image" Id="rId173" Target="media/rId173.png" /><Relationship Type="http://schemas.openxmlformats.org/officeDocument/2006/relationships/image" Id="rId54" Target="media/rId54.png" /><Relationship Type="http://schemas.openxmlformats.org/officeDocument/2006/relationships/image" Id="rId487" Target="media/rId487.png" /><Relationship Type="http://schemas.openxmlformats.org/officeDocument/2006/relationships/image" Id="rId522" Target="media/rId522.png" /><Relationship Type="http://schemas.openxmlformats.org/officeDocument/2006/relationships/image" Id="rId820" Target="media/rId820.png" /><Relationship Type="http://schemas.openxmlformats.org/officeDocument/2006/relationships/image" Id="rId825" Target="media/rId825.png" /><Relationship Type="http://schemas.openxmlformats.org/officeDocument/2006/relationships/image" Id="rId830" Target="media/rId830.png" /><Relationship Type="http://schemas.openxmlformats.org/officeDocument/2006/relationships/image" Id="rId835" Target="media/rId835.png" /><Relationship Type="http://schemas.openxmlformats.org/officeDocument/2006/relationships/image" Id="rId840" Target="media/rId840.png" /><Relationship Type="http://schemas.openxmlformats.org/officeDocument/2006/relationships/image" Id="rId845" Target="media/rId845.png" /><Relationship Type="http://schemas.openxmlformats.org/officeDocument/2006/relationships/image" Id="rId850" Target="media/rId850.png" /><Relationship Type="http://schemas.openxmlformats.org/officeDocument/2006/relationships/image" Id="rId855" Target="media/rId855.png" /><Relationship Type="http://schemas.openxmlformats.org/officeDocument/2006/relationships/image" Id="rId860" Target="media/rId860.png" /><Relationship Type="http://schemas.openxmlformats.org/officeDocument/2006/relationships/image" Id="rId865" Target="media/rId865.png" /><Relationship Type="http://schemas.openxmlformats.org/officeDocument/2006/relationships/image" Id="rId870" Target="media/rId870.png" /><Relationship Type="http://schemas.openxmlformats.org/officeDocument/2006/relationships/image" Id="rId876" Target="media/rId876.png" /><Relationship Type="http://schemas.openxmlformats.org/officeDocument/2006/relationships/image" Id="rId881" Target="media/rId881.png" /><Relationship Type="http://schemas.openxmlformats.org/officeDocument/2006/relationships/image" Id="rId886" Target="media/rId886.png" /><Relationship Type="http://schemas.openxmlformats.org/officeDocument/2006/relationships/image" Id="rId891" Target="media/rId891.png" /><Relationship Type="http://schemas.openxmlformats.org/officeDocument/2006/relationships/image" Id="rId896" Target="media/rId896.png" /><Relationship Type="http://schemas.openxmlformats.org/officeDocument/2006/relationships/image" Id="rId905" Target="media/rId905.png" /><Relationship Type="http://schemas.openxmlformats.org/officeDocument/2006/relationships/image" Id="rId911" Target="media/rId911.png" /><Relationship Type="http://schemas.openxmlformats.org/officeDocument/2006/relationships/image" Id="rId917" Target="media/rId917.png" /><Relationship Type="http://schemas.openxmlformats.org/officeDocument/2006/relationships/image" Id="rId784" Target="media/rId784.png" /><Relationship Type="http://schemas.openxmlformats.org/officeDocument/2006/relationships/image" Id="rId780" Target="media/rId780.png" /><Relationship Type="http://schemas.openxmlformats.org/officeDocument/2006/relationships/image" Id="rId922" Target="media/rId922.png" /><Relationship Type="http://schemas.openxmlformats.org/officeDocument/2006/relationships/image" Id="rId934" Target="media/rId934.png" /><Relationship Type="http://schemas.openxmlformats.org/officeDocument/2006/relationships/image" Id="rId928" Target="media/rId928.png" /><Relationship Type="http://schemas.openxmlformats.org/officeDocument/2006/relationships/image" Id="rId802" Target="media/rId802.png" /><Relationship Type="http://schemas.openxmlformats.org/officeDocument/2006/relationships/image" Id="rId940" Target="media/rId940.png" /><Relationship Type="http://schemas.openxmlformats.org/officeDocument/2006/relationships/image" Id="rId623" Target="media/rId623.png" /><Relationship Type="http://schemas.openxmlformats.org/officeDocument/2006/relationships/image" Id="rId628" Target="media/rId628.png" /><Relationship Type="http://schemas.openxmlformats.org/officeDocument/2006/relationships/image" Id="rId633" Target="media/rId633.png" /><Relationship Type="http://schemas.openxmlformats.org/officeDocument/2006/relationships/image" Id="rId638" Target="media/rId638.png" /><Relationship Type="http://schemas.openxmlformats.org/officeDocument/2006/relationships/image" Id="rId644" Target="media/rId644.png" /><Relationship Type="http://schemas.openxmlformats.org/officeDocument/2006/relationships/image" Id="rId649" Target="media/rId649.png" /><Relationship Type="http://schemas.openxmlformats.org/officeDocument/2006/relationships/image" Id="rId655" Target="media/rId655.png" /><Relationship Type="http://schemas.openxmlformats.org/officeDocument/2006/relationships/image" Id="rId661" Target="media/rId661.png" /><Relationship Type="http://schemas.openxmlformats.org/officeDocument/2006/relationships/image" Id="rId667" Target="media/rId667.png" /><Relationship Type="http://schemas.openxmlformats.org/officeDocument/2006/relationships/image" Id="rId673" Target="media/rId673.png" /><Relationship Type="http://schemas.openxmlformats.org/officeDocument/2006/relationships/image" Id="rId679" Target="media/rId679.png" /><Relationship Type="http://schemas.openxmlformats.org/officeDocument/2006/relationships/image" Id="rId685" Target="media/rId685.png" /><Relationship Type="http://schemas.openxmlformats.org/officeDocument/2006/relationships/image" Id="rId690" Target="media/rId690.png" /><Relationship Type="http://schemas.openxmlformats.org/officeDocument/2006/relationships/image" Id="rId695" Target="media/rId695.png" /><Relationship Type="http://schemas.openxmlformats.org/officeDocument/2006/relationships/image" Id="rId327" Target="media/rId327.png" /><Relationship Type="http://schemas.openxmlformats.org/officeDocument/2006/relationships/image" Id="rId349" Target="media/rId349.png" /><Relationship Type="http://schemas.openxmlformats.org/officeDocument/2006/relationships/image" Id="rId408" Target="media/rId408.png" /><Relationship Type="http://schemas.openxmlformats.org/officeDocument/2006/relationships/image" Id="rId182" Target="media/rId182.png" /><Relationship Type="http://schemas.openxmlformats.org/officeDocument/2006/relationships/image" Id="rId16" Target="media/rId16.svg" /><Relationship Type="http://schemas.openxmlformats.org/officeDocument/2006/relationships/image" Id="rId450" Target="media/rId450.png" /><Relationship Type="http://schemas.openxmlformats.org/officeDocument/2006/relationships/image" Id="rId455" Target="media/rId455.png" /><Relationship Type="http://schemas.openxmlformats.org/officeDocument/2006/relationships/image" Id="rId443" Target="media/rId443.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227" Target="media/rId227.jpg" /><Relationship Type="http://schemas.openxmlformats.org/officeDocument/2006/relationships/image" Id="rId573" Target="media/rId573.png" /><Relationship Type="http://schemas.openxmlformats.org/officeDocument/2006/relationships/image" Id="rId589" Target="media/rId589.png" /><Relationship Type="http://schemas.openxmlformats.org/officeDocument/2006/relationships/image" Id="rId559" Target="media/rId559.png" /><Relationship Type="http://schemas.openxmlformats.org/officeDocument/2006/relationships/image" Id="rId544" Target="media/rId544.png" /><Relationship Type="http://schemas.openxmlformats.org/officeDocument/2006/relationships/image" Id="rId569" Target="media/rId569.png" /><Relationship Type="http://schemas.openxmlformats.org/officeDocument/2006/relationships/image" Id="rId602" Target="media/rId602.png" /><Relationship Type="http://schemas.openxmlformats.org/officeDocument/2006/relationships/image" Id="rId598" Target="media/rId598.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64" Target="media/rId564.png" /><Relationship Type="http://schemas.openxmlformats.org/officeDocument/2006/relationships/image" Id="rId593" Target="media/rId593.png" /><Relationship Type="http://schemas.openxmlformats.org/officeDocument/2006/relationships/image" Id="rId611" Target="media/rId611.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9" Target="media/rId9.sv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280" Target="media/rId280.png" /><Relationship Type="http://schemas.openxmlformats.org/officeDocument/2006/relationships/image" Id="rId156" Target="media/rId156.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43" Target="media/rId143.png" /><Relationship Type="http://schemas.openxmlformats.org/officeDocument/2006/relationships/image" Id="rId369" Target="media/rId369.png" /><Relationship Type="http://schemas.openxmlformats.org/officeDocument/2006/relationships/image" Id="rId361" Target="media/rId361.png" /><Relationship Type="http://schemas.openxmlformats.org/officeDocument/2006/relationships/image" Id="rId386" Target="media/rId386.png" /><Relationship Type="http://schemas.openxmlformats.org/officeDocument/2006/relationships/image" Id="rId381" Target="media/rId381.png" /><Relationship Type="http://schemas.openxmlformats.org/officeDocument/2006/relationships/image" Id="rId375" Target="media/rId375.png" /><Relationship Type="http://schemas.openxmlformats.org/officeDocument/2006/relationships/hyperlink" Id="rId617" Target="../apps-guide.qmd" TargetMode="External" /><Relationship Type="http://schemas.openxmlformats.org/officeDocument/2006/relationships/hyperlink" Id="rId775" Target="MarineBON.org" TargetMode="External" /><Relationship Type="http://schemas.openxmlformats.org/officeDocument/2006/relationships/hyperlink" Id="rId534" Target="apps-guide.qmd" TargetMode="External" /><Relationship Type="http://schemas.openxmlformats.org/officeDocument/2006/relationships/hyperlink" Id="rId537" Target="apps/shiny-guide.qmd" TargetMode="External" /><Relationship Type="http://schemas.openxmlformats.org/officeDocument/2006/relationships/hyperlink" Id="rId211" Target="http://datazone.birdlife.org/species/requestdis" TargetMode="External" /><Relationship Type="http://schemas.openxmlformats.org/officeDocument/2006/relationships/hyperlink" Id="rId226" Target="http://sites.science.oregonstate.edu/ocean.productivity" TargetMode="External" /><Relationship Type="http://schemas.openxmlformats.org/officeDocument/2006/relationships/hyperlink" Id="rId718" Target="https://CRAN.R-project.org/package=shiny" TargetMode="External" /><Relationship Type="http://schemas.openxmlformats.org/officeDocument/2006/relationships/hyperlink" Id="rId437" Target="https://account.squarespace.com/domains" TargetMode="External" /><Relationship Type="http://schemas.openxmlformats.org/officeDocument/2006/relationships/hyperlink" Id="rId720" Target="https://api.gbif.org/v1/occurrence/search" TargetMode="External" /><Relationship Type="http://schemas.openxmlformats.org/officeDocument/2006/relationships/hyperlink" Id="rId449" Target="https://api.marinesensitivity.org" TargetMode="External" /><Relationship Type="http://schemas.openxmlformats.org/officeDocument/2006/relationships/hyperlink" Id="rId38" Target="https://boem.gov" TargetMode="External" /><Relationship Type="http://schemas.openxmlformats.org/officeDocument/2006/relationships/hyperlink" Id="rId499" Target="https://books.ropensci.org/targets/" TargetMode="External" /><Relationship Type="http://schemas.openxmlformats.org/officeDocument/2006/relationships/hyperlink" Id="rId419" Target="https://caddyserver.com" TargetMode="External" /><Relationship Type="http://schemas.openxmlformats.org/officeDocument/2006/relationships/hyperlink" Id="rId754" Target="https://connect.fisheries.noaa.gov/content/cb3f4647-9e4f-4f3d-9edf-e7a87a1feef6/" TargetMode="External" /><Relationship Type="http://schemas.openxmlformats.org/officeDocument/2006/relationships/hyperlink" Id="rId358" Target="https://developmentseed.org/titiler/" TargetMode="External" /><Relationship Type="http://schemas.openxmlformats.org/officeDocument/2006/relationships/hyperlink" Id="rId426" Target="https://docs.aws.amazon.com/AWSEC2/latest/UserGuide/ebs-using-volumes.html" TargetMode="External" /><Relationship Type="http://schemas.openxmlformats.org/officeDocument/2006/relationships/hyperlink" Id="rId424" Target="https://docs.aws.amazon.com/AWSEC2/latest/UserGuide/set-hostname.html" TargetMode="External" /><Relationship Type="http://schemas.openxmlformats.org/officeDocument/2006/relationships/hyperlink" Id="rId433" Target="https://docs.aws.amazon.com/AWSEC2/latest/UserGuide/snapshot-ami-policy.html#create-snap-policy" TargetMode="External" /><Relationship Type="http://schemas.openxmlformats.org/officeDocument/2006/relationships/hyperlink" Id="rId438" Target="https://docs.github.com/en/pages/configuring-a-custom-domain-for-your-github-pages-site/managing-a-custom-domain-for-your-github-pages-site" TargetMode="External" /><Relationship Type="http://schemas.openxmlformats.org/officeDocument/2006/relationships/hyperlink" Id="rId739" Target="https://doi.org/10.1002/ece3.70030" TargetMode="External" /><Relationship Type="http://schemas.openxmlformats.org/officeDocument/2006/relationships/hyperlink" Id="rId724" Target="https://doi.org/10.1038/nature11397" TargetMode="External" /><Relationship Type="http://schemas.openxmlformats.org/officeDocument/2006/relationships/hyperlink" Id="rId735" Target="https://doi.org/10.1038/s41559-017-0160" TargetMode="External" /><Relationship Type="http://schemas.openxmlformats.org/officeDocument/2006/relationships/hyperlink" Id="rId737" Target="https://doi.org/10.1038/s41559-021-01432-0" TargetMode="External" /><Relationship Type="http://schemas.openxmlformats.org/officeDocument/2006/relationships/hyperlink" Id="rId771" Target="https://doi.org/10.1038/sdata.2016.18" TargetMode="External" /><Relationship Type="http://schemas.openxmlformats.org/officeDocument/2006/relationships/hyperlink" Id="rId762" Target="https://doi.org/10.1038/srep22615" TargetMode="External" /><Relationship Type="http://schemas.openxmlformats.org/officeDocument/2006/relationships/hyperlink" Id="rId722" Target="https://doi.org/10.1080/09640568.2014.973483" TargetMode="External" /><Relationship Type="http://schemas.openxmlformats.org/officeDocument/2006/relationships/hyperlink" Id="rId726" Target="https://doi.org/10.1111/j.1523-1739.2007.00752.x" TargetMode="External" /><Relationship Type="http://schemas.openxmlformats.org/officeDocument/2006/relationships/hyperlink" Id="rId716" Target="https://doi.org/10.1371/journal.pbio.0020383" TargetMode="External" /><Relationship Type="http://schemas.openxmlformats.org/officeDocument/2006/relationships/hyperlink" Id="rId714" Target="https://doi.org/10.1371/journal.pone.0000140" TargetMode="External" /><Relationship Type="http://schemas.openxmlformats.org/officeDocument/2006/relationships/hyperlink" Id="rId741" Target="https://doi.org/10.1371/journal.pone.0003700" TargetMode="External" /><Relationship Type="http://schemas.openxmlformats.org/officeDocument/2006/relationships/hyperlink" Id="rId728" Target="https://doi.org/10.1371/journal.pone.0146756" TargetMode="External" /><Relationship Type="http://schemas.openxmlformats.org/officeDocument/2006/relationships/hyperlink" Id="rId731" Target="https://doi.org/10.15468/ab3s5x" TargetMode="External" /><Relationship Type="http://schemas.openxmlformats.org/officeDocument/2006/relationships/hyperlink" Id="rId769" Target="https://doi.org/10.18785/goms.2901.06" TargetMode="External" /><Relationship Type="http://schemas.openxmlformats.org/officeDocument/2006/relationships/hyperlink" Id="rId712" Target="https://doi.org/10.25923/px0e-gh24" TargetMode="External" /><Relationship Type="http://schemas.openxmlformats.org/officeDocument/2006/relationships/hyperlink" Id="rId767" Target="https://doi.org/10.3354/esr01243" TargetMode="External" /><Relationship Type="http://schemas.openxmlformats.org/officeDocument/2006/relationships/hyperlink" Id="rId708" Target="https://doi.org/10.4319/lo.1997.42.1.0001" TargetMode="External" /><Relationship Type="http://schemas.openxmlformats.org/officeDocument/2006/relationships/hyperlink" Id="rId760" Target="https://doi.org/10.5281/zenodo.21375219" TargetMode="External" /><Relationship Type="http://schemas.openxmlformats.org/officeDocument/2006/relationships/hyperlink" Id="rId430" Target="https://drive.google.com/open?id=17B3djETDU8SVwGvJdZ3rp7TKtX8w0cfl&amp;usp=drive_fs" TargetMode="External" /><Relationship Type="http://schemas.openxmlformats.org/officeDocument/2006/relationships/hyperlink" Id="rId356" Target="https://duckdb.org" TargetMode="External" /><Relationship Type="http://schemas.openxmlformats.org/officeDocument/2006/relationships/hyperlink" Id="rId206" Target="https://ecos.fws.gov/docs/crithab/crithab_all/crithab_all_layers.zip" TargetMode="External" /><Relationship Type="http://schemas.openxmlformats.org/officeDocument/2006/relationships/hyperlink" Id="rId209" Target="https://ecos.fws.gov/docs/species/shapefiles/usfws_complete_species_current_range.zip" TargetMode="External" /><Relationship Type="http://schemas.openxmlformats.org/officeDocument/2006/relationships/hyperlink" Id="rId205" Target="https://ecos.fws.gov/ecp/report/table/critical-habitat.html" TargetMode="External" /><Relationship Type="http://schemas.openxmlformats.org/officeDocument/2006/relationships/hyperlink" Id="rId208" Target="https://ecos.fws.gov/ecp/species-reports" TargetMode="External" /><Relationship Type="http://schemas.openxmlformats.org/officeDocument/2006/relationships/hyperlink" Id="rId447" Target="https://file.marinesensitivity.org" TargetMode="External" /><Relationship Type="http://schemas.openxmlformats.org/officeDocument/2006/relationships/hyperlink" Id="rId379" Target="https://github.com/CrunchyData/pg_tileserv" TargetMode="External" /><Relationship Type="http://schemas.openxmlformats.org/officeDocument/2006/relationships/hyperlink" Id="rId359" Target="https://github.com/MarineSensitivities/msens" TargetMode="External" /><Relationship Type="http://schemas.openxmlformats.org/officeDocument/2006/relationships/hyperlink" Id="rId392" Target="https://github.com/MarineSensitivity/.github" TargetMode="External" /><Relationship Type="http://schemas.openxmlformats.org/officeDocument/2006/relationships/hyperlink" Id="rId400" Target="https://github.com/MarineSensitivity/MarineSensitivity.github.io" TargetMode="External" /><Relationship Type="http://schemas.openxmlformats.org/officeDocument/2006/relationships/hyperlink" Id="rId393" Target="https://github.com/MarineSensitivity/analytics" TargetMode="External" /><Relationship Type="http://schemas.openxmlformats.org/officeDocument/2006/relationships/hyperlink" Id="rId394" Target="https://github.com/MarineSensitivity/api" TargetMode="External" /><Relationship Type="http://schemas.openxmlformats.org/officeDocument/2006/relationships/hyperlink" Id="rId521" Target="https://github.com/MarineSensitivity/api/blob/main/plumber.R" TargetMode="External" /><Relationship Type="http://schemas.openxmlformats.org/officeDocument/2006/relationships/hyperlink" Id="rId395" Target="https://github.com/MarineSensitivity/app" TargetMode="External" /><Relationship Type="http://schemas.openxmlformats.org/officeDocument/2006/relationships/hyperlink" Id="rId396" Target="https://github.com/MarineSensitivity/apps" TargetMode="External" /><Relationship Type="http://schemas.openxmlformats.org/officeDocument/2006/relationships/hyperlink" Id="rId904" Target="https://github.com/MarineSensitivity/apps/tree/main/aoi" TargetMode="External" /><Relationship Type="http://schemas.openxmlformats.org/officeDocument/2006/relationships/hyperlink" Id="rId910" Target="https://github.com/MarineSensitivity/apps/tree/main/bird_hotspots" TargetMode="External" /><Relationship Type="http://schemas.openxmlformats.org/officeDocument/2006/relationships/hyperlink" Id="rId916" Target="https://github.com/MarineSensitivity/apps/tree/main/map" TargetMode="External" /><Relationship Type="http://schemas.openxmlformats.org/officeDocument/2006/relationships/hyperlink" Id="rId796" Target="https://github.com/MarineSensitivity/apps/tree/main/scores" TargetMode="External" /><Relationship Type="http://schemas.openxmlformats.org/officeDocument/2006/relationships/hyperlink" Id="rId927" Target="https://github.com/MarineSensitivity/apps/tree/main/sdm" TargetMode="External" /><Relationship Type="http://schemas.openxmlformats.org/officeDocument/2006/relationships/hyperlink" Id="rId933" Target="https://github.com/MarineSensitivity/apps/tree/main/sdm-cog" TargetMode="External" /><Relationship Type="http://schemas.openxmlformats.org/officeDocument/2006/relationships/hyperlink" Id="rId813" Target="https://github.com/MarineSensitivity/apps/tree/main/species" TargetMode="External" /><Relationship Type="http://schemas.openxmlformats.org/officeDocument/2006/relationships/hyperlink" Id="rId939" Target="https://github.com/MarineSensitivity/apps/tree/main/vmap" TargetMode="External" /><Relationship Type="http://schemas.openxmlformats.org/officeDocument/2006/relationships/hyperlink" Id="rId397" Target="https://github.com/MarineSensitivity/atlas" TargetMode="External" /><Relationship Type="http://schemas.openxmlformats.org/officeDocument/2006/relationships/hyperlink" Id="rId607" Target="https://github.com/MarineSensitivity/atlas/blob/main/docs/accessibility.md" TargetMode="External" /><Relationship Type="http://schemas.openxmlformats.org/officeDocument/2006/relationships/hyperlink" Id="rId608" Target="https://github.com/MarineSensitivity/atlas/blob/main/docs/performance.md" TargetMode="External" /><Relationship Type="http://schemas.openxmlformats.org/officeDocument/2006/relationships/hyperlink" Id="rId398" Target="https://github.com/MarineSensitivity/docs" TargetMode="External" /><Relationship Type="http://schemas.openxmlformats.org/officeDocument/2006/relationships/hyperlink" Id="rId399" Target="https://github.com/MarineSensitivity/manuscripts" TargetMode="External" /><Relationship Type="http://schemas.openxmlformats.org/officeDocument/2006/relationships/hyperlink" Id="rId401" Target="https://github.com/MarineSensitivity/msens" TargetMode="External" /><Relationship Type="http://schemas.openxmlformats.org/officeDocument/2006/relationships/hyperlink" Id="rId402" Target="https://github.com/MarineSensitivity/objectives" TargetMode="External" /><Relationship Type="http://schemas.openxmlformats.org/officeDocument/2006/relationships/hyperlink" Id="rId403" Target="https://github.com/MarineSensitivity/server" TargetMode="External" /><Relationship Type="http://schemas.openxmlformats.org/officeDocument/2006/relationships/hyperlink" Id="rId440" Target="https://github.com/MarineSensitivity/server/blob/main/caddy/Caddyfile" TargetMode="External" /><Relationship Type="http://schemas.openxmlformats.org/officeDocument/2006/relationships/hyperlink" Id="rId418" Target="https://github.com/MarineSensitivity/server/blob/main/docker-compose.yml" TargetMode="External" /><Relationship Type="http://schemas.openxmlformats.org/officeDocument/2006/relationships/hyperlink" Id="rId511" Target="https://github.com/MarineSensitivity/server/blob/main/titiler/factory.py" TargetMode="External" /><Relationship Type="http://schemas.openxmlformats.org/officeDocument/2006/relationships/hyperlink" Id="rId420" Target="https://github.com/MarineSensitivity/server/wiki/Server-Setup" TargetMode="External" /><Relationship Type="http://schemas.openxmlformats.org/officeDocument/2006/relationships/hyperlink" Id="rId404" Target="https://github.com/MarineSensitivity/stac-sdm" TargetMode="External" /><Relationship Type="http://schemas.openxmlformats.org/officeDocument/2006/relationships/hyperlink" Id="rId405" Target="https://github.com/MarineSensitivity/workflows" TargetMode="External" /><Relationship Type="http://schemas.openxmlformats.org/officeDocument/2006/relationships/hyperlink" Id="rId756" Target="https://github.com/iobis/mpaeu_sdm" TargetMode="External" /><Relationship Type="http://schemas.openxmlformats.org/officeDocument/2006/relationships/hyperlink" Id="rId374" Target="https://github.com/mapbox/tippecanoe" TargetMode="External" /><Relationship Type="http://schemas.openxmlformats.org/officeDocument/2006/relationships/hyperlink" Id="rId368" Target="https://guide.cloudnativegeo.org/" TargetMode="External" /><Relationship Type="http://schemas.openxmlformats.org/officeDocument/2006/relationships/hyperlink" Id="rId414"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415"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702" Target="https://marinesensitivity.org/faq/" TargetMode="External" /><Relationship Type="http://schemas.openxmlformats.org/officeDocument/2006/relationships/hyperlink" Id="rId416" Target="https://marinesensitivity.org/msens" TargetMode="External" /><Relationship Type="http://schemas.openxmlformats.org/officeDocument/2006/relationships/hyperlink" Id="rId513" Target="https://marinesensitivity.org/msens/reference/cell_stats.html" TargetMode="External" /><Relationship Type="http://schemas.openxmlformats.org/officeDocument/2006/relationships/hyperlink" Id="rId512" Target="https://marinesensitivity.org/msens/reference/cell_tile_url.html" TargetMode="External" /><Relationship Type="http://schemas.openxmlformats.org/officeDocument/2006/relationships/hyperlink" Id="rId346" Target="https://marinesensitivity.org/workflows/" TargetMode="External" /><Relationship Type="http://schemas.openxmlformats.org/officeDocument/2006/relationships/hyperlink" Id="rId163" Target="https://marinesensitivity.org/workflows/build_v7c.html" TargetMode="External" /><Relationship Type="http://schemas.openxmlformats.org/officeDocument/2006/relationships/hyperlink" Id="rId162" Target="https://marinesensitivity.org/workflows/build_v7c_exclusions.html" TargetMode="External" /><Relationship Type="http://schemas.openxmlformats.org/officeDocument/2006/relationships/hyperlink" Id="rId161" Target="https://marinesensitivity.org/workflows/build_v7c_exclusions.html#interactive-map" TargetMode="External" /><Relationship Type="http://schemas.openxmlformats.org/officeDocument/2006/relationships/hyperlink" Id="rId164" Target="https://marinesensitivity.org/workflows/explore_turtle-alaska-encounter.html" TargetMode="External" /><Relationship Type="http://schemas.openxmlformats.org/officeDocument/2006/relationships/hyperlink" Id="rId710" Target="https://media.fisheries.noaa.gov/dam-migration/nbr_update_3.pdf" TargetMode="External" /><Relationship Type="http://schemas.openxmlformats.org/officeDocument/2006/relationships/hyperlink" Id="rId429" Target="https://medium.com/@srijaanaparthy/step-by-step-guide-to-install-docker-on-ubuntu-in-aws-a39746e5a63d" TargetMode="External" /><Relationship Type="http://schemas.openxmlformats.org/officeDocument/2006/relationships/hyperlink" Id="rId202" Target="https://noaa.maps.arcgis.com/home/item.html?id=f66c1e33f91d480db7d1b1c1336223c3" TargetMode="External" /><Relationship Type="http://schemas.openxmlformats.org/officeDocument/2006/relationships/hyperlink" Id="rId746" Target="https://noaa.maps.arcgis.com/home/search.html?searchTerm=turtle+dps" TargetMode="External" /><Relationship Type="http://schemas.openxmlformats.org/officeDocument/2006/relationships/hyperlink" Id="rId758" Target="https://obis.org/data/access/" TargetMode="External" /><Relationship Type="http://schemas.openxmlformats.org/officeDocument/2006/relationships/hyperlink" Id="rId458" Target="https://posit.co/products/open-source/rstudio-server/" TargetMode="External" /><Relationship Type="http://schemas.openxmlformats.org/officeDocument/2006/relationships/hyperlink" Id="rId112" Target="https://preview.marinesensitivity.org/docs/v7c/" TargetMode="External" /><Relationship Type="http://schemas.openxmlformats.org/officeDocument/2006/relationships/hyperlink" Id="rId24" Target="https://preview.marinesensitivity.org/v7c/atlas/" TargetMode="External" /><Relationship Type="http://schemas.openxmlformats.org/officeDocument/2006/relationships/hyperlink" Id="rId21" Target="https://preview.marinesensitivity.org/v7c/atlas/?lens=scores" TargetMode="External" /><Relationship Type="http://schemas.openxmlformats.org/officeDocument/2006/relationships/hyperlink" Id="rId22" Target="https://preview.marinesensitivity.org/v7c/atlas/?lens=species" TargetMode="External" /><Relationship Type="http://schemas.openxmlformats.org/officeDocument/2006/relationships/hyperlink" Id="rId677" Target="https://preview.marinesensitivity.org/v7c/atlas/?lens=species&amp;sp=54247" TargetMode="External" /><Relationship Type="http://schemas.openxmlformats.org/officeDocument/2006/relationships/hyperlink" Id="rId683" Target="https://preview.marinesensitivity.org/v7c/atlas/?lens=species&amp;sp=54247&amp;ui=4.l.l.380.h.n" TargetMode="External" /><Relationship Type="http://schemas.openxmlformats.org/officeDocument/2006/relationships/hyperlink" Id="rId23" Target="https://preview.marinesensitivity.org/v7c/atlas/?tool=report" TargetMode="External" /><Relationship Type="http://schemas.openxmlformats.org/officeDocument/2006/relationships/hyperlink" Id="rId653" Target="https://preview.marinesensitivity.org/v7c/atlas/?ui=4.d.l.380.h.n" TargetMode="External" /><Relationship Type="http://schemas.openxmlformats.org/officeDocument/2006/relationships/hyperlink" Id="rId642" Target="https://preview.marinesensitivity.org/v7c/atlas/?ui=4.l.l.380.h.n" TargetMode="External" /><Relationship Type="http://schemas.openxmlformats.org/officeDocument/2006/relationships/hyperlink" Id="rId665" Target="https://preview.marinesensitivity.org/v7c/atlas/?ui=4.r.l.380.h.n" TargetMode="External" /><Relationship Type="http://schemas.openxmlformats.org/officeDocument/2006/relationships/hyperlink" Id="rId659" Target="https://preview.marinesensitivity.org/v7c/atlas/?ui=4.t.l.380.h.n" TargetMode="External" /><Relationship Type="http://schemas.openxmlformats.org/officeDocument/2006/relationships/hyperlink" Id="rId360" Target="https://protomaps.com/docs/pmtiles/" TargetMode="External" /><Relationship Type="http://schemas.openxmlformats.org/officeDocument/2006/relationships/hyperlink" Id="rId498" Target="https://quarto.org" TargetMode="External" /><Relationship Type="http://schemas.openxmlformats.org/officeDocument/2006/relationships/hyperlink" Id="rId195" Target="https://raquamaps.github.io/aquamapsdata" TargetMode="External" /><Relationship Type="http://schemas.openxmlformats.org/officeDocument/2006/relationships/hyperlink" Id="rId196" Target="https://raquamaps.github.io/aquamapsdata/articles/intro.html#data-scope-and-content-1" TargetMode="External" /><Relationship Type="http://schemas.openxmlformats.org/officeDocument/2006/relationships/hyperlink" Id="rId367" Target="https://rstudio.github.io/leaflet/articles/raster.html#large-raster-warning" TargetMode="External" /><Relationship Type="http://schemas.openxmlformats.org/officeDocument/2006/relationships/hyperlink" Id="rId454" Target="https://rstudio.marinesensitivity.org" TargetMode="External" /><Relationship Type="http://schemas.openxmlformats.org/officeDocument/2006/relationships/hyperlink" Id="rId442" Target="https://shiny.marinesensitivity.org" TargetMode="External" /><Relationship Type="http://schemas.openxmlformats.org/officeDocument/2006/relationships/hyperlink" Id="rId903" Target="https://shiny.marinesensitivity.org/aoi/" TargetMode="External" /><Relationship Type="http://schemas.openxmlformats.org/officeDocument/2006/relationships/hyperlink" Id="rId909" Target="https://shiny.marinesensitivity.org/bird_hotspots/" TargetMode="External" /><Relationship Type="http://schemas.openxmlformats.org/officeDocument/2006/relationships/hyperlink" Id="rId915" Target="https://shiny.marinesensitivity.org/map/" TargetMode="External" /><Relationship Type="http://schemas.openxmlformats.org/officeDocument/2006/relationships/hyperlink" Id="rId921" Target="https://shiny.marinesensitivity.org/scores/" TargetMode="External" /><Relationship Type="http://schemas.openxmlformats.org/officeDocument/2006/relationships/hyperlink" Id="rId932" Target="https://shiny.marinesensitivity.org/sdm-cog/" TargetMode="External" /><Relationship Type="http://schemas.openxmlformats.org/officeDocument/2006/relationships/hyperlink" Id="rId926" Target="https://shiny.marinesensitivity.org/sdm/" TargetMode="External" /><Relationship Type="http://schemas.openxmlformats.org/officeDocument/2006/relationships/hyperlink" Id="rId938" Target="https://shiny.marinesensitivity.org/vmap/" TargetMode="External" /><Relationship Type="http://schemas.openxmlformats.org/officeDocument/2006/relationships/hyperlink" Id="rId365" Target="https://shiny.posit.co" TargetMode="External" /><Relationship Type="http://schemas.openxmlformats.org/officeDocument/2006/relationships/hyperlink" Id="rId446" Target="https://shiny.posit.co/" TargetMode="External" /><Relationship Type="http://schemas.openxmlformats.org/officeDocument/2006/relationships/hyperlink" Id="rId526" Target="https://stacspec.org" TargetMode="External" /><Relationship Type="http://schemas.openxmlformats.org/officeDocument/2006/relationships/hyperlink" Id="rId448" Target="https://titiler.marinesensitivity.org" TargetMode="External" /><Relationship Type="http://schemas.openxmlformats.org/officeDocument/2006/relationships/hyperlink" Id="rId421" Target="https://us-east-1.console.aws.amazon.com/ec2/home?region=us-east-1#Addresses:" TargetMode="External" /><Relationship Type="http://schemas.openxmlformats.org/officeDocument/2006/relationships/hyperlink" Id="rId515" Target="https://varnish-cache.org" TargetMode="External" /><Relationship Type="http://schemas.openxmlformats.org/officeDocument/2006/relationships/hyperlink" Id="rId765" Target="https://wdfw.wa.gov/publications/01870" TargetMode="External" /><Relationship Type="http://schemas.openxmlformats.org/officeDocument/2006/relationships/hyperlink" Id="rId752" Target="https://webarchive.library.unt.edu/web/20130214220527/http:/sero.nmfs.noaa.gov/media/pdfs/2006/News%20Release2_28_06.pdf"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743" Target="https://www.boem.gov/sites/default/files/environmental-stewardship/Environmental-Studies/Pacific-Region/Studies/BOEM-2018-031-Vol1.pdf" TargetMode="External" /><Relationship Type="http://schemas.openxmlformats.org/officeDocument/2006/relationships/hyperlink" Id="rId417" Target="https://www.docker.com/" TargetMode="External" /><Relationship Type="http://schemas.openxmlformats.org/officeDocument/2006/relationships/hyperlink" Id="rId34" Target="https://www.fisheries.noaa.gov" TargetMode="External" /><Relationship Type="http://schemas.openxmlformats.org/officeDocument/2006/relationships/hyperlink" Id="rId748" Target="https://www.fisheries.noaa.gov/feature-story/sea-turtles-alaska-yes-we-have-them-far-north" TargetMode="External" /><Relationship Type="http://schemas.openxmlformats.org/officeDocument/2006/relationships/hyperlink" Id="rId203" Target="https://www.fisheries.noaa.gov/inport/item/65207" TargetMode="External" /><Relationship Type="http://schemas.openxmlformats.org/officeDocument/2006/relationships/hyperlink" Id="rId750" Target="https://www.fisheries.noaa.gov/resource/data/hawaii-shallow-set-longline-fishery-quarterly-and-annual-status-report-2025" TargetMode="External" /><Relationship Type="http://schemas.openxmlformats.org/officeDocument/2006/relationships/hyperlink" Id="rId201" Target="https://www.fisheries.noaa.gov/resource/map/national-esa-critical-habitat-mapper" TargetMode="External" /><Relationship Type="http://schemas.openxmlformats.org/officeDocument/2006/relationships/hyperlink" Id="rId199" Target="https://www.fisheries.noaa.gov/s3/2021-09/shapefile_Rices_whale_core_distribution_area_Jun19_SERO.zip" TargetMode="External" /><Relationship Type="http://schemas.openxmlformats.org/officeDocument/2006/relationships/hyperlink" Id="rId198" Target="https://www.fisheries.noaa.gov/species/rices-whale" TargetMode="External" /><Relationship Type="http://schemas.openxmlformats.org/officeDocument/2006/relationships/hyperlink" Id="rId25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253" Target="https://www.fws.gov/law/endangered-species-act" TargetMode="External" /><Relationship Type="http://schemas.openxmlformats.org/officeDocument/2006/relationships/hyperlink" Id="rId257" Target="https://www.fws.gov/law/migratory-bird-treaty-act-1918" TargetMode="External" /><Relationship Type="http://schemas.openxmlformats.org/officeDocument/2006/relationships/hyperlink" Id="rId235" Target="https://www.gbif.org" TargetMode="External" /><Relationship Type="http://schemas.openxmlformats.org/officeDocument/2006/relationships/hyperlink" Id="rId236" Target="https://www.itis.gov" TargetMode="External" /><Relationship Type="http://schemas.openxmlformats.org/officeDocument/2006/relationships/hyperlink" Id="rId33" Target="https://www.iucnredlist.org" TargetMode="External" /><Relationship Type="http://schemas.openxmlformats.org/officeDocument/2006/relationships/hyperlink" Id="rId213" Target="https://www.iucnredlist.org/resources/spatial-data-download" TargetMode="External" /><Relationship Type="http://schemas.openxmlformats.org/officeDocument/2006/relationships/hyperlink" Id="rId234" Target="https://www.marinespecies.org" TargetMode="External" /><Relationship Type="http://schemas.openxmlformats.org/officeDocument/2006/relationships/hyperlink" Id="rId357" Target="https://www.rplumber.io" TargetMode="External" /><Relationship Type="http://schemas.openxmlformats.org/officeDocument/2006/relationships/hyperlink" Id="rId507" Target="https://www.rplumber.io/" TargetMode="External" /><Relationship Type="http://schemas.openxmlformats.org/officeDocument/2006/relationships/hyperlink" Id="rId21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542" Target="scores.qmd" TargetMode="External" /><Relationship Type="http://schemas.openxmlformats.org/officeDocument/2006/relationships/hyperlink" Id="rId25" Target="scoring-walkthrough.qmd" TargetMode="External" /><Relationship Type="http://schemas.openxmlformats.org/officeDocument/2006/relationships/hyperlink" Id="rId543" Target="species.qmd" TargetMode="External" /></Relationships>
</file>

<file path=word/_rels/footnotes.xml.rels><?xml version="1.0" encoding="UTF-8"?><Relationships xmlns="http://schemas.openxmlformats.org/package/2006/relationships"><Relationship Type="http://schemas.openxmlformats.org/officeDocument/2006/relationships/hyperlink" Id="rId617" Target="../apps-guide.qmd" TargetMode="External" /><Relationship Type="http://schemas.openxmlformats.org/officeDocument/2006/relationships/hyperlink" Id="rId775" Target="MarineBON.org" TargetMode="External" /><Relationship Type="http://schemas.openxmlformats.org/officeDocument/2006/relationships/hyperlink" Id="rId534" Target="apps-guide.qmd" TargetMode="External" /><Relationship Type="http://schemas.openxmlformats.org/officeDocument/2006/relationships/hyperlink" Id="rId537" Target="apps/shiny-guide.qmd" TargetMode="External" /><Relationship Type="http://schemas.openxmlformats.org/officeDocument/2006/relationships/hyperlink" Id="rId211" Target="http://datazone.birdlife.org/species/requestdis" TargetMode="External" /><Relationship Type="http://schemas.openxmlformats.org/officeDocument/2006/relationships/hyperlink" Id="rId226" Target="http://sites.science.oregonstate.edu/ocean.productivity" TargetMode="External" /><Relationship Type="http://schemas.openxmlformats.org/officeDocument/2006/relationships/hyperlink" Id="rId718" Target="https://CRAN.R-project.org/package=shiny" TargetMode="External" /><Relationship Type="http://schemas.openxmlformats.org/officeDocument/2006/relationships/hyperlink" Id="rId437" Target="https://account.squarespace.com/domains" TargetMode="External" /><Relationship Type="http://schemas.openxmlformats.org/officeDocument/2006/relationships/hyperlink" Id="rId720" Target="https://api.gbif.org/v1/occurrence/search" TargetMode="External" /><Relationship Type="http://schemas.openxmlformats.org/officeDocument/2006/relationships/hyperlink" Id="rId449" Target="https://api.marinesensitivity.org" TargetMode="External" /><Relationship Type="http://schemas.openxmlformats.org/officeDocument/2006/relationships/hyperlink" Id="rId38" Target="https://boem.gov" TargetMode="External" /><Relationship Type="http://schemas.openxmlformats.org/officeDocument/2006/relationships/hyperlink" Id="rId499" Target="https://books.ropensci.org/targets/" TargetMode="External" /><Relationship Type="http://schemas.openxmlformats.org/officeDocument/2006/relationships/hyperlink" Id="rId419" Target="https://caddyserver.com" TargetMode="External" /><Relationship Type="http://schemas.openxmlformats.org/officeDocument/2006/relationships/hyperlink" Id="rId754" Target="https://connect.fisheries.noaa.gov/content/cb3f4647-9e4f-4f3d-9edf-e7a87a1feef6/" TargetMode="External" /><Relationship Type="http://schemas.openxmlformats.org/officeDocument/2006/relationships/hyperlink" Id="rId358" Target="https://developmentseed.org/titiler/" TargetMode="External" /><Relationship Type="http://schemas.openxmlformats.org/officeDocument/2006/relationships/hyperlink" Id="rId426" Target="https://docs.aws.amazon.com/AWSEC2/latest/UserGuide/ebs-using-volumes.html" TargetMode="External" /><Relationship Type="http://schemas.openxmlformats.org/officeDocument/2006/relationships/hyperlink" Id="rId424" Target="https://docs.aws.amazon.com/AWSEC2/latest/UserGuide/set-hostname.html" TargetMode="External" /><Relationship Type="http://schemas.openxmlformats.org/officeDocument/2006/relationships/hyperlink" Id="rId433" Target="https://docs.aws.amazon.com/AWSEC2/latest/UserGuide/snapshot-ami-policy.html#create-snap-policy" TargetMode="External" /><Relationship Type="http://schemas.openxmlformats.org/officeDocument/2006/relationships/hyperlink" Id="rId438" Target="https://docs.github.com/en/pages/configuring-a-custom-domain-for-your-github-pages-site/managing-a-custom-domain-for-your-github-pages-site" TargetMode="External" /><Relationship Type="http://schemas.openxmlformats.org/officeDocument/2006/relationships/hyperlink" Id="rId739" Target="https://doi.org/10.1002/ece3.70030" TargetMode="External" /><Relationship Type="http://schemas.openxmlformats.org/officeDocument/2006/relationships/hyperlink" Id="rId724" Target="https://doi.org/10.1038/nature11397" TargetMode="External" /><Relationship Type="http://schemas.openxmlformats.org/officeDocument/2006/relationships/hyperlink" Id="rId735" Target="https://doi.org/10.1038/s41559-017-0160" TargetMode="External" /><Relationship Type="http://schemas.openxmlformats.org/officeDocument/2006/relationships/hyperlink" Id="rId737" Target="https://doi.org/10.1038/s41559-021-01432-0" TargetMode="External" /><Relationship Type="http://schemas.openxmlformats.org/officeDocument/2006/relationships/hyperlink" Id="rId771" Target="https://doi.org/10.1038/sdata.2016.18" TargetMode="External" /><Relationship Type="http://schemas.openxmlformats.org/officeDocument/2006/relationships/hyperlink" Id="rId762" Target="https://doi.org/10.1038/srep22615" TargetMode="External" /><Relationship Type="http://schemas.openxmlformats.org/officeDocument/2006/relationships/hyperlink" Id="rId722" Target="https://doi.org/10.1080/09640568.2014.973483" TargetMode="External" /><Relationship Type="http://schemas.openxmlformats.org/officeDocument/2006/relationships/hyperlink" Id="rId726" Target="https://doi.org/10.1111/j.1523-1739.2007.00752.x" TargetMode="External" /><Relationship Type="http://schemas.openxmlformats.org/officeDocument/2006/relationships/hyperlink" Id="rId716" Target="https://doi.org/10.1371/journal.pbio.0020383" TargetMode="External" /><Relationship Type="http://schemas.openxmlformats.org/officeDocument/2006/relationships/hyperlink" Id="rId714" Target="https://doi.org/10.1371/journal.pone.0000140" TargetMode="External" /><Relationship Type="http://schemas.openxmlformats.org/officeDocument/2006/relationships/hyperlink" Id="rId741" Target="https://doi.org/10.1371/journal.pone.0003700" TargetMode="External" /><Relationship Type="http://schemas.openxmlformats.org/officeDocument/2006/relationships/hyperlink" Id="rId728" Target="https://doi.org/10.1371/journal.pone.0146756" TargetMode="External" /><Relationship Type="http://schemas.openxmlformats.org/officeDocument/2006/relationships/hyperlink" Id="rId731" Target="https://doi.org/10.15468/ab3s5x" TargetMode="External" /><Relationship Type="http://schemas.openxmlformats.org/officeDocument/2006/relationships/hyperlink" Id="rId769" Target="https://doi.org/10.18785/goms.2901.06" TargetMode="External" /><Relationship Type="http://schemas.openxmlformats.org/officeDocument/2006/relationships/hyperlink" Id="rId712" Target="https://doi.org/10.25923/px0e-gh24" TargetMode="External" /><Relationship Type="http://schemas.openxmlformats.org/officeDocument/2006/relationships/hyperlink" Id="rId767" Target="https://doi.org/10.3354/esr01243" TargetMode="External" /><Relationship Type="http://schemas.openxmlformats.org/officeDocument/2006/relationships/hyperlink" Id="rId708" Target="https://doi.org/10.4319/lo.1997.42.1.0001" TargetMode="External" /><Relationship Type="http://schemas.openxmlformats.org/officeDocument/2006/relationships/hyperlink" Id="rId760" Target="https://doi.org/10.5281/zenodo.21375219" TargetMode="External" /><Relationship Type="http://schemas.openxmlformats.org/officeDocument/2006/relationships/hyperlink" Id="rId430" Target="https://drive.google.com/open?id=17B3djETDU8SVwGvJdZ3rp7TKtX8w0cfl&amp;usp=drive_fs" TargetMode="External" /><Relationship Type="http://schemas.openxmlformats.org/officeDocument/2006/relationships/hyperlink" Id="rId356" Target="https://duckdb.org" TargetMode="External" /><Relationship Type="http://schemas.openxmlformats.org/officeDocument/2006/relationships/hyperlink" Id="rId206" Target="https://ecos.fws.gov/docs/crithab/crithab_all/crithab_all_layers.zip" TargetMode="External" /><Relationship Type="http://schemas.openxmlformats.org/officeDocument/2006/relationships/hyperlink" Id="rId209" Target="https://ecos.fws.gov/docs/species/shapefiles/usfws_complete_species_current_range.zip" TargetMode="External" /><Relationship Type="http://schemas.openxmlformats.org/officeDocument/2006/relationships/hyperlink" Id="rId205" Target="https://ecos.fws.gov/ecp/report/table/critical-habitat.html" TargetMode="External" /><Relationship Type="http://schemas.openxmlformats.org/officeDocument/2006/relationships/hyperlink" Id="rId208" Target="https://ecos.fws.gov/ecp/species-reports" TargetMode="External" /><Relationship Type="http://schemas.openxmlformats.org/officeDocument/2006/relationships/hyperlink" Id="rId447" Target="https://file.marinesensitivity.org" TargetMode="External" /><Relationship Type="http://schemas.openxmlformats.org/officeDocument/2006/relationships/hyperlink" Id="rId379" Target="https://github.com/CrunchyData/pg_tileserv" TargetMode="External" /><Relationship Type="http://schemas.openxmlformats.org/officeDocument/2006/relationships/hyperlink" Id="rId359" Target="https://github.com/MarineSensitivities/msens" TargetMode="External" /><Relationship Type="http://schemas.openxmlformats.org/officeDocument/2006/relationships/hyperlink" Id="rId392" Target="https://github.com/MarineSensitivity/.github" TargetMode="External" /><Relationship Type="http://schemas.openxmlformats.org/officeDocument/2006/relationships/hyperlink" Id="rId400" Target="https://github.com/MarineSensitivity/MarineSensitivity.github.io" TargetMode="External" /><Relationship Type="http://schemas.openxmlformats.org/officeDocument/2006/relationships/hyperlink" Id="rId393" Target="https://github.com/MarineSensitivity/analytics" TargetMode="External" /><Relationship Type="http://schemas.openxmlformats.org/officeDocument/2006/relationships/hyperlink" Id="rId394" Target="https://github.com/MarineSensitivity/api" TargetMode="External" /><Relationship Type="http://schemas.openxmlformats.org/officeDocument/2006/relationships/hyperlink" Id="rId521" Target="https://github.com/MarineSensitivity/api/blob/main/plumber.R" TargetMode="External" /><Relationship Type="http://schemas.openxmlformats.org/officeDocument/2006/relationships/hyperlink" Id="rId395" Target="https://github.com/MarineSensitivity/app" TargetMode="External" /><Relationship Type="http://schemas.openxmlformats.org/officeDocument/2006/relationships/hyperlink" Id="rId396" Target="https://github.com/MarineSensitivity/apps" TargetMode="External" /><Relationship Type="http://schemas.openxmlformats.org/officeDocument/2006/relationships/hyperlink" Id="rId904" Target="https://github.com/MarineSensitivity/apps/tree/main/aoi" TargetMode="External" /><Relationship Type="http://schemas.openxmlformats.org/officeDocument/2006/relationships/hyperlink" Id="rId910" Target="https://github.com/MarineSensitivity/apps/tree/main/bird_hotspots" TargetMode="External" /><Relationship Type="http://schemas.openxmlformats.org/officeDocument/2006/relationships/hyperlink" Id="rId916" Target="https://github.com/MarineSensitivity/apps/tree/main/map" TargetMode="External" /><Relationship Type="http://schemas.openxmlformats.org/officeDocument/2006/relationships/hyperlink" Id="rId796" Target="https://github.com/MarineSensitivity/apps/tree/main/scores" TargetMode="External" /><Relationship Type="http://schemas.openxmlformats.org/officeDocument/2006/relationships/hyperlink" Id="rId927" Target="https://github.com/MarineSensitivity/apps/tree/main/sdm" TargetMode="External" /><Relationship Type="http://schemas.openxmlformats.org/officeDocument/2006/relationships/hyperlink" Id="rId933" Target="https://github.com/MarineSensitivity/apps/tree/main/sdm-cog" TargetMode="External" /><Relationship Type="http://schemas.openxmlformats.org/officeDocument/2006/relationships/hyperlink" Id="rId813" Target="https://github.com/MarineSensitivity/apps/tree/main/species" TargetMode="External" /><Relationship Type="http://schemas.openxmlformats.org/officeDocument/2006/relationships/hyperlink" Id="rId939" Target="https://github.com/MarineSensitivity/apps/tree/main/vmap" TargetMode="External" /><Relationship Type="http://schemas.openxmlformats.org/officeDocument/2006/relationships/hyperlink" Id="rId397" Target="https://github.com/MarineSensitivity/atlas" TargetMode="External" /><Relationship Type="http://schemas.openxmlformats.org/officeDocument/2006/relationships/hyperlink" Id="rId607" Target="https://github.com/MarineSensitivity/atlas/blob/main/docs/accessibility.md" TargetMode="External" /><Relationship Type="http://schemas.openxmlformats.org/officeDocument/2006/relationships/hyperlink" Id="rId608" Target="https://github.com/MarineSensitivity/atlas/blob/main/docs/performance.md" TargetMode="External" /><Relationship Type="http://schemas.openxmlformats.org/officeDocument/2006/relationships/hyperlink" Id="rId398" Target="https://github.com/MarineSensitivity/docs" TargetMode="External" /><Relationship Type="http://schemas.openxmlformats.org/officeDocument/2006/relationships/hyperlink" Id="rId399" Target="https://github.com/MarineSensitivity/manuscripts" TargetMode="External" /><Relationship Type="http://schemas.openxmlformats.org/officeDocument/2006/relationships/hyperlink" Id="rId401" Target="https://github.com/MarineSensitivity/msens" TargetMode="External" /><Relationship Type="http://schemas.openxmlformats.org/officeDocument/2006/relationships/hyperlink" Id="rId402" Target="https://github.com/MarineSensitivity/objectives" TargetMode="External" /><Relationship Type="http://schemas.openxmlformats.org/officeDocument/2006/relationships/hyperlink" Id="rId403" Target="https://github.com/MarineSensitivity/server" TargetMode="External" /><Relationship Type="http://schemas.openxmlformats.org/officeDocument/2006/relationships/hyperlink" Id="rId440" Target="https://github.com/MarineSensitivity/server/blob/main/caddy/Caddyfile" TargetMode="External" /><Relationship Type="http://schemas.openxmlformats.org/officeDocument/2006/relationships/hyperlink" Id="rId418" Target="https://github.com/MarineSensitivity/server/blob/main/docker-compose.yml" TargetMode="External" /><Relationship Type="http://schemas.openxmlformats.org/officeDocument/2006/relationships/hyperlink" Id="rId511" Target="https://github.com/MarineSensitivity/server/blob/main/titiler/factory.py" TargetMode="External" /><Relationship Type="http://schemas.openxmlformats.org/officeDocument/2006/relationships/hyperlink" Id="rId420" Target="https://github.com/MarineSensitivity/server/wiki/Server-Setup" TargetMode="External" /><Relationship Type="http://schemas.openxmlformats.org/officeDocument/2006/relationships/hyperlink" Id="rId404" Target="https://github.com/MarineSensitivity/stac-sdm" TargetMode="External" /><Relationship Type="http://schemas.openxmlformats.org/officeDocument/2006/relationships/hyperlink" Id="rId405" Target="https://github.com/MarineSensitivity/workflows" TargetMode="External" /><Relationship Type="http://schemas.openxmlformats.org/officeDocument/2006/relationships/hyperlink" Id="rId756" Target="https://github.com/iobis/mpaeu_sdm" TargetMode="External" /><Relationship Type="http://schemas.openxmlformats.org/officeDocument/2006/relationships/hyperlink" Id="rId374" Target="https://github.com/mapbox/tippecanoe" TargetMode="External" /><Relationship Type="http://schemas.openxmlformats.org/officeDocument/2006/relationships/hyperlink" Id="rId368" Target="https://guide.cloudnativegeo.org/" TargetMode="External" /><Relationship Type="http://schemas.openxmlformats.org/officeDocument/2006/relationships/hyperlink" Id="rId414"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415"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702" Target="https://marinesensitivity.org/faq/" TargetMode="External" /><Relationship Type="http://schemas.openxmlformats.org/officeDocument/2006/relationships/hyperlink" Id="rId416" Target="https://marinesensitivity.org/msens" TargetMode="External" /><Relationship Type="http://schemas.openxmlformats.org/officeDocument/2006/relationships/hyperlink" Id="rId513" Target="https://marinesensitivity.org/msens/reference/cell_stats.html" TargetMode="External" /><Relationship Type="http://schemas.openxmlformats.org/officeDocument/2006/relationships/hyperlink" Id="rId512" Target="https://marinesensitivity.org/msens/reference/cell_tile_url.html" TargetMode="External" /><Relationship Type="http://schemas.openxmlformats.org/officeDocument/2006/relationships/hyperlink" Id="rId346" Target="https://marinesensitivity.org/workflows/" TargetMode="External" /><Relationship Type="http://schemas.openxmlformats.org/officeDocument/2006/relationships/hyperlink" Id="rId163" Target="https://marinesensitivity.org/workflows/build_v7c.html" TargetMode="External" /><Relationship Type="http://schemas.openxmlformats.org/officeDocument/2006/relationships/hyperlink" Id="rId162" Target="https://marinesensitivity.org/workflows/build_v7c_exclusions.html" TargetMode="External" /><Relationship Type="http://schemas.openxmlformats.org/officeDocument/2006/relationships/hyperlink" Id="rId161" Target="https://marinesensitivity.org/workflows/build_v7c_exclusions.html#interactive-map" TargetMode="External" /><Relationship Type="http://schemas.openxmlformats.org/officeDocument/2006/relationships/hyperlink" Id="rId164" Target="https://marinesensitivity.org/workflows/explore_turtle-alaska-encounter.html" TargetMode="External" /><Relationship Type="http://schemas.openxmlformats.org/officeDocument/2006/relationships/hyperlink" Id="rId710" Target="https://media.fisheries.noaa.gov/dam-migration/nbr_update_3.pdf" TargetMode="External" /><Relationship Type="http://schemas.openxmlformats.org/officeDocument/2006/relationships/hyperlink" Id="rId429" Target="https://medium.com/@srijaanaparthy/step-by-step-guide-to-install-docker-on-ubuntu-in-aws-a39746e5a63d" TargetMode="External" /><Relationship Type="http://schemas.openxmlformats.org/officeDocument/2006/relationships/hyperlink" Id="rId202" Target="https://noaa.maps.arcgis.com/home/item.html?id=f66c1e33f91d480db7d1b1c1336223c3" TargetMode="External" /><Relationship Type="http://schemas.openxmlformats.org/officeDocument/2006/relationships/hyperlink" Id="rId746" Target="https://noaa.maps.arcgis.com/home/search.html?searchTerm=turtle+dps" TargetMode="External" /><Relationship Type="http://schemas.openxmlformats.org/officeDocument/2006/relationships/hyperlink" Id="rId758" Target="https://obis.org/data/access/" TargetMode="External" /><Relationship Type="http://schemas.openxmlformats.org/officeDocument/2006/relationships/hyperlink" Id="rId458" Target="https://posit.co/products/open-source/rstudio-server/" TargetMode="External" /><Relationship Type="http://schemas.openxmlformats.org/officeDocument/2006/relationships/hyperlink" Id="rId112" Target="https://preview.marinesensitivity.org/docs/v7c/" TargetMode="External" /><Relationship Type="http://schemas.openxmlformats.org/officeDocument/2006/relationships/hyperlink" Id="rId24" Target="https://preview.marinesensitivity.org/v7c/atlas/" TargetMode="External" /><Relationship Type="http://schemas.openxmlformats.org/officeDocument/2006/relationships/hyperlink" Id="rId21" Target="https://preview.marinesensitivity.org/v7c/atlas/?lens=scores" TargetMode="External" /><Relationship Type="http://schemas.openxmlformats.org/officeDocument/2006/relationships/hyperlink" Id="rId22" Target="https://preview.marinesensitivity.org/v7c/atlas/?lens=species" TargetMode="External" /><Relationship Type="http://schemas.openxmlformats.org/officeDocument/2006/relationships/hyperlink" Id="rId677" Target="https://preview.marinesensitivity.org/v7c/atlas/?lens=species&amp;sp=54247" TargetMode="External" /><Relationship Type="http://schemas.openxmlformats.org/officeDocument/2006/relationships/hyperlink" Id="rId683" Target="https://preview.marinesensitivity.org/v7c/atlas/?lens=species&amp;sp=54247&amp;ui=4.l.l.380.h.n" TargetMode="External" /><Relationship Type="http://schemas.openxmlformats.org/officeDocument/2006/relationships/hyperlink" Id="rId23" Target="https://preview.marinesensitivity.org/v7c/atlas/?tool=report" TargetMode="External" /><Relationship Type="http://schemas.openxmlformats.org/officeDocument/2006/relationships/hyperlink" Id="rId653" Target="https://preview.marinesensitivity.org/v7c/atlas/?ui=4.d.l.380.h.n" TargetMode="External" /><Relationship Type="http://schemas.openxmlformats.org/officeDocument/2006/relationships/hyperlink" Id="rId642" Target="https://preview.marinesensitivity.org/v7c/atlas/?ui=4.l.l.380.h.n" TargetMode="External" /><Relationship Type="http://schemas.openxmlformats.org/officeDocument/2006/relationships/hyperlink" Id="rId665" Target="https://preview.marinesensitivity.org/v7c/atlas/?ui=4.r.l.380.h.n" TargetMode="External" /><Relationship Type="http://schemas.openxmlformats.org/officeDocument/2006/relationships/hyperlink" Id="rId659" Target="https://preview.marinesensitivity.org/v7c/atlas/?ui=4.t.l.380.h.n" TargetMode="External" /><Relationship Type="http://schemas.openxmlformats.org/officeDocument/2006/relationships/hyperlink" Id="rId360" Target="https://protomaps.com/docs/pmtiles/" TargetMode="External" /><Relationship Type="http://schemas.openxmlformats.org/officeDocument/2006/relationships/hyperlink" Id="rId498" Target="https://quarto.org" TargetMode="External" /><Relationship Type="http://schemas.openxmlformats.org/officeDocument/2006/relationships/hyperlink" Id="rId195" Target="https://raquamaps.github.io/aquamapsdata" TargetMode="External" /><Relationship Type="http://schemas.openxmlformats.org/officeDocument/2006/relationships/hyperlink" Id="rId196" Target="https://raquamaps.github.io/aquamapsdata/articles/intro.html#data-scope-and-content-1" TargetMode="External" /><Relationship Type="http://schemas.openxmlformats.org/officeDocument/2006/relationships/hyperlink" Id="rId367" Target="https://rstudio.github.io/leaflet/articles/raster.html#large-raster-warning" TargetMode="External" /><Relationship Type="http://schemas.openxmlformats.org/officeDocument/2006/relationships/hyperlink" Id="rId454" Target="https://rstudio.marinesensitivity.org" TargetMode="External" /><Relationship Type="http://schemas.openxmlformats.org/officeDocument/2006/relationships/hyperlink" Id="rId442" Target="https://shiny.marinesensitivity.org" TargetMode="External" /><Relationship Type="http://schemas.openxmlformats.org/officeDocument/2006/relationships/hyperlink" Id="rId903" Target="https://shiny.marinesensitivity.org/aoi/" TargetMode="External" /><Relationship Type="http://schemas.openxmlformats.org/officeDocument/2006/relationships/hyperlink" Id="rId909" Target="https://shiny.marinesensitivity.org/bird_hotspots/" TargetMode="External" /><Relationship Type="http://schemas.openxmlformats.org/officeDocument/2006/relationships/hyperlink" Id="rId915" Target="https://shiny.marinesensitivity.org/map/" TargetMode="External" /><Relationship Type="http://schemas.openxmlformats.org/officeDocument/2006/relationships/hyperlink" Id="rId921" Target="https://shiny.marinesensitivity.org/scores/" TargetMode="External" /><Relationship Type="http://schemas.openxmlformats.org/officeDocument/2006/relationships/hyperlink" Id="rId932" Target="https://shiny.marinesensitivity.org/sdm-cog/" TargetMode="External" /><Relationship Type="http://schemas.openxmlformats.org/officeDocument/2006/relationships/hyperlink" Id="rId926" Target="https://shiny.marinesensitivity.org/sdm/" TargetMode="External" /><Relationship Type="http://schemas.openxmlformats.org/officeDocument/2006/relationships/hyperlink" Id="rId938" Target="https://shiny.marinesensitivity.org/vmap/" TargetMode="External" /><Relationship Type="http://schemas.openxmlformats.org/officeDocument/2006/relationships/hyperlink" Id="rId365" Target="https://shiny.posit.co" TargetMode="External" /><Relationship Type="http://schemas.openxmlformats.org/officeDocument/2006/relationships/hyperlink" Id="rId446" Target="https://shiny.posit.co/" TargetMode="External" /><Relationship Type="http://schemas.openxmlformats.org/officeDocument/2006/relationships/hyperlink" Id="rId526" Target="https://stacspec.org" TargetMode="External" /><Relationship Type="http://schemas.openxmlformats.org/officeDocument/2006/relationships/hyperlink" Id="rId448" Target="https://titiler.marinesensitivity.org" TargetMode="External" /><Relationship Type="http://schemas.openxmlformats.org/officeDocument/2006/relationships/hyperlink" Id="rId421" Target="https://us-east-1.console.aws.amazon.com/ec2/home?region=us-east-1#Addresses:" TargetMode="External" /><Relationship Type="http://schemas.openxmlformats.org/officeDocument/2006/relationships/hyperlink" Id="rId515" Target="https://varnish-cache.org" TargetMode="External" /><Relationship Type="http://schemas.openxmlformats.org/officeDocument/2006/relationships/hyperlink" Id="rId765" Target="https://wdfw.wa.gov/publications/01870" TargetMode="External" /><Relationship Type="http://schemas.openxmlformats.org/officeDocument/2006/relationships/hyperlink" Id="rId752" Target="https://webarchive.library.unt.edu/web/20130214220527/http:/sero.nmfs.noaa.gov/media/pdfs/2006/News%20Release2_28_06.pdf"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743" Target="https://www.boem.gov/sites/default/files/environmental-stewardship/Environmental-Studies/Pacific-Region/Studies/BOEM-2018-031-Vol1.pdf" TargetMode="External" /><Relationship Type="http://schemas.openxmlformats.org/officeDocument/2006/relationships/hyperlink" Id="rId417" Target="https://www.docker.com/" TargetMode="External" /><Relationship Type="http://schemas.openxmlformats.org/officeDocument/2006/relationships/hyperlink" Id="rId34" Target="https://www.fisheries.noaa.gov" TargetMode="External" /><Relationship Type="http://schemas.openxmlformats.org/officeDocument/2006/relationships/hyperlink" Id="rId748" Target="https://www.fisheries.noaa.gov/feature-story/sea-turtles-alaska-yes-we-have-them-far-north" TargetMode="External" /><Relationship Type="http://schemas.openxmlformats.org/officeDocument/2006/relationships/hyperlink" Id="rId203" Target="https://www.fisheries.noaa.gov/inport/item/65207" TargetMode="External" /><Relationship Type="http://schemas.openxmlformats.org/officeDocument/2006/relationships/hyperlink" Id="rId750" Target="https://www.fisheries.noaa.gov/resource/data/hawaii-shallow-set-longline-fishery-quarterly-and-annual-status-report-2025" TargetMode="External" /><Relationship Type="http://schemas.openxmlformats.org/officeDocument/2006/relationships/hyperlink" Id="rId201" Target="https://www.fisheries.noaa.gov/resource/map/national-esa-critical-habitat-mapper" TargetMode="External" /><Relationship Type="http://schemas.openxmlformats.org/officeDocument/2006/relationships/hyperlink" Id="rId199" Target="https://www.fisheries.noaa.gov/s3/2021-09/shapefile_Rices_whale_core_distribution_area_Jun19_SERO.zip" TargetMode="External" /><Relationship Type="http://schemas.openxmlformats.org/officeDocument/2006/relationships/hyperlink" Id="rId198" Target="https://www.fisheries.noaa.gov/species/rices-whale" TargetMode="External" /><Relationship Type="http://schemas.openxmlformats.org/officeDocument/2006/relationships/hyperlink" Id="rId25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253" Target="https://www.fws.gov/law/endangered-species-act" TargetMode="External" /><Relationship Type="http://schemas.openxmlformats.org/officeDocument/2006/relationships/hyperlink" Id="rId257" Target="https://www.fws.gov/law/migratory-bird-treaty-act-1918" TargetMode="External" /><Relationship Type="http://schemas.openxmlformats.org/officeDocument/2006/relationships/hyperlink" Id="rId235" Target="https://www.gbif.org" TargetMode="External" /><Relationship Type="http://schemas.openxmlformats.org/officeDocument/2006/relationships/hyperlink" Id="rId236" Target="https://www.itis.gov" TargetMode="External" /><Relationship Type="http://schemas.openxmlformats.org/officeDocument/2006/relationships/hyperlink" Id="rId33" Target="https://www.iucnredlist.org" TargetMode="External" /><Relationship Type="http://schemas.openxmlformats.org/officeDocument/2006/relationships/hyperlink" Id="rId213" Target="https://www.iucnredlist.org/resources/spatial-data-download" TargetMode="External" /><Relationship Type="http://schemas.openxmlformats.org/officeDocument/2006/relationships/hyperlink" Id="rId234" Target="https://www.marinespecies.org" TargetMode="External" /><Relationship Type="http://schemas.openxmlformats.org/officeDocument/2006/relationships/hyperlink" Id="rId357" Target="https://www.rplumber.io" TargetMode="External" /><Relationship Type="http://schemas.openxmlformats.org/officeDocument/2006/relationships/hyperlink" Id="rId507" Target="https://www.rplumber.io/" TargetMode="External" /><Relationship Type="http://schemas.openxmlformats.org/officeDocument/2006/relationships/hyperlink" Id="rId21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542" Target="scores.qmd" TargetMode="External" /><Relationship Type="http://schemas.openxmlformats.org/officeDocument/2006/relationships/hyperlink" Id="rId25" Target="scoring-walkthrough.qmd" TargetMode="External" /><Relationship Type="http://schemas.openxmlformats.org/officeDocument/2006/relationships/hyperlink" Id="rId543"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2026-10-16T12:27:47Z</dcterms:created>
  <dcterms:modified xsi:type="dcterms:W3CDTF">2026-10-16T12:27:47Z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2026-10-16</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