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3.png" ContentType="image/png"/>
  <Override PartName="/word/media/rId112.png" ContentType="image/png"/>
  <Override PartName="/word/media/rId52.png" ContentType="image/png"/>
  <Override PartName="/word/media/rId414.png" ContentType="image/png"/>
  <Override PartName="/word/media/rId450.png" ContentType="image/png"/>
  <Override PartName="/word/media/rId474.png" ContentType="image/png"/>
  <Override PartName="/word/media/rId479.png" ContentType="image/png"/>
  <Override PartName="/word/media/rId484.png" ContentType="image/png"/>
  <Override PartName="/word/media/rId489.png" ContentType="image/png"/>
  <Override PartName="/word/media/rId494.png" ContentType="image/png"/>
  <Override PartName="/word/media/rId499.png" ContentType="image/png"/>
  <Override PartName="/word/media/rId504.png" ContentType="image/png"/>
  <Override PartName="/word/media/rId509.png" ContentType="image/png"/>
  <Override PartName="/word/media/rId514.png" ContentType="image/png"/>
  <Override PartName="/word/media/rId519.png" ContentType="image/png"/>
  <Override PartName="/word/media/rId524.png" ContentType="image/png"/>
  <Override PartName="/word/media/rId530.png" ContentType="image/png"/>
  <Override PartName="/word/media/rId535.png" ContentType="image/png"/>
  <Override PartName="/word/media/rId540.png" ContentType="image/png"/>
  <Override PartName="/word/media/rId545.png" ContentType="image/png"/>
  <Override PartName="/word/media/rId550.png" ContentType="image/png"/>
  <Override PartName="/word/media/rId723.png" ContentType="image/png"/>
  <Override PartName="/word/media/rId729.png" ContentType="image/png"/>
  <Override PartName="/word/media/rId735.png" ContentType="image/png"/>
  <Override PartName="/word/media/rId691.png" ContentType="image/png"/>
  <Override PartName="/word/media/rId687.png" ContentType="image/png"/>
  <Override PartName="/word/media/rId740.png" ContentType="image/png"/>
  <Override PartName="/word/media/rId752.png" ContentType="image/png"/>
  <Override PartName="/word/media/rId746.png" ContentType="image/png"/>
  <Override PartName="/word/media/rId707.png" ContentType="image/png"/>
  <Override PartName="/word/media/rId758.png" ContentType="image/png"/>
  <Override PartName="/word/media/rId266.png" ContentType="image/png"/>
  <Override PartName="/word/media/rId288.png" ContentType="image/png"/>
  <Override PartName="/word/media/rId334.png" ContentType="image/png"/>
  <Override PartName="/word/media/rId121.png" ContentType="image/png"/>
  <Override PartName="/word/media/rId16.svg" ContentType="image/svg+xml"/>
  <Override PartName="/word/media/rId377.png" ContentType="image/png"/>
  <Override PartName="/word/media/rId382.png" ContentType="image/png"/>
  <Override PartName="/word/media/rId370.png" ContentType="image/png"/>
  <Override PartName="/word/media/rId271.png" ContentType="image/png"/>
  <Override PartName="/word/media/rId275.png" ContentType="image/png"/>
  <Override PartName="/word/media/rId166.jpg" ContentType="image/jpeg"/>
  <Override PartName="/word/media/rId638.png" ContentType="image/png"/>
  <Override PartName="/word/media/rId654.png" ContentType="image/png"/>
  <Override PartName="/word/media/rId624.png" ContentType="image/png"/>
  <Override PartName="/word/media/rId609.png" ContentType="image/png"/>
  <Override PartName="/word/media/rId634.png" ContentType="image/png"/>
  <Override PartName="/word/media/rId667.png" ContentType="image/png"/>
  <Override PartName="/word/media/rId663.png" ContentType="image/png"/>
  <Override PartName="/word/media/rId645.png" ContentType="image/png"/>
  <Override PartName="/word/media/rId649.png" ContentType="image/png"/>
  <Override PartName="/word/media/rId629.png" ContentType="image/png"/>
  <Override PartName="/word/media/rId658.png" ContentType="image/png"/>
  <Override PartName="/word/media/rId676.png" ContentType="image/png"/>
  <Override PartName="/word/media/rId613.png" ContentType="image/png"/>
  <Override PartName="/word/media/rId617.png" ContentType="image/png"/>
  <Override PartName="/word/media/rId9.svg" ContentType="image/svg+xml"/>
  <Override PartName="/word/media/rId39.png" ContentType="image/png"/>
  <Override PartName="/word/media/rId12.png" ContentType="image/png"/>
  <Override PartName="/word/media/rId19.png" ContentType="image/png"/>
  <Override PartName="/word/media/rId45.png" ContentType="image/png"/>
  <Override PartName="/word/media/rId219.png" ContentType="image/png"/>
  <Override PartName="/word/media/rId308.png" ContentType="image/png"/>
  <Override PartName="/word/media/rId300.png" ContentType="image/png"/>
  <Override PartName="/word/media/rId325.png" ContentType="image/png"/>
  <Override PartName="/word/media/rId320.png" ContentType="image/png"/>
  <Override PartName="/word/media/rId3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16,153 species distribution models with extinction risk assessments across US waters (9,230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4"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FirstParagraph"/>
      </w:pPr>
      <w:r>
        <w:t xml:space="preserve">Both render</w:t>
      </w:r>
      <w:r>
        <w:t xml:space="preserve"> </w:t>
      </w:r>
      <w:r>
        <w:rPr>
          <w:b/>
          <w:bCs/>
        </w:rPr>
        <w:t xml:space="preserve">any published release</w:t>
      </w:r>
      <w:r>
        <w:t xml:space="preserve">: substitute the version in the URL path (e.g. </w:t>
      </w:r>
      <w:r>
        <w:rPr>
          <w:rStyle w:val="VerbatimChar"/>
        </w:rPr>
        <w:t xml:space="preserve">/v3/scores/</w:t>
      </w:r>
      <w:r>
        <w:t xml:space="preserve">) to view that one; an older</w:t>
      </w:r>
      <w:r>
        <w:t xml:space="preserve"> </w:t>
      </w:r>
      <w:r>
        <w:rPr>
          <w:rStyle w:val="VerbatimChar"/>
        </w:rPr>
        <w:t xml:space="preserve">?ver=v3</w:t>
      </w:r>
      <w:r>
        <w:t xml:space="preserve"> </w:t>
      </w:r>
      <w:r>
        <w:t xml:space="preserve">link still resolves, 301’d to the equivalent path.</w:t>
      </w:r>
    </w:p>
    <w:p>
      <w:pPr>
        <w:pStyle w:val="Compact"/>
        <w:numPr>
          <w:ilvl w:val="0"/>
          <w:numId w:val="1002"/>
        </w:numPr>
      </w:pPr>
      <w:hyperlink r:id="rId23">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4"/>
    <w:bookmarkStart w:id="25"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5"/>
    <w:bookmarkStart w:id="27"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6">
        <w:r>
          <w:rPr>
            <w:rStyle w:val="Hyperlink"/>
          </w:rPr>
          <w:t xml:space="preserve">https://marinesensitivity.org/docs/</w:t>
        </w:r>
      </w:hyperlink>
    </w:p>
    <w:bookmarkEnd w:id="27"/>
    <w:bookmarkStart w:id="34" w:name="acknowledgments"/>
    <w:p>
      <w:pPr>
        <w:pStyle w:val="Heading3"/>
      </w:pPr>
      <w:r>
        <w:t xml:space="preserve">Acknowledgments</w:t>
      </w:r>
    </w:p>
    <w:p>
      <w:pPr>
        <w:pStyle w:val="FirstParagraph"/>
      </w:pPr>
      <w:r>
        <w:t xml:space="preserve">This work is funded by the</w:t>
      </w:r>
      <w:r>
        <w:t xml:space="preserve"> </w:t>
      </w:r>
      <w:hyperlink r:id="rId28">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29">
        <w:r>
          <w:rPr>
            <w:rStyle w:val="Hyperlink"/>
          </w:rPr>
          <w:t xml:space="preserve">AquaMaps</w:t>
        </w:r>
      </w:hyperlink>
      <w:r>
        <w:t xml:space="preserve">,</w:t>
      </w:r>
      <w:r>
        <w:t xml:space="preserve"> </w:t>
      </w:r>
      <w:hyperlink r:id="rId30">
        <w:r>
          <w:rPr>
            <w:rStyle w:val="Hyperlink"/>
          </w:rPr>
          <w:t xml:space="preserve">BirdLife International</w:t>
        </w:r>
      </w:hyperlink>
      <w:r>
        <w:t xml:space="preserve">,</w:t>
      </w:r>
      <w:r>
        <w:t xml:space="preserve"> </w:t>
      </w:r>
      <w:hyperlink r:id="rId31">
        <w:r>
          <w:rPr>
            <w:rStyle w:val="Hyperlink"/>
          </w:rPr>
          <w:t xml:space="preserve">IUCN Red List</w:t>
        </w:r>
      </w:hyperlink>
      <w:r>
        <w:t xml:space="preserve">,</w:t>
      </w:r>
      <w:r>
        <w:t xml:space="preserve"> </w:t>
      </w:r>
      <w:hyperlink r:id="rId32">
        <w:r>
          <w:rPr>
            <w:rStyle w:val="Hyperlink"/>
          </w:rPr>
          <w:t xml:space="preserve">NOAA Fisheries</w:t>
        </w:r>
      </w:hyperlink>
      <w:r>
        <w:t xml:space="preserve">, and</w:t>
      </w:r>
      <w:r>
        <w:t xml:space="preserve"> </w:t>
      </w:r>
      <w:hyperlink r:id="rId33">
        <w:r>
          <w:rPr>
            <w:rStyle w:val="Hyperlink"/>
          </w:rPr>
          <w:t xml:space="preserve">U.S. Fish &amp; Wildlife Service</w:t>
        </w:r>
      </w:hyperlink>
      <w:r>
        <w:t xml:space="preserve">.</w:t>
      </w:r>
    </w:p>
    <w:bookmarkEnd w:id="34"/>
    <w:bookmarkEnd w:id="35"/>
    <w:bookmarkStart w:id="48"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6">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v7b</w:t>
      </w:r>
      <w:r>
        <w:t xml:space="preserve">, which integrates</w:t>
      </w:r>
      <w:r>
        <w:t xml:space="preserve"> </w:t>
      </w:r>
      <w:r>
        <w:rPr>
          <w:b/>
          <w:bCs/>
        </w:rPr>
        <w:t xml:space="preserve">16,153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9,230</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7">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38">
        <w:r>
          <w:rPr>
            <w:rStyle w:val="Hyperlink"/>
          </w:rPr>
          <w:t xml:space="preserve">Executive Order 14303</w:t>
        </w:r>
      </w:hyperlink>
      <w:r>
        <w:t xml:space="preserve">, we aim to provide a transparent and reproducible process that can be regularly updated as new data and methods become available.</w:t>
      </w:r>
    </w:p>
    <w:bookmarkStart w:id="47"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2" w:name="fig-process"/>
          <w:p>
            <w:pPr>
              <w:jc w:val="center"/>
            </w:pPr>
            <w:r>
              <w:drawing>
                <wp:inline>
                  <wp:extent cx="5334000" cy="1315720"/>
                  <wp:effectExtent b="0" l="0" r="0" t="0"/>
                  <wp:docPr descr="" title="" id="40" name="Picture"/>
                  <a:graphic>
                    <a:graphicData uri="http://schemas.openxmlformats.org/drawingml/2006/picture">
                      <pic:pic>
                        <pic:nvPicPr>
                          <pic:cNvPr descr="intro_files/figure-docx/mermaid-figure-2.png" id="41" name="Picture"/>
                          <pic:cNvPicPr>
                            <a:picLocks noChangeArrowheads="1" noChangeAspect="1"/>
                          </pic:cNvPicPr>
                        </pic:nvPicPr>
                        <pic:blipFill>
                          <a:blip r:embed="rId39"/>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2"/>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6" w:name="fig-overview"/>
          <w:p>
            <w:pPr>
              <w:pStyle w:val="Compact"/>
              <w:jc w:val="center"/>
            </w:pPr>
            <w:r>
              <w:drawing>
                <wp:inline>
                  <wp:extent cx="5334000" cy="3030681"/>
                  <wp:effectExtent b="0" l="0" r="0" t="0"/>
                  <wp:docPr descr="" title="" id="43" name="Picture"/>
                  <a:graphic>
                    <a:graphicData uri="http://schemas.openxmlformats.org/drawingml/2006/picture">
                      <pic:pic>
                        <pic:nvPicPr>
                          <pic:cNvPr descr="figures/overview-methods.svg" id="44" name="Picture"/>
                          <pic:cNvPicPr>
                            <a:picLocks noChangeArrowheads="1" noChangeAspect="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6"/>
        </w:tc>
      </w:tr>
    </w:tbl>
    <w:bookmarkEnd w:id="47"/>
    <w:bookmarkEnd w:id="48"/>
    <w:bookmarkStart w:id="87"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v7b</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v7b — v7.1: turtle core habitat + coverage floor</w:t>
            </w:r>
          </w:p>
        </w:tc>
      </w:tr>
      <w:tr>
        <w:trPr>
          <w:cantSplit/>
        </w:trPr>
        <w:tc>
          <w:tcPr>
            <w:tcMar>
              <w:top w:w="108" w:type="dxa"/>
              <w:bottom w:w="108" w:type="dxa"/>
            </w:tcMar>
          </w:tcPr>
          <w:p>
            <w:pPr>
              <w:pStyle w:val="BodyText"/>
            </w:pPr>
            <w:pPr>
              <w:spacing w:before="16"/>
            </w:pPr>
            <w:r>
              <w:t xml:space="preserve">Released 2026-09-20. This is a</w:t>
            </w:r>
            <w:r>
              <w:t xml:space="preserve"> </w:t>
            </w:r>
            <w:r>
              <w:rPr>
                <w:b/>
                <w:bCs/>
              </w:rPr>
              <w:t xml:space="preserve">pre-release</w:t>
            </w:r>
            <w:r>
              <w:t xml:space="preserve">.</w:t>
            </w:r>
          </w:p>
          <w:p>
            <w:pPr>
              <w:pStyle w:val="BodyText"/>
            </w:pPr>
            <w:pPr>
              <w:spacing w:after="16"/>
            </w:pPr>
            <w:r>
              <w:t xml:space="preserve">A pre-release is reachable only by naming it explicitly; it is never what a reader gets by default.</w:t>
            </w:r>
          </w:p>
          <w:p/>
        </w:tc>
      </w:tr>
    </w:tbl>
    <w:bookmarkStart w:id="56"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1"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rPr>
                      <w:b/>
                      <w:bCs/>
                    </w:rP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1"/>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5"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5"/>
          <w:p/>
        </w:tc>
      </w:tr>
    </w:tbl>
    <w:bookmarkEnd w:id="56"/>
    <w:bookmarkStart w:id="83"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warning.png" id="58"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3"/>
    <w:bookmarkStart w:id="86"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w:t>
      </w:r>
      <w:r>
        <w:t xml:space="preserve"> </w:t>
      </w:r>
      <w:hyperlink r:id="rId84">
        <w:r>
          <w:rPr>
            <w:rStyle w:val="VerbatimChar"/>
          </w:rPr>
          <w:t xml:space="preserve">/v3/scores/</w:t>
        </w:r>
      </w:hyperlink>
      <w:r>
        <w:t xml:space="preserve"> </w:t>
      </w:r>
      <w:r>
        <w:t xml:space="preserve">and</w:t>
      </w:r>
      <w:r>
        <w:t xml:space="preserve"> </w:t>
      </w:r>
      <w:hyperlink r:id="rId85">
        <w:r>
          <w:rPr>
            <w:rStyle w:val="VerbatimChar"/>
          </w:rPr>
          <w:t xml:space="preserve">/v3/species/</w:t>
        </w:r>
      </w:hyperlink>
      <w:r>
        <w:t xml:space="preserve">, substituting any published version in the path. The per-version application forks are retired; their old URLs 301 to the equivalent path, so links printed in earlier reports — including an older</w:t>
      </w:r>
      <w:r>
        <w:t xml:space="preserve"> </w:t>
      </w:r>
      <w:r>
        <w:rPr>
          <w:rStyle w:val="VerbatimChar"/>
        </w:rPr>
        <w:t xml:space="preserve">?ver=v3</w:t>
      </w:r>
      <w:r>
        <w:t xml:space="preserve"> </w:t>
      </w:r>
      <w:r>
        <w:t xml:space="preserve">deep link —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6"/>
    <w:bookmarkEnd w:id="87"/>
    <w:bookmarkStart w:id="108"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note.png" id="8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3"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0"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0"/>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1"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1"/>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2"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2"/>
    <w:bookmarkEnd w:id="93"/>
    <w:bookmarkStart w:id="94"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4"/>
    <w:bookmarkStart w:id="97"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5"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5"/>
    <w:bookmarkStart w:id="96"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6"/>
    <w:bookmarkEnd w:id="97"/>
    <w:bookmarkStart w:id="98"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8"/>
    <w:bookmarkStart w:id="102"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2"/>
    <w:bookmarkStart w:id="105"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note.png" id="10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5"/>
    <w:bookmarkStart w:id="106"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6"/>
    <w:bookmarkStart w:id="107"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7"/>
    <w:bookmarkEnd w:id="108"/>
    <w:bookmarkStart w:id="111"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1"/>
    <w:bookmarkStart w:id="127"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tip.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3">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6"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5"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5"/>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6"/>
    <w:bookmarkStart w:id="118"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7"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7"/>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8"/>
    <w:bookmarkStart w:id="119"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16,153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19"/>
    <w:bookmarkStart w:id="126"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0"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0"/>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5"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4" w:name="fig-map-ecoregions-science"/>
          <w:p>
            <w:pPr>
              <w:pStyle w:val="Compact"/>
              <w:jc w:val="center"/>
            </w:pPr>
            <w:r>
              <w:drawing>
                <wp:inline>
                  <wp:extent cx="5334000" cy="3182620"/>
                  <wp:effectExtent b="0" l="0" r="0" t="0"/>
                  <wp:docPr descr="" title="" id="122" name="Picture"/>
                  <a:graphic>
                    <a:graphicData uri="http://schemas.openxmlformats.org/drawingml/2006/picture">
                      <pic:pic>
                        <pic:nvPicPr>
                          <pic:cNvPr descr="figures/map-ecoregions-static.png" id="123" name="Picture"/>
                          <pic:cNvPicPr>
                            <a:picLocks noChangeArrowheads="1" noChangeAspect="1"/>
                          </pic:cNvPicPr>
                        </pic:nvPicPr>
                        <pic:blipFill>
                          <a:blip r:embed="rId121"/>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4"/>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5"/>
    <w:bookmarkEnd w:id="126"/>
    <w:bookmarkEnd w:id="127"/>
    <w:bookmarkStart w:id="171"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note.png" id="12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v7b</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3"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0" w:name="tbl-datasets"/>
          <w:p>
            <w:pPr>
              <w:jc w:val="center"/>
            </w:pPr>
            <w:pPr>
              <w:jc w:val="left"/>
              <w:spacing w:before="200"/>
              <w:pStyle w:val="ImageCaption"/>
            </w:pPr>
            <w:r>
              <w:t xml:space="preserve">Table 6.1: Source datasets in v7b,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42"/>
              <w:gridCol w:w="1742"/>
              <w:gridCol w:w="2930"/>
              <w:gridCol w:w="475"/>
              <w:gridCol w:w="554"/>
              <w:gridCol w:w="475"/>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15,665</w:t>
                  </w:r>
                </w:p>
              </w:tc>
              <w:tc>
                <w:tcPr/>
                <w:p>
                  <w:pPr>
                    <w:pStyle w:val="Compact"/>
                    <w:jc w:val="right"/>
                    <w:jc w:val="center"/>
                  </w:pPr>
                  <w:r>
                    <w:t xml:space="preserve">97.0%</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0.2%</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21</w:t>
                  </w:r>
                </w:p>
              </w:tc>
              <w:tc>
                <w:tcPr/>
                <w:p>
                  <w:pPr>
                    <w:pStyle w:val="Compact"/>
                    <w:jc w:val="right"/>
                    <w:jc w:val="center"/>
                  </w:pPr>
                  <w:r>
                    <w:t xml:space="preserve">0.1%</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70</w:t>
                  </w:r>
                </w:p>
              </w:tc>
              <w:tc>
                <w:tcPr/>
                <w:p>
                  <w:pPr>
                    <w:pStyle w:val="Compact"/>
                    <w:jc w:val="right"/>
                    <w:jc w:val="center"/>
                  </w:pPr>
                  <w:r>
                    <w:t xml:space="preserve">0.4%</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441</w:t>
                  </w:r>
                </w:p>
              </w:tc>
              <w:tc>
                <w:tcPr/>
                <w:p>
                  <w:pPr>
                    <w:pStyle w:val="Compact"/>
                    <w:jc w:val="right"/>
                    <w:jc w:val="center"/>
                  </w:pPr>
                  <w:r>
                    <w:t xml:space="preserve">2.7%</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2,619</w:t>
                  </w:r>
                </w:p>
              </w:tc>
              <w:tc>
                <w:tcPr/>
                <w:p>
                  <w:pPr>
                    <w:pStyle w:val="Compact"/>
                    <w:jc w:val="right"/>
                    <w:jc w:val="center"/>
                  </w:pPr>
                  <w:r>
                    <w:t xml:space="preserve">16.2%</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0"/>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Applications/quarto/share/formats/docx/important.png" id="132"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(15,665),</w:t>
            </w:r>
            <w:r>
              <w:t xml:space="preserve"> </w:t>
            </w:r>
            <w:r>
              <w:rPr>
                <w:rStyle w:val="VerbatimChar"/>
              </w:rPr>
              <w:t xml:space="preserve">bl</w:t>
            </w:r>
            <w:r>
              <w:t xml:space="preserve"> </w:t>
            </w:r>
            <w:r>
              <w:t xml:space="preserve">(441),</w:t>
            </w:r>
            <w:r>
              <w:t xml:space="preserve"> </w:t>
            </w:r>
            <w:r>
              <w:rPr>
                <w:rStyle w:val="VerbatimChar"/>
              </w:rPr>
              <w:t xml:space="preserve">rng_iucn</w:t>
            </w:r>
            <w:r>
              <w:t xml:space="preserve"> </w:t>
            </w:r>
            <w:r>
              <w:t xml:space="preserve">(2,619)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(21),</w:t>
            </w:r>
            <w:r>
              <w:t xml:space="preserve"> </w:t>
            </w:r>
            <w:r>
              <w:rPr>
                <w:rStyle w:val="VerbatimChar"/>
              </w:rPr>
              <w:t xml:space="preserve">rng_fws</w:t>
            </w:r>
            <w:r>
              <w:t xml:space="preserve"> </w:t>
            </w:r>
            <w:r>
              <w:t xml:space="preserve">(70),</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v7b the merged model covers</w:t>
      </w:r>
      <w:r>
        <w:t xml:space="preserve"> </w:t>
      </w:r>
      <w:r>
        <w:rPr>
          <w:b/>
          <w:bCs/>
        </w:rPr>
        <w:t xml:space="preserve">9,424</w:t>
      </w:r>
      <w:r>
        <w:t xml:space="preserve"> </w:t>
      </w:r>
      <w:r>
        <w:t xml:space="preserve">of the 16,153 valid species (58%). The remainder carry a single source model directly — this release merges only where a taxon has more than one contributing dataset, so most species are scored straight from their source.</w:t>
      </w:r>
    </w:p>
    <w:bookmarkEnd w:id="133"/>
    <w:bookmarkStart w:id="156" w:name="the-sources"/>
    <w:p>
      <w:pPr>
        <w:pStyle w:val="Heading2"/>
      </w:pPr>
      <w:r>
        <w:t xml:space="preserve">6.2 The sources</w:t>
      </w:r>
    </w:p>
    <w:bookmarkStart w:id="136"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29">
        <w:r>
          <w:rPr>
            <w:rStyle w:val="Hyperlink"/>
          </w:rPr>
          <w:t xml:space="preserve">Source</w:t>
        </w:r>
      </w:hyperlink>
      <w:r>
        <w:t xml:space="preserve"> </w:t>
      </w:r>
      <w:r>
        <w:t xml:space="preserve">·</w:t>
      </w:r>
      <w:r>
        <w:t xml:space="preserve"> </w:t>
      </w:r>
      <w:hyperlink r:id="rId134">
        <w:r>
          <w:rPr>
            <w:rStyle w:val="Hyperlink"/>
          </w:rPr>
          <w:t xml:space="preserve">Download</w:t>
        </w:r>
      </w:hyperlink>
      <w:r>
        <w:t xml:space="preserve"> </w:t>
      </w:r>
      <w:r>
        <w:t xml:space="preserve">·</w:t>
      </w:r>
      <w:r>
        <w:t xml:space="preserve"> </w:t>
      </w:r>
      <w:hyperlink r:id="rId135">
        <w:r>
          <w:rPr>
            <w:rStyle w:val="Hyperlink"/>
          </w:rPr>
          <w:t xml:space="preserve">Metadata</w:t>
        </w:r>
      </w:hyperlink>
    </w:p>
    <w:bookmarkEnd w:id="136"/>
    <w:bookmarkStart w:id="139"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37">
        <w:r>
          <w:rPr>
            <w:rStyle w:val="Hyperlink"/>
          </w:rPr>
          <w:t xml:space="preserve">Source</w:t>
        </w:r>
      </w:hyperlink>
      <w:r>
        <w:t xml:space="preserve"> </w:t>
      </w:r>
      <w:r>
        <w:t xml:space="preserve">·</w:t>
      </w:r>
      <w:r>
        <w:t xml:space="preserve"> </w:t>
      </w:r>
      <w:hyperlink r:id="rId138">
        <w:r>
          <w:rPr>
            <w:rStyle w:val="Hyperlink"/>
          </w:rPr>
          <w:t xml:space="preserve">Download</w:t>
        </w:r>
      </w:hyperlink>
    </w:p>
    <w:bookmarkEnd w:id="139"/>
    <w:bookmarkStart w:id="143"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34</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0">
        <w:r>
          <w:rPr>
            <w:rStyle w:val="Hyperlink"/>
          </w:rPr>
          <w:t xml:space="preserve">Source</w:t>
        </w:r>
      </w:hyperlink>
      <w:r>
        <w:t xml:space="preserve"> </w:t>
      </w:r>
      <w:r>
        <w:t xml:space="preserve">·</w:t>
      </w:r>
      <w:r>
        <w:t xml:space="preserve"> </w:t>
      </w:r>
      <w:hyperlink r:id="rId141">
        <w:r>
          <w:rPr>
            <w:rStyle w:val="Hyperlink"/>
          </w:rPr>
          <w:t xml:space="preserve">Download</w:t>
        </w:r>
      </w:hyperlink>
      <w:r>
        <w:t xml:space="preserve"> </w:t>
      </w:r>
      <w:r>
        <w:t xml:space="preserve">·</w:t>
      </w:r>
      <w:r>
        <w:t xml:space="preserve"> </w:t>
      </w:r>
      <w:hyperlink r:id="rId142">
        <w:r>
          <w:rPr>
            <w:rStyle w:val="Hyperlink"/>
          </w:rPr>
          <w:t xml:space="preserve">Metadata</w:t>
        </w:r>
      </w:hyperlink>
    </w:p>
    <w:bookmarkEnd w:id="143"/>
    <w:bookmarkStart w:id="146"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4">
        <w:r>
          <w:rPr>
            <w:rStyle w:val="Hyperlink"/>
          </w:rPr>
          <w:t xml:space="preserve">Source</w:t>
        </w:r>
      </w:hyperlink>
      <w:r>
        <w:t xml:space="preserve"> </w:t>
      </w:r>
      <w:r>
        <w:t xml:space="preserve">·</w:t>
      </w:r>
      <w:r>
        <w:t xml:space="preserve"> </w:t>
      </w:r>
      <w:hyperlink r:id="rId145">
        <w:r>
          <w:rPr>
            <w:rStyle w:val="Hyperlink"/>
          </w:rPr>
          <w:t xml:space="preserve">Download</w:t>
        </w:r>
      </w:hyperlink>
      <w:r>
        <w:t xml:space="preserve"> </w:t>
      </w:r>
      <w:r>
        <w:t xml:space="preserve">·</w:t>
      </w:r>
      <w:r>
        <w:t xml:space="preserve"> </w:t>
      </w:r>
      <w:hyperlink r:id="rId144">
        <w:r>
          <w:rPr>
            <w:rStyle w:val="Hyperlink"/>
          </w:rPr>
          <w:t xml:space="preserve">Metadata</w:t>
        </w:r>
      </w:hyperlink>
    </w:p>
    <w:bookmarkEnd w:id="146"/>
    <w:bookmarkStart w:id="149"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7">
        <w:r>
          <w:rPr>
            <w:rStyle w:val="Hyperlink"/>
          </w:rPr>
          <w:t xml:space="preserve">Source</w:t>
        </w:r>
      </w:hyperlink>
      <w:r>
        <w:t xml:space="preserve"> </w:t>
      </w:r>
      <w:r>
        <w:t xml:space="preserve">·</w:t>
      </w:r>
      <w:r>
        <w:t xml:space="preserve"> </w:t>
      </w:r>
      <w:hyperlink r:id="rId148">
        <w:r>
          <w:rPr>
            <w:rStyle w:val="Hyperlink"/>
          </w:rPr>
          <w:t xml:space="preserve">Download</w:t>
        </w:r>
      </w:hyperlink>
    </w:p>
    <w:bookmarkEnd w:id="149"/>
    <w:bookmarkStart w:id="151"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573</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0">
        <w:r>
          <w:rPr>
            <w:rStyle w:val="Hyperlink"/>
          </w:rPr>
          <w:t xml:space="preserve">Source</w:t>
        </w:r>
      </w:hyperlink>
      <w:r>
        <w:t xml:space="preserve"> </w:t>
      </w:r>
      <w:r>
        <w:t xml:space="preserve">·</w:t>
      </w:r>
      <w:r>
        <w:t xml:space="preserve"> </w:t>
      </w:r>
      <w:hyperlink r:id="rId150">
        <w:r>
          <w:rPr>
            <w:rStyle w:val="Hyperlink"/>
          </w:rPr>
          <w:t xml:space="preserve">Download</w:t>
        </w:r>
      </w:hyperlink>
      <w:r>
        <w:t xml:space="preserve"> </w:t>
      </w:r>
      <w:r>
        <w:t xml:space="preserve">·</w:t>
      </w:r>
      <w:r>
        <w:t xml:space="preserve"> </w:t>
      </w:r>
      <w:hyperlink r:id="rId142">
        <w:r>
          <w:rPr>
            <w:rStyle w:val="Hyperlink"/>
          </w:rPr>
          <w:t xml:space="preserve">Metadata</w:t>
        </w:r>
      </w:hyperlink>
    </w:p>
    <w:bookmarkEnd w:id="151"/>
    <w:bookmarkStart w:id="153"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3,766</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2">
        <w:r>
          <w:rPr>
            <w:rStyle w:val="Hyperlink"/>
          </w:rPr>
          <w:t xml:space="preserve">Source</w:t>
        </w:r>
      </w:hyperlink>
    </w:p>
    <w:bookmarkEnd w:id="153"/>
    <w:bookmarkStart w:id="155"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4">
        <w:r>
          <w:rPr>
            <w:rStyle w:val="Hyperlink"/>
          </w:rPr>
          <w:t xml:space="preserve">Source</w:t>
        </w:r>
      </w:hyperlink>
    </w:p>
    <w:bookmarkEnd w:id="155"/>
    <w:bookmarkEnd w:id="156"/>
    <w:bookmarkStart w:id="161" w:name="notes-on-individual-sources"/>
    <w:p>
      <w:pPr>
        <w:pStyle w:val="Heading2"/>
      </w:pPr>
      <w:r>
        <w:t xml:space="preserve">6.3 Notes on individual sources</w:t>
      </w:r>
    </w:p>
    <w:bookmarkStart w:id="157"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7"/>
    <w:bookmarkStart w:id="158"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8"/>
    <w:bookmarkStart w:id="159"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59"/>
    <w:bookmarkStart w:id="160"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0"/>
    <w:bookmarkEnd w:id="161"/>
    <w:bookmarkStart w:id="164"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662,075</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Applications/quarto/share/formats/docx/warning.png" id="163"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4"/>
    <w:bookmarkStart w:id="170"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5">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9" w:name="fig-vgpm"/>
          <w:p>
            <w:pPr>
              <w:pStyle w:val="Compact"/>
              <w:jc w:val="center"/>
            </w:pPr>
            <w:r>
              <w:drawing>
                <wp:inline>
                  <wp:extent cx="5334000" cy="3418702"/>
                  <wp:effectExtent b="0" l="0" r="0" t="0"/>
                  <wp:docPr descr="" title="" id="167" name="Picture"/>
                  <a:graphic>
                    <a:graphicData uri="http://schemas.openxmlformats.org/drawingml/2006/picture">
                      <pic:pic>
                        <pic:nvPicPr>
                          <pic:cNvPr descr="figures/vgpm2021_offhab.jpg" id="168" name="Picture"/>
                          <pic:cNvPicPr>
                            <a:picLocks noChangeArrowheads="1" noChangeAspect="1"/>
                          </pic:cNvPicPr>
                        </pic:nvPicPr>
                        <pic:blipFill>
                          <a:blip r:embed="rId166"/>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69"/>
        </w:tc>
      </w:tr>
    </w:tbl>
    <w:bookmarkEnd w:id="170"/>
    <w:bookmarkEnd w:id="171"/>
    <w:bookmarkStart w:id="191"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2"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2"/>
    <w:bookmarkStart w:id="177"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6"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3">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0">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4">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5">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1">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6"/>
          <w:p/>
        </w:tc>
      </w:tr>
    </w:tbl>
    <w:p>
      <w:pPr>
        <w:pStyle w:val="BodyText"/>
      </w:pPr>
      <w:r>
        <w:t xml:space="preserve">At each stage deprecated names resolve to their accepted synonyms, with the original source name kept alongside the accepted one.</w:t>
      </w:r>
    </w:p>
    <w:bookmarkEnd w:id="177"/>
    <w:bookmarkStart w:id="181"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8" w:name="tbl-species-categories"/>
          <w:p>
            <w:pPr>
              <w:jc w:val="center"/>
            </w:pPr>
            <w:pPr>
              <w:jc w:val="left"/>
              <w:spacing w:before="200"/>
              <w:pStyle w:val="ImageCaption"/>
            </w:pPr>
            <w:r>
              <w:t xml:space="preserve">Table 7.2: Species categories in v7b.</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8,062</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5,943</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1,125</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476</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457</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84</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178"/>
          <w:p/>
        </w:tc>
      </w:tr>
    </w:tbl>
    <w:p>
      <w:pPr>
        <w:pStyle w:val="BodyText"/>
      </w:pPr>
      <w:r>
        <w:t xml:space="preserve">Categories present in the taxonomy but</w:t>
      </w:r>
      <w:r>
        <w:t xml:space="preserve"> </w:t>
      </w:r>
      <w:r>
        <w:rPr>
          <w:b/>
          <w:bCs/>
        </w:rPr>
        <w:t xml:space="preserve">not scored</w:t>
      </w:r>
      <w:r>
        <w:t xml:space="preserve"> </w:t>
      </w:r>
      <w:r>
        <w:t xml:space="preserve">in v7b:</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Applications/quarto/share/formats/docx/note.png" id="1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81"/>
    <w:bookmarkStart w:id="182"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82"/>
    <w:bookmarkStart w:id="186"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3" w:name="tbl-filter-funnel"/>
          <w:p>
            <w:pPr>
              <w:jc w:val="center"/>
            </w:pPr>
            <w:pPr>
              <w:jc w:val="left"/>
              <w:spacing w:before="200"/>
              <w:pStyle w:val="ImageCaption"/>
            </w:pPr>
            <w:r>
              <w:t xml:space="preserve">Table 7.3: Validity gates applied cumulatively to v7b’s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−1,173</w:t>
                  </w:r>
                </w:p>
              </w:tc>
              <w:tc>
                <w:tcPr/>
                <w:p>
                  <w:pPr>
                    <w:pStyle w:val="Compact"/>
                    <w:jc w:val="right"/>
                    <w:jc w:val="center"/>
                  </w:pPr>
                  <w:r>
                    <w:t xml:space="preserve">16,388</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16,367</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16,319</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−166</w:t>
                  </w:r>
                </w:p>
              </w:tc>
              <w:tc>
                <w:tcPr/>
                <w:p>
                  <w:pPr>
                    <w:pStyle w:val="Compact"/>
                    <w:jc w:val="right"/>
                    <w:jc w:val="center"/>
                  </w:pPr>
                  <w:r>
                    <w:t xml:space="preserve">16,153</w:t>
                  </w:r>
                </w:p>
              </w:tc>
            </w:tr>
          </w:tbl>
          <w:bookmarkEnd w:id="183"/>
          <w:p/>
        </w:tc>
      </w:tr>
    </w:tbl>
    <w:p>
      <w:pPr>
        <w:pStyle w:val="BodyText"/>
      </w:pPr>
      <w:r>
        <w:t xml:space="preserve">This yields</w:t>
      </w:r>
      <w:r>
        <w:t xml:space="preserve"> </w:t>
      </w:r>
      <w:r>
        <w:rPr>
          <w:b/>
          <w:bCs/>
        </w:rPr>
        <w:t xml:space="preserve">16,153 valid species</w:t>
      </w:r>
      <w:r>
        <w:t xml:space="preserve"> </w:t>
      </w:r>
      <w:r>
        <w:t xml:space="preserve">across the study area.</w:t>
      </w:r>
    </w:p>
    <w:p>
      <w:pPr>
        <w:pStyle w:val="BodyText"/>
      </w:pPr>
      <w:r>
        <w:t xml:space="preserve">Of those,</w:t>
      </w:r>
      <w:r>
        <w:t xml:space="preserve"> </w:t>
      </w:r>
      <w:r>
        <w:rPr>
          <w:b/>
          <w:bCs/>
        </w:rPr>
        <w:t xml:space="preserve">9,230</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Applications/quarto/share/formats/docx/important.png" id="185"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6"/>
    <w:bookmarkStart w:id="189" w:name="data-quality"/>
    <w:p>
      <w:pPr>
        <w:pStyle w:val="Heading2"/>
      </w:pPr>
      <w:r>
        <w:t xml:space="preserve">7.6 Data quality</w:t>
      </w:r>
    </w:p>
    <w:bookmarkStart w:id="187"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7"/>
    <w:bookmarkStart w:id="188"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8"/>
    <w:bookmarkEnd w:id="189"/>
    <w:bookmarkStart w:id="190"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0"/>
    <w:bookmarkEnd w:id="191"/>
    <w:bookmarkStart w:id="215"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3" w:name="regulatory-framework"/>
    <w:p>
      <w:pPr>
        <w:pStyle w:val="Heading2"/>
      </w:pPr>
      <w:r>
        <w:t xml:space="preserve">8.1 Regulatory framework</w:t>
      </w:r>
    </w:p>
    <w:bookmarkStart w:id="193" w:name="endangered-species-act-esa"/>
    <w:p>
      <w:pPr>
        <w:pStyle w:val="Heading3"/>
      </w:pPr>
      <w:r>
        <w:t xml:space="preserve">8.1.1 Endangered Species Act (ESA)</w:t>
      </w:r>
    </w:p>
    <w:p>
      <w:pPr>
        <w:pStyle w:val="FirstParagraph"/>
      </w:pPr>
      <w:r>
        <w:t xml:space="preserve">The</w:t>
      </w:r>
      <w:r>
        <w:t xml:space="preserve"> </w:t>
      </w:r>
      <w:hyperlink r:id="rId192">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3"/>
    <w:bookmarkStart w:id="195"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4">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5"/>
    <w:bookmarkStart w:id="199"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6">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Applications/quarto/share/formats/docx/important.png" id="198"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199"/>
    <w:bookmarkStart w:id="202"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1">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Applications/quarto/share/formats/docx/note.png" id="20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2"/>
    <w:bookmarkEnd w:id="203"/>
    <w:bookmarkStart w:id="212"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6"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4"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4"/>
    </w:p>
    <w:tbl>
      <w:tblPr>
        <w:tblStyle w:val="Table"/>
        <w:tblW w:type="pct" w:w="5000"/>
        <w:tblLayout w:type="fixed"/>
        <w:tblLook w:firstRow="0" w:lastRow="0" w:firstColumn="0" w:lastColumn="0" w:noHBand="0" w:noVBand="0" w:val="0000"/>
      </w:tblPr>
      <w:tblGrid>
        <w:gridCol w:w="7920"/>
      </w:tblGrid>
      <w:tr>
        <w:tc>
          <w:tcPr/>
          <w:bookmarkStart w:id="205"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5"/>
          <w:p/>
        </w:tc>
      </w:tr>
    </w:tbl>
    <w:p>
      <w:pPr>
        <w:pStyle w:val="BodyText"/>
      </w:pPr>
      <w:r>
        <w:t xml:space="preserve">Worked examples:</w:t>
      </w:r>
    </w:p>
    <w:p>
      <w:pPr>
        <w:pStyle w:val="Compact"/>
        <w:numPr>
          <w:ilvl w:val="0"/>
          <w:numId w:val="1021"/>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1"/>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1"/>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1"/>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6"/>
    <w:bookmarkStart w:id="208"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7"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7"/>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8"/>
    <w:bookmarkStart w:id="209"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09"/>
    <w:bookmarkStart w:id="211"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0"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v7b’s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50</w:t>
                  </w:r>
                </w:p>
              </w:tc>
              <w:tc>
                <w:tcPr/>
                <w:p>
                  <w:pPr>
                    <w:pStyle w:val="Compact"/>
                    <w:jc w:val="right"/>
                    <w:jc w:val="center"/>
                  </w:pPr>
                  <w:r>
                    <w:t xml:space="preserve">54</w:t>
                  </w:r>
                </w:p>
              </w:tc>
              <w:tc>
                <w:tcPr/>
                <w:p>
                  <w:pPr>
                    <w:pStyle w:val="Compact"/>
                    <w:jc w:val="right"/>
                    <w:jc w:val="center"/>
                  </w:pPr>
                  <w:r>
                    <w:t xml:space="preserve">0.3%</w:t>
                  </w:r>
                </w:p>
              </w:tc>
            </w:tr>
            <w:tr>
              <w:tc>
                <w:tcPr/>
                <w:p>
                  <w:pPr>
                    <w:pStyle w:val="Compact"/>
                    <w:jc w:val="right"/>
                    <w:jc w:val="center"/>
                  </w:pPr>
                  <w:r>
                    <w:t xml:space="preserve">25</w:t>
                  </w:r>
                </w:p>
              </w:tc>
              <w:tc>
                <w:tcPr/>
                <w:p>
                  <w:pPr>
                    <w:pStyle w:val="Compact"/>
                    <w:jc w:val="right"/>
                    <w:jc w:val="center"/>
                  </w:pPr>
                  <w:r>
                    <w:t xml:space="preserve">104</w:t>
                  </w:r>
                </w:p>
              </w:tc>
              <w:tc>
                <w:tcPr/>
                <w:p>
                  <w:pPr>
                    <w:pStyle w:val="Compact"/>
                    <w:jc w:val="right"/>
                    <w:jc w:val="center"/>
                  </w:pPr>
                  <w:r>
                    <w:t xml:space="preserve">0.6%</w:t>
                  </w:r>
                </w:p>
              </w:tc>
            </w:tr>
            <w:tr>
              <w:tc>
                <w:tcPr/>
                <w:p>
                  <w:pPr>
                    <w:pStyle w:val="Compact"/>
                    <w:jc w:val="right"/>
                    <w:jc w:val="center"/>
                  </w:pPr>
                  <w:r>
                    <w:t xml:space="preserve">20</w:t>
                  </w:r>
                </w:p>
              </w:tc>
              <w:tc>
                <w:tcPr/>
                <w:p>
                  <w:pPr>
                    <w:pStyle w:val="Compact"/>
                    <w:jc w:val="right"/>
                    <w:jc w:val="center"/>
                  </w:pPr>
                  <w:r>
                    <w:t xml:space="preserve">44</w:t>
                  </w:r>
                </w:p>
              </w:tc>
              <w:tc>
                <w:tcPr/>
                <w:p>
                  <w:pPr>
                    <w:pStyle w:val="Compact"/>
                    <w:jc w:val="right"/>
                    <w:jc w:val="center"/>
                  </w:pPr>
                  <w:r>
                    <w:t xml:space="preserve">0.3%</w:t>
                  </w:r>
                </w:p>
              </w:tc>
            </w:tr>
            <w:tr>
              <w:tc>
                <w:tcPr/>
                <w:p>
                  <w:pPr>
                    <w:pStyle w:val="Compact"/>
                    <w:jc w:val="right"/>
                    <w:jc w:val="center"/>
                  </w:pPr>
                  <w:r>
                    <w:t xml:space="preserve">10</w:t>
                  </w:r>
                </w:p>
              </w:tc>
              <w:tc>
                <w:tcPr/>
                <w:p>
                  <w:pPr>
                    <w:pStyle w:val="Compact"/>
                    <w:jc w:val="right"/>
                    <w:jc w:val="center"/>
                  </w:pPr>
                  <w:r>
                    <w:t xml:space="preserve">121</w:t>
                  </w:r>
                </w:p>
              </w:tc>
              <w:tc>
                <w:tcPr/>
                <w:p>
                  <w:pPr>
                    <w:pStyle w:val="Compact"/>
                    <w:jc w:val="right"/>
                    <w:jc w:val="center"/>
                  </w:pPr>
                  <w:r>
                    <w:t xml:space="preserve">0.7%</w:t>
                  </w:r>
                </w:p>
              </w:tc>
            </w:tr>
            <w:tr>
              <w:tc>
                <w:tcPr/>
                <w:p>
                  <w:pPr>
                    <w:pStyle w:val="Compact"/>
                    <w:jc w:val="right"/>
                    <w:jc w:val="center"/>
                  </w:pPr>
                  <w:r>
                    <w:t xml:space="preserve">5</w:t>
                  </w:r>
                </w:p>
              </w:tc>
              <w:tc>
                <w:tcPr/>
                <w:p>
                  <w:pPr>
                    <w:pStyle w:val="Compact"/>
                    <w:jc w:val="right"/>
                    <w:jc w:val="center"/>
                  </w:pPr>
                  <w:r>
                    <w:t xml:space="preserve">105</w:t>
                  </w:r>
                </w:p>
              </w:tc>
              <w:tc>
                <w:tcPr/>
                <w:p>
                  <w:pPr>
                    <w:pStyle w:val="Compact"/>
                    <w:jc w:val="right"/>
                    <w:jc w:val="center"/>
                  </w:pPr>
                  <w:r>
                    <w:t xml:space="preserve">0.7%</w:t>
                  </w:r>
                </w:p>
              </w:tc>
            </w:tr>
            <w:tr>
              <w:tc>
                <w:tcPr/>
                <w:p>
                  <w:pPr>
                    <w:pStyle w:val="Compact"/>
                    <w:jc w:val="right"/>
                    <w:jc w:val="center"/>
                  </w:pPr>
                  <w:r>
                    <w:t xml:space="preserve">2</w:t>
                  </w:r>
                </w:p>
              </w:tc>
              <w:tc>
                <w:tcPr/>
                <w:p>
                  <w:pPr>
                    <w:pStyle w:val="Compact"/>
                    <w:jc w:val="right"/>
                    <w:jc w:val="center"/>
                  </w:pPr>
                  <w:r>
                    <w:t xml:space="preserve">102</w:t>
                  </w:r>
                </w:p>
              </w:tc>
              <w:tc>
                <w:tcPr/>
                <w:p>
                  <w:pPr>
                    <w:pStyle w:val="Compact"/>
                    <w:jc w:val="right"/>
                    <w:jc w:val="center"/>
                  </w:pPr>
                  <w:r>
                    <w:t xml:space="preserve">0.6%</w:t>
                  </w:r>
                </w:p>
              </w:tc>
            </w:tr>
            <w:tr>
              <w:tc>
                <w:tcPr/>
                <w:p>
                  <w:pPr>
                    <w:pStyle w:val="Compact"/>
                    <w:jc w:val="right"/>
                    <w:jc w:val="center"/>
                  </w:pPr>
                  <w:r>
                    <w:t xml:space="preserve">1</w:t>
                  </w:r>
                </w:p>
              </w:tc>
              <w:tc>
                <w:tcPr/>
                <w:p>
                  <w:pPr>
                    <w:pStyle w:val="Compact"/>
                    <w:jc w:val="right"/>
                    <w:jc w:val="center"/>
                  </w:pPr>
                  <w:r>
                    <w:t xml:space="preserve">15,579</w:t>
                  </w:r>
                </w:p>
              </w:tc>
              <w:tc>
                <w:tcPr/>
                <w:p>
                  <w:pPr>
                    <w:pStyle w:val="Compact"/>
                    <w:jc w:val="right"/>
                    <w:jc w:val="center"/>
                  </w:pPr>
                  <w:r>
                    <w:t xml:space="preserve">96.4%</w:t>
                  </w:r>
                </w:p>
              </w:tc>
            </w:tr>
          </w:tbl>
          <w:bookmarkEnd w:id="210"/>
          <w:p/>
        </w:tc>
      </w:tr>
    </w:tbl>
    <w:p>
      <w:pPr>
        <w:pStyle w:val="BodyText"/>
      </w:pPr>
      <w:r>
        <w:t xml:space="preserve">Of v7b’s 16,153 valid species,</w:t>
      </w:r>
      <w:r>
        <w:t xml:space="preserve"> </w:t>
      </w:r>
      <w:r>
        <w:rPr>
          <w:b/>
          <w:bCs/>
        </w:rPr>
        <w:t xml:space="preserve">62</w:t>
      </w:r>
      <w:r>
        <w:t xml:space="preserve"> </w:t>
      </w:r>
      <w:r>
        <w:t xml:space="preserve">carry the MMPA floor and</w:t>
      </w:r>
      <w:r>
        <w:t xml:space="preserve"> </w:t>
      </w:r>
      <w:r>
        <w:rPr>
          <w:b/>
          <w:bCs/>
        </w:rPr>
        <w:t xml:space="preserve">132</w:t>
      </w:r>
      <w:r>
        <w:t xml:space="preserve"> </w:t>
      </w:r>
      <w:r>
        <w:t xml:space="preserve">the MBTA floor.</w:t>
      </w:r>
    </w:p>
    <w:bookmarkEnd w:id="211"/>
    <w:bookmarkEnd w:id="212"/>
    <w:bookmarkStart w:id="213"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3"/>
    <w:bookmarkStart w:id="214"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4"/>
    <w:bookmarkEnd w:id="215"/>
    <w:bookmarkStart w:id="241"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Applications/quarto/share/formats/docx/tip.png" id="21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3">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8"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8"/>
    <w:bookmarkStart w:id="235"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2" w:name="fig-merge-pipeline"/>
          <w:p>
            <w:pPr>
              <w:jc w:val="center"/>
            </w:pPr>
            <w:r>
              <w:drawing>
                <wp:inline>
                  <wp:extent cx="5334000" cy="5351779"/>
                  <wp:effectExtent b="0" l="0" r="0" t="0"/>
                  <wp:docPr descr="" title="" id="220" name="Picture"/>
                  <a:graphic>
                    <a:graphicData uri="http://schemas.openxmlformats.org/drawingml/2006/picture">
                      <pic:pic>
                        <pic:nvPicPr>
                          <pic:cNvPr descr="model-merging_files/figure-docx/mermaid-figure-2.png" id="221" name="Picture"/>
                          <pic:cNvPicPr>
                            <a:picLocks noChangeArrowheads="1" noChangeAspect="1"/>
                          </pic:cNvPicPr>
                        </pic:nvPicPr>
                        <pic:blipFill>
                          <a:blip r:embed="rId219"/>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2"/>
        </w:tc>
      </w:tr>
    </w:tbl>
    <w:bookmarkStart w:id="223"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3"/>
    <w:bookmarkStart w:id="227"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4"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4"/>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Applications/quarto/share/formats/docx/important.png" id="226"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7"/>
    <w:bookmarkStart w:id="228" w:name="step-3-two-surfaces-not-one"/>
    <w:p>
      <w:pPr>
        <w:pStyle w:val="Heading3"/>
      </w:pPr>
      <w:r>
        <w:t xml:space="preserve">9.2.3 Step 3 — two surfaces, not one</w:t>
      </w:r>
    </w:p>
    <w:bookmarkEnd w:id="228"/>
    <w:bookmarkStart w:id="230"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29"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29"/>
    </w:p>
    <w:p>
      <w:pPr>
        <w:pStyle w:val="FirstParagraph"/>
      </w:pPr>
      <w:r>
        <w:t xml:space="preserve">Critical-habitat designations then override with a maximum, so a designated cell is never scored below its designation.</w:t>
      </w:r>
    </w:p>
    <w:p>
      <w:pPr>
        <w:pStyle w:val="BodyText"/>
      </w:pPr>
      <w:r>
        <w:rPr>
          <w:b/>
          <w:bCs/>
        </w:rPr>
        <w:t xml:space="preserve">v7b patches this rule</w:t>
      </w:r>
      <w:r>
        <w:t xml:space="preserve">, without changing</w:t>
      </w:r>
      <w:r>
        <w:t xml:space="preserve"> </w:t>
      </w:r>
      <w:hyperlink w:anchor="eq-merge-turtle">
        <w:r>
          <w:rPr>
            <w:rStyle w:val="Hyperlink"/>
          </w:rPr>
          <w:t xml:space="preserve">Equation 9.2</w:t>
        </w:r>
      </w:hyperlink>
      <w:r>
        <w:t xml:space="preserve"> </w:t>
      </w:r>
      <w:r>
        <w:t xml:space="preserve">itself: the suitability term</w:t>
      </w:r>
      <w:r>
        <w:t xml:space="preserve"> </w:t>
      </w:r>
      <w:r>
        <w:t xml:space="preserve">(v_{suit,c}) is thresholded before the multiply. A suitability strictly below 50</w:t>
      </w:r>
      <w:r>
        <w:t xml:space="preserve"> </w:t>
      </w:r>
      <w:r>
        <w:t xml:space="preserve">(AquaMaps’ own core-habitat default, on its 0–100 scale) is treated as absent, and a range cell left</w:t>
      </w:r>
      <w:r>
        <w:t xml:space="preserve"> </w:t>
      </w:r>
      <w:r>
        <w:t xml:space="preserve">with none is</w:t>
      </w:r>
      <w:r>
        <w:t xml:space="preserve"> </w:t>
      </w:r>
      <w:r>
        <w:rPr>
          <w:b/>
          <w:bCs/>
        </w:rPr>
        <w:t xml:space="preserve">dropped</w:t>
      </w:r>
      <w:r>
        <w:t xml:space="preserve"> </w:t>
      </w:r>
      <w:r>
        <w:t xml:space="preserve">rather than filled at a nominal suitability of 1 — the fill v7 used, recorded</w:t>
      </w:r>
      <w:r>
        <w:t xml:space="preserve"> </w:t>
      </w:r>
      <w:r>
        <w:t xml:space="preserve">here as</w:t>
      </w:r>
      <w:r>
        <w:t xml:space="preserve"> </w:t>
      </w:r>
      <w:r>
        <w:rPr>
          <w:rStyle w:val="VerbatimChar"/>
        </w:rPr>
        <w:t xml:space="preserve">turtle_fill = none</w:t>
      </w:r>
      <w:r>
        <w:t xml:space="preserve">. Critical habitat still overrides by maximum, so a</w:t>
      </w:r>
      <w:r>
        <w:t xml:space="preserve"> </w:t>
      </w:r>
      <w:r>
        <w:t xml:space="preserve">designated cell is never lost to the threshold. Turning the threshold off (</w:t>
      </w:r>
      <w:r>
        <w:rPr>
          <w:rStyle w:val="VerbatimChar"/>
        </w:rPr>
        <w:t xml:space="preserve">turtle_suit_min = 0</w:t>
      </w:r>
      <w:r>
        <w:t xml:space="preserve">)</w:t>
      </w:r>
      <w:r>
        <w:t xml:space="preserve"> </w:t>
      </w:r>
      <w:r>
        <w:t xml:space="preserve">reproduces v7’s merged turtle models exactly. The threshold is AquaMaps’ own convention rather than</w:t>
      </w:r>
      <w:r>
        <w:t xml:space="preserve"> </w:t>
      </w:r>
      <w:r>
        <w:t xml:space="preserve">a number tuned to the outcome. It leaves turtles in exactly one Alaska Program Area: the Gulf of</w:t>
      </w:r>
      <w:r>
        <w:t xml:space="preserve"> </w:t>
      </w:r>
      <w:r>
        <w:t xml:space="preserve">Alaska, 9,608 leatherback cells at suitability 0.50–0.58 off Southeast Alaska, where the region’s</w:t>
      </w:r>
      <w:r>
        <w:t xml:space="preserve"> </w:t>
      </w:r>
      <w:r>
        <w:t xml:space="preserve">sparse occurrence records are</w:t>
      </w:r>
      <w:r>
        <w:t xml:space="preserve"> </w:t>
      </w:r>
      <w:r>
        <w:t xml:space="preserve">(Hodge and Wing 2000)</w:t>
      </w:r>
      <w:r>
        <w:t xml:space="preserve">. At 0.6 — the cutoff validated against surveys for</w:t>
      </w:r>
      <w:r>
        <w:t xml:space="preserve"> </w:t>
      </w:r>
      <w:r>
        <w:t xml:space="preserve">marine mammals</w:t>
      </w:r>
      <w:r>
        <w:t xml:space="preserve"> </w:t>
      </w:r>
      <w:r>
        <w:t xml:space="preserve">(Kaschner et al. 2011)</w:t>
      </w:r>
      <w:r>
        <w:t xml:space="preserve"> </w:t>
      </w:r>
      <w:r>
        <w:t xml:space="preserve">— no Alaska Program Area would retain turtles.</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0"/>
    <w:bookmarkStart w:id="234"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1"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1"/>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Applications/quarto/share/formats/docx/note.png" id="2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2"/>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2"/>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2"/>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4"/>
    <w:bookmarkEnd w:id="235"/>
    <w:bookmarkStart w:id="236"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6"/>
    <w:bookmarkStart w:id="237"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7"/>
    <w:bookmarkStart w:id="238" w:name="persisted-output"/>
    <w:p>
      <w:pPr>
        <w:pStyle w:val="Heading2"/>
      </w:pPr>
      <w:r>
        <w:t xml:space="preserve">9.5 Persisted output</w:t>
      </w:r>
    </w:p>
    <w:p>
      <w:pPr>
        <w:pStyle w:val="FirstParagraph"/>
      </w:pPr>
      <w:r>
        <w:t xml:space="preserve">The merged result is stored as:</w:t>
      </w:r>
    </w:p>
    <w:p>
      <w:pPr>
        <w:pStyle w:val="Compact"/>
        <w:numPr>
          <w:ilvl w:val="0"/>
          <w:numId w:val="1023"/>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3"/>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8"/>
    <w:bookmarkStart w:id="239"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v7b this yields</w:t>
      </w:r>
      <w:r>
        <w:t xml:space="preserve"> </w:t>
      </w:r>
      <w:r>
        <w:rPr>
          <w:b/>
          <w:bCs/>
        </w:rPr>
        <w:t xml:space="preserve">16,153 valid species</w:t>
      </w:r>
      <w:r>
        <w:t xml:space="preserve"> </w:t>
      </w:r>
      <w:r>
        <w:t xml:space="preserve">across the study area, of which</w:t>
      </w:r>
      <w:r>
        <w:t xml:space="preserve"> </w:t>
      </w:r>
      <w:r>
        <w:rPr>
          <w:b/>
          <w:bCs/>
        </w:rPr>
        <w:t xml:space="preserve">9,230</w:t>
      </w:r>
      <w:r>
        <w:t xml:space="preserve"> </w:t>
      </w:r>
      <w:r>
        <w:t xml:space="preserve">contribute to scores within the 20 BOEM Program Areas of the current program cycle.</w:t>
      </w:r>
    </w:p>
    <w:bookmarkEnd w:id="239"/>
    <w:bookmarkStart w:id="240"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0"/>
    <w:bookmarkEnd w:id="241"/>
    <w:bookmarkStart w:id="284"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2" name="Picture"/>
                  <a:graphic>
                    <a:graphicData uri="http://schemas.openxmlformats.org/drawingml/2006/picture">
                      <pic:pic>
                        <pic:nvPicPr>
                          <pic:cNvPr descr="/Applications/quarto/share/formats/docx/tip.png" id="24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3">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8"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4"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4"/>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7"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5"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5"/>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6"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6"/>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7"/>
    <w:bookmarkEnd w:id="248"/>
    <w:bookmarkStart w:id="250"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49" w:name="tbl-metrics"/>
          <w:p>
            <w:pPr>
              <w:jc w:val="center"/>
            </w:pPr>
            <w:pPr>
              <w:jc w:val="left"/>
              <w:spacing w:before="200"/>
              <w:pStyle w:val="ImageCaption"/>
            </w:pPr>
            <w:r>
              <w:t xml:space="preserve">Table 10.1: Cell-level metrics published by v7b.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49"/>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0"/>
    <w:bookmarkStart w:id="254"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1"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1"/>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Applications/quarto/share/formats/docx/important.png" id="253"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4"/>
    <w:bookmarkStart w:id="260"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5" w:name="tbl-zones"/>
          <w:p>
            <w:pPr>
              <w:jc w:val="center"/>
            </w:pPr>
            <w:pPr>
              <w:jc w:val="left"/>
              <w:spacing w:before="200"/>
              <w:pStyle w:val="ImageCaption"/>
            </w:pPr>
            <w:r>
              <w:t xml:space="preserve">Table 10.2: Spatial units v7b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5</w:t>
                  </w:r>
                </w:p>
              </w:tc>
              <w:tc>
                <w:tcPr/>
                <w:p>
                  <w:pPr>
                    <w:pStyle w:val="Compact"/>
                    <w:jc w:val="left"/>
                    <w:jc w:val="center"/>
                  </w:pPr>
                  <w:r>
                    <w:rPr>
                      <w:rStyle w:val="VerbatimChar"/>
                    </w:rPr>
                    <w:t xml:space="preserve">subregion_2025-06</w:t>
                  </w:r>
                </w:p>
              </w:tc>
            </w:tr>
          </w:tbl>
          <w:bookmarkEnd w:id="255"/>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59"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8" w:name="fig-map-ecoregions-scoring"/>
          <w:p>
            <w:pPr>
              <w:pStyle w:val="Compact"/>
              <w:jc w:val="center"/>
            </w:pPr>
            <w:r>
              <w:drawing>
                <wp:inline>
                  <wp:extent cx="5334000" cy="3182620"/>
                  <wp:effectExtent b="0" l="0" r="0" t="0"/>
                  <wp:docPr descr="" title="" id="256" name="Picture"/>
                  <a:graphic>
                    <a:graphicData uri="http://schemas.openxmlformats.org/drawingml/2006/picture">
                      <pic:pic>
                        <pic:nvPicPr>
                          <pic:cNvPr descr="figures/map-ecoregions-static.png" id="257" name="Picture"/>
                          <pic:cNvPicPr>
                            <a:picLocks noChangeArrowheads="1" noChangeAspect="1"/>
                          </pic:cNvPicPr>
                        </pic:nvPicPr>
                        <pic:blipFill>
                          <a:blip r:embed="rId121"/>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8"/>
        </w:tc>
      </w:tr>
    </w:tbl>
    <w:bookmarkEnd w:id="259"/>
    <w:bookmarkEnd w:id="260"/>
    <w:bookmarkStart w:id="261"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1"/>
    <w:bookmarkStart w:id="265"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2"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2"/>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Start w:id="264" w:name="coverage-floor"/>
    <w:p>
      <w:pPr>
        <w:pStyle w:val="Heading3"/>
      </w:pPr>
      <w:r>
        <w:t xml:space="preserve">10.6.1 Coverage floor</w:t>
      </w:r>
    </w:p>
    <w:p>
      <w:pPr>
        <w:pStyle w:val="FirstParagraph"/>
      </w:pPr>
      <w:r>
        <w:rPr>
          <w:b/>
          <w:bCs/>
        </w:rPr>
        <w:t xml:space="preserve">In v7b</w:t>
      </w:r>
      <w:r>
        <w:t xml:space="preserve">, a component (a species category, or primary productivity) is</w:t>
      </w:r>
      <w:r>
        <w:t xml:space="preserve"> </w:t>
      </w:r>
      <w:r>
        <w:rPr>
          <w:i/>
          <w:iCs/>
        </w:rPr>
        <w:t xml:space="preserve">reportable</w:t>
      </w:r>
      <w:r>
        <w:t xml:space="preserve"> </w:t>
      </w:r>
      <w:r>
        <w:t xml:space="preserve">for a Program Area only where its scored cells cover a large enough share of that area:</w:t>
      </w:r>
    </w:p>
    <w:p>
      <w:pPr>
        <w:pStyle w:val="BodyText"/>
      </w:pPr>
      <w:bookmarkStart w:id="263" w:name="eq-coverage-floor"/>
      <m:oMathPara>
        <m:oMathParaPr>
          <m:jc m:val="center"/>
        </m:oMathParaPr>
        <m:oMath>
          <m:sSub>
            <m:e>
              <m:r>
                <m:rPr>
                  <m:nor/>
                  <m:sty m:val="p"/>
                </m:rPr>
                <m:t>coverage</m:t>
              </m:r>
            </m:e>
            <m:sub>
              <m:r>
                <m:t>z</m:t>
              </m:r>
              <m:r>
                <m:t>o</m:t>
              </m:r>
              <m:r>
                <m:t>n</m:t>
              </m:r>
              <m:r>
                <m:t>e</m:t>
              </m:r>
              <m:r>
                <m:rPr>
                  <m:sty m:val="p"/>
                </m:rPr>
                <m:t>,</m:t>
              </m:r>
              <m:r>
                <m:t> </m:t>
              </m:r>
              <m:r>
                <m:t>c</m:t>
              </m:r>
              <m:r>
                <m:t>o</m:t>
              </m:r>
              <m:r>
                <m:t>m</m:t>
              </m:r>
              <m:r>
                <m:t>p</m:t>
              </m:r>
              <m:r>
                <m:t>o</m:t>
              </m:r>
              <m:r>
                <m:t>n</m:t>
              </m:r>
              <m:r>
                <m:t>e</m:t>
              </m:r>
              <m:r>
                <m:t>n</m:t>
              </m:r>
              <m:r>
                <m:t>t</m:t>
              </m:r>
            </m:sub>
          </m:sSub>
          <m:r>
            <m:rPr>
              <m:sty m:val="p"/>
            </m:rPr>
            <m:t>=</m:t>
          </m:r>
          <m:f>
            <m:fPr>
              <m:type m:val="bar"/>
            </m:fPr>
            <m:num>
              <m:nary>
                <m:naryPr>
                  <m:chr m:val="∑"/>
                  <m:limLoc m:val="undOvr"/>
                  <m:subHide m:val="off"/>
                  <m:supHide m:val="on"/>
                </m:naryPr>
                <m:sub>
                  <m:r>
                    <m:t>c</m:t>
                  </m:r>
                  <m:r>
                    <m:t> </m:t>
                  </m:r>
                  <m:r>
                    <m:rPr>
                      <m:sty m:val="p"/>
                    </m:rPr>
                    <m:t>∈</m:t>
                  </m:r>
                  <m:r>
                    <m:t> </m:t>
                  </m:r>
                  <m:r>
                    <m:t>z</m:t>
                  </m:r>
                  <m:r>
                    <m:t>o</m:t>
                  </m:r>
                  <m:r>
                    <m:t>n</m:t>
                  </m:r>
                  <m:r>
                    <m:t>e</m:t>
                  </m:r>
                  <m:r>
                    <m:rPr>
                      <m:sty m:val="p"/>
                    </m:rPr>
                    <m:t>,</m:t>
                  </m:r>
                  <m:r>
                    <m:t> </m:t>
                  </m:r>
                  <m:r>
                    <m:rPr>
                      <m:nor/>
                      <m:sty m:val="p"/>
                    </m:rPr>
                    <m:t>scored</m:t>
                  </m:r>
                </m:sub>
                <m:sup>
                  <m:r>
                    <m:t>​</m:t>
                  </m:r>
                </m:sup>
                <m:e>
                  <m:sSub>
                    <m:e>
                      <m:r>
                        <m:t>w</m:t>
                      </m:r>
                    </m:e>
                    <m:sub>
                      <m:r>
                        <m:t>c</m:t>
                      </m:r>
                    </m:sub>
                  </m:sSub>
                </m:e>
              </m:nary>
            </m:num>
            <m:den>
              <m:nary>
                <m:naryPr>
                  <m:chr m:val="∑"/>
                  <m:limLoc m:val="undOvr"/>
                  <m:subHide m:val="off"/>
                  <m:supHide m:val="on"/>
                </m:naryPr>
                <m:sub>
                  <m:r>
                    <m:t>c</m:t>
                  </m:r>
                  <m:r>
                    <m:t> </m:t>
                  </m:r>
                  <m:r>
                    <m:rPr>
                      <m:sty m:val="p"/>
                    </m:rPr>
                    <m:t>∈</m:t>
                  </m:r>
                  <m:r>
                    <m:t> </m:t>
                  </m:r>
                  <m:r>
                    <m:t>z</m:t>
                  </m:r>
                  <m:r>
                    <m:t>o</m:t>
                  </m:r>
                  <m:r>
                    <m:t>n</m:t>
                  </m:r>
                  <m:r>
                    <m:t>e</m:t>
                  </m:r>
                </m:sub>
                <m:sup>
                  <m:r>
                    <m:t>​</m:t>
                  </m:r>
                </m:sup>
                <m:e>
                  <m:sSub>
                    <m:e>
                      <m:r>
                        <m:t>w</m:t>
                      </m:r>
                    </m:e>
                    <m:sub>
                      <m:r>
                        <m:t>c</m:t>
                      </m:r>
                    </m:sub>
                  </m:sSub>
                </m:e>
              </m:nary>
            </m:den>
          </m:f>
          <m:r>
            <m:t> </m:t>
          </m:r>
          <m:r>
            <m:rPr>
              <m:sty m:val="p"/>
            </m:rPr>
            <m:t>,</m:t>
          </m:r>
          <m:r>
            <m:t>  </m:t>
          </m:r>
          <m:r>
            <m:rPr>
              <m:nor/>
              <m:sty m:val="p"/>
            </m:rPr>
            <m:t>reportable</m:t>
          </m:r>
          <m:r>
            <m:rPr>
              <m:sty m:val="p"/>
            </m:rPr>
            <m:t>⇔</m:t>
          </m:r>
          <m:sSub>
            <m:e>
              <m:r>
                <m:rPr>
                  <m:nor/>
                  <m:sty m:val="p"/>
                </m:rPr>
                <m:t>coverage</m:t>
              </m:r>
            </m:e>
            <m:sub>
              <m:r>
                <m:t>z</m:t>
              </m:r>
              <m:r>
                <m:t>o</m:t>
              </m:r>
              <m:r>
                <m:t>n</m:t>
              </m:r>
              <m:r>
                <m:t>e</m:t>
              </m:r>
              <m:r>
                <m:rPr>
                  <m:sty m:val="p"/>
                </m:rPr>
                <m:t>,</m:t>
              </m:r>
              <m:r>
                <m:t> </m:t>
              </m:r>
              <m:r>
                <m:t>c</m:t>
              </m:r>
              <m:r>
                <m:t>o</m:t>
              </m:r>
              <m:r>
                <m:t>m</m:t>
              </m:r>
              <m:r>
                <m:t>p</m:t>
              </m:r>
              <m:r>
                <m:t>o</m:t>
              </m:r>
              <m:r>
                <m:t>n</m:t>
              </m:r>
              <m:r>
                <m:t>e</m:t>
              </m:r>
              <m:r>
                <m:t>n</m:t>
              </m:r>
              <m:r>
                <m:t>t</m:t>
              </m:r>
            </m:sub>
          </m:sSub>
          <m:r>
            <m:rPr>
              <m:sty m:val="p"/>
            </m:rPr>
            <m:t>≥</m:t>
          </m:r>
          <m:r>
            <m:t>κ</m:t>
          </m:r>
          <m:r>
            <m:t>  </m:t>
          </m:r>
          <m:r>
            <m:rPr>
              <m:sty m:val="p"/>
            </m:rPr>
            <m:t>(</m:t>
          </m:r>
          <m:r>
            <m:t>10.6</m:t>
          </m:r>
          <m:r>
            <m:rPr>
              <m:sty m:val="p"/>
            </m:rPr>
            <m:t>)</m:t>
          </m:r>
        </m:oMath>
      </m:oMathPara>
      <w:bookmarkEnd w:id="263"/>
    </w:p>
    <w:p>
      <w:pPr>
        <w:pStyle w:val="FirstParagraph"/>
      </w:pPr>
      <w:r>
        <w:t xml:space="preserve">where</w:t>
      </w:r>
      <w:r>
        <w:t xml:space="preserve"> </w:t>
      </w:r>
      <m:oMath>
        <m:sSub>
          <m:e>
            <m:r>
              <m:t>w</m:t>
            </m:r>
          </m:e>
          <m:sub>
            <m:r>
              <m:t>c</m:t>
            </m:r>
          </m:sub>
        </m:sSub>
      </m:oMath>
      <w:r>
        <w:t xml:space="preserve"> </w:t>
      </w:r>
      <w:r>
        <w:t xml:space="preserve">is the share of cell</w:t>
      </w:r>
      <w:r>
        <w:t xml:space="preserve"> </w:t>
      </w:r>
      <m:oMath>
        <m:r>
          <m:t>c</m:t>
        </m:r>
      </m:oMath>
      <w:r>
        <w:t xml:space="preserve"> </w:t>
      </w:r>
      <w:r>
        <w:t xml:space="preserve">lying inside the Program Area, and</w:t>
      </w:r>
      <w:r>
        <w:t xml:space="preserve"> </w:t>
      </w:r>
      <m:oMath>
        <m:r>
          <m:t>κ</m:t>
        </m:r>
      </m:oMath>
      <w:r>
        <w:t xml:space="preserve"> </w:t>
      </w:r>
      <w:r>
        <w:t xml:space="preserve">= 5%. Below</w:t>
      </w:r>
      <w:r>
        <w:t xml:space="preserve"> </w:t>
      </w:r>
      <w:r>
        <w:t xml:space="preserve">the floor the component is</w:t>
      </w:r>
      <w:r>
        <w:t xml:space="preserve"> </w:t>
      </w:r>
      <w:r>
        <w:rPr>
          <w:b/>
          <w:bCs/>
        </w:rPr>
        <w:t xml:space="preserve">not reportable</w:t>
      </w:r>
      <w:r>
        <w:t xml:space="preserve">: it renders as no data, is excluded from the composite</w:t>
      </w:r>
      <w:r>
        <w:t xml:space="preserve"> </w:t>
      </w:r>
      <w:r>
        <w:t xml:space="preserve">exactly as a component with no scored cells already is, and is never published as a zero (a zero</w:t>
      </w:r>
      <w:r>
        <w:t xml:space="preserve"> </w:t>
      </w:r>
      <w:r>
        <w:t xml:space="preserve">would pull the composite down for a reason unrelated to sensitivity). The rule is geometric — defined</w:t>
      </w:r>
      <w:r>
        <w:t xml:space="preserve"> </w:t>
      </w:r>
      <w:r>
        <w:t xml:space="preserve">on which cells carry a value, not on the value itself. The composite itself is not subject to the</w:t>
      </w:r>
      <w:r>
        <w:t xml:space="preserve"> </w:t>
      </w:r>
      <w:r>
        <w:t xml:space="preserve">floor; it averages whichever components are reportable. On v7’s data the floor removes exactly one</w:t>
      </w:r>
      <w:r>
        <w:t xml:space="preserve"> </w:t>
      </w:r>
      <w:r>
        <w:t xml:space="preserve">of 151 Program Area × component pairs (sea turtles in St. George Basin, at 1.5 % coverage); in v7b the turtle core-habitat threshold has already emptied that area of turtles, so the</w:t>
      </w:r>
      <w:r>
        <w:t xml:space="preserve"> </w:t>
      </w:r>
      <w:r>
        <w:t xml:space="preserve">floor removes no further pair and stands as the reporting rule.</w:t>
      </w:r>
      <w:r>
        <w:t xml:space="preserve"> </w:t>
      </w:r>
      <w:r>
        <w:t xml:space="preserve">The next-lowest pair is High Arctic</w:t>
      </w:r>
      <w:r>
        <w:t xml:space="preserve"> </w:t>
      </w:r>
      <w:r>
        <w:t xml:space="preserve">corals at 7.3 %, so any floor between 2 % and 7 % gives the same answer.</w:t>
      </w:r>
    </w:p>
    <w:bookmarkEnd w:id="264"/>
    <w:bookmarkEnd w:id="265"/>
    <w:bookmarkStart w:id="282" w:name="visualization"/>
    <w:p>
      <w:pPr>
        <w:pStyle w:val="Heading2"/>
      </w:pPr>
      <w:r>
        <w:t xml:space="preserve">10.7 Visualization</w:t>
      </w:r>
    </w:p>
    <w:bookmarkStart w:id="270"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4"/>
        </w:numPr>
      </w:pPr>
      <w:r>
        <w:rPr>
          <w:b/>
          <w:bCs/>
        </w:rPr>
        <w:t xml:space="preserve">petal length</w:t>
      </w:r>
      <w:r>
        <w:t xml:space="preserve"> </w:t>
      </w:r>
      <w:r>
        <w:t xml:space="preserve">— the rescaled score (0–100) for that category; longer means more sensitive</w:t>
      </w:r>
    </w:p>
    <w:p>
      <w:pPr>
        <w:pStyle w:val="Compact"/>
        <w:numPr>
          <w:ilvl w:val="0"/>
          <w:numId w:val="1024"/>
        </w:numPr>
      </w:pPr>
      <w:r>
        <w:rPr>
          <w:b/>
          <w:bCs/>
        </w:rPr>
        <w:t xml:space="preserve">petal width</w:t>
      </w:r>
      <w:r>
        <w:t xml:space="preserve"> </w:t>
      </w:r>
      <w:r>
        <w:t xml:space="preserve">— that category’s weight in the composite; wider means more influence</w:t>
      </w:r>
    </w:p>
    <w:p>
      <w:pPr>
        <w:pStyle w:val="Compact"/>
        <w:numPr>
          <w:ilvl w:val="0"/>
          <w:numId w:val="1024"/>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9" w:name="fig-flower-programareas"/>
          <w:p>
            <w:pPr>
              <w:pStyle w:val="Compact"/>
              <w:jc w:val="center"/>
            </w:pPr>
            <w:r>
              <w:drawing>
                <wp:inline>
                  <wp:extent cx="5334000" cy="3556000"/>
                  <wp:effectExtent b="0" l="0" r="0" t="0"/>
                  <wp:docPr descr="" title="" id="267" name="Picture"/>
                  <a:graphic>
                    <a:graphicData uri="http://schemas.openxmlformats.org/drawingml/2006/picture">
                      <pic:pic>
                        <pic:nvPicPr>
                          <pic:cNvPr descr="figures/flower-plot_programareas.png" id="268" name="Picture"/>
                          <pic:cNvPicPr>
                            <a:picLocks noChangeArrowheads="1" noChangeAspect="1"/>
                          </pic:cNvPicPr>
                        </pic:nvPicPr>
                        <pic:blipFill>
                          <a:blip r:embed="rId26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9"/>
        </w:tc>
      </w:tr>
    </w:tbl>
    <w:p>
      <w:pPr>
        <w:pStyle w:val="BodyText"/>
      </w:pPr>
      <w:r>
        <w:t xml:space="preserve">It lets a reader see at a glance which ecological elements drive sensitivity in an area. The scores app implements an interactive version.</w:t>
      </w:r>
    </w:p>
    <w:bookmarkEnd w:id="270"/>
    <w:bookmarkStart w:id="279"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4" w:name="fig-treemap"/>
          <w:p>
            <w:pPr>
              <w:pStyle w:val="Compact"/>
              <w:jc w:val="center"/>
            </w:pPr>
            <w:r>
              <w:drawing>
                <wp:inline>
                  <wp:extent cx="5118100" cy="4572000"/>
                  <wp:effectExtent b="0" l="0" r="0" t="0"/>
                  <wp:docPr descr="" title="" id="272" name="Picture"/>
                  <a:graphic>
                    <a:graphicData uri="http://schemas.openxmlformats.org/drawingml/2006/picture">
                      <pic:pic>
                        <pic:nvPicPr>
                          <pic:cNvPr descr="figures/treeamap_extrisk-taxa.png" id="273" name="Picture"/>
                          <pic:cNvPicPr>
                            <a:picLocks noChangeArrowheads="1" noChangeAspect="1"/>
                          </pic:cNvPicPr>
                        </pic:nvPicPr>
                        <pic:blipFill>
                          <a:blip r:embed="rId271"/>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8" w:name="fig-treemap-zoom"/>
          <w:p>
            <w:pPr>
              <w:pStyle w:val="Compact"/>
              <w:jc w:val="center"/>
            </w:pPr>
            <w:r>
              <w:drawing>
                <wp:inline>
                  <wp:extent cx="5334000" cy="3673186"/>
                  <wp:effectExtent b="0" l="0" r="0" t="0"/>
                  <wp:docPr descr="" title="" id="276" name="Picture"/>
                  <a:graphic>
                    <a:graphicData uri="http://schemas.openxmlformats.org/drawingml/2006/picture">
                      <pic:pic>
                        <pic:nvPicPr>
                          <pic:cNvPr descr="figures/treeamap_extrisk-taxa_zoom.png" id="277" name="Picture"/>
                          <pic:cNvPicPr>
                            <a:picLocks noChangeArrowheads="1" noChangeAspect="1"/>
                          </pic:cNvPicPr>
                        </pic:nvPicPr>
                        <pic:blipFill>
                          <a:blip r:embed="rId275"/>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8"/>
        </w:tc>
      </w:tr>
    </w:tbl>
    <w:bookmarkEnd w:id="279"/>
    <w:bookmarkStart w:id="280"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80"/>
    <w:bookmarkStart w:id="281" w:name="interactive-maps"/>
    <w:p>
      <w:pPr>
        <w:pStyle w:val="Heading3"/>
      </w:pPr>
      <w:r>
        <w:t xml:space="preserve">10.7.4 Interactive maps</w:t>
      </w:r>
    </w:p>
    <w:p>
      <w:pPr>
        <w:pStyle w:val="FirstParagraph"/>
      </w:pPr>
      <w:r>
        <w:t xml:space="preserve">Two Shiny applications present the results, each rendering</w:t>
      </w:r>
      <w:r>
        <w:t xml:space="preserve"> </w:t>
      </w:r>
      <w:r>
        <w:rPr>
          <w:b/>
          <w:bCs/>
        </w:rPr>
        <w:t xml:space="preserve">any published release</w:t>
      </w:r>
      <w:r>
        <w:t xml:space="preserve"> </w:t>
      </w:r>
      <w:r>
        <w:t xml:space="preserve">from the URL path rather than being frozen to one:</w:t>
      </w:r>
    </w:p>
    <w:p>
      <w:pPr>
        <w:pStyle w:val="Compact"/>
        <w:numPr>
          <w:ilvl w:val="0"/>
          <w:numId w:val="1025"/>
        </w:numPr>
      </w:pPr>
      <w:hyperlink r:id="rId21">
        <w:r>
          <w:rPr>
            <w:rStyle w:val="Hyperlink"/>
            <w:b/>
            <w:bCs/>
          </w:rPr>
          <w:t xml:space="preserve">Scores</w:t>
        </w:r>
      </w:hyperlink>
      <w:r>
        <w:t xml:space="preserve"> </w:t>
      </w:r>
      <w:r>
        <w:t xml:space="preserve">— composite and per-category sensitivity by zone, with flower plots and treemaps (see</w:t>
      </w:r>
      <w:r>
        <w:t xml:space="preserve"> </w:t>
      </w:r>
      <w:hyperlink w:anchor="sec-app-scores">
        <w:r>
          <w:rPr>
            <w:rStyle w:val="Hyperlink"/>
          </w:rPr>
          <w:t xml:space="preserve">Appendix D</w:t>
        </w:r>
      </w:hyperlink>
      <w:r>
        <w:t xml:space="preserve">)</w:t>
      </w:r>
    </w:p>
    <w:p>
      <w:pPr>
        <w:pStyle w:val="Compact"/>
        <w:numPr>
          <w:ilvl w:val="0"/>
          <w:numId w:val="1025"/>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species">
        <w:r>
          <w:rPr>
            <w:rStyle w:val="Hyperlink"/>
          </w:rPr>
          <w:t xml:space="preserve">Appendix F</w:t>
        </w:r>
      </w:hyperlink>
      <w:r>
        <w:t xml:space="preserve">)</w:t>
      </w:r>
    </w:p>
    <w:p>
      <w:pPr>
        <w:pStyle w:val="FirstParagraph"/>
      </w:pPr>
      <w:r>
        <w:t xml:space="preserve">Substitute the version in the path (e.g. </w:t>
      </w:r>
      <w:r>
        <w:rPr>
          <w:rStyle w:val="VerbatimChar"/>
        </w:rPr>
        <w:t xml:space="preserve">/v3/scores/</w:t>
      </w:r>
      <w:r>
        <w:t xml:space="preserve">) to view that release; an older</w:t>
      </w:r>
      <w:r>
        <w:t xml:space="preserve"> </w:t>
      </w:r>
      <w:r>
        <w:rPr>
          <w:rStyle w:val="VerbatimChar"/>
        </w:rPr>
        <w:t xml:space="preserve">?ver=v3</w:t>
      </w:r>
      <w:r>
        <w:t xml:space="preserve"> </w:t>
      </w:r>
      <w:r>
        <w:t xml:space="preserve">deep link still resolves, 301’d to the equivalent path. See</w:t>
      </w:r>
      <w:r>
        <w:t xml:space="preserve"> </w:t>
      </w:r>
      <w:hyperlink w:anchor="sec-apps">
        <w:r>
          <w:rPr>
            <w:rStyle w:val="Hyperlink"/>
          </w:rPr>
          <w:t xml:space="preserve">Chapter 19</w:t>
        </w:r>
      </w:hyperlink>
      <w:r>
        <w:t xml:space="preserve">.</w:t>
      </w:r>
    </w:p>
    <w:bookmarkEnd w:id="281"/>
    <w:bookmarkEnd w:id="282"/>
    <w:bookmarkStart w:id="283"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3"/>
    <w:bookmarkEnd w:id="284"/>
    <w:bookmarkStart w:id="287"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5">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6" w:name="mst-walkthrough-root"/>
    <w:bookmarkEnd w:id="286"/>
    <w:bookmarkEnd w:id="287"/>
    <w:bookmarkStart w:id="294"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2"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1" w:name="fig-cum-effects"/>
          <w:p>
            <w:pPr>
              <w:pStyle w:val="Compact"/>
              <w:jc w:val="center"/>
            </w:pPr>
            <w:r>
              <w:drawing>
                <wp:inline>
                  <wp:extent cx="5334000" cy="3953635"/>
                  <wp:effectExtent b="0" l="0" r="0" t="0"/>
                  <wp:docPr descr="" title="" id="289" name="Picture"/>
                  <a:graphic>
                    <a:graphicData uri="http://schemas.openxmlformats.org/drawingml/2006/picture">
                      <pic:pic>
                        <pic:nvPicPr>
                          <pic:cNvPr descr="figures/goodale2016_cumulative-effects.png" id="290" name="Picture"/>
                          <pic:cNvPicPr>
                            <a:picLocks noChangeArrowheads="1" noChangeAspect="1"/>
                          </pic:cNvPicPr>
                        </pic:nvPicPr>
                        <pic:blipFill>
                          <a:blip r:embed="rId288"/>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1"/>
        </w:tc>
      </w:tr>
    </w:tbl>
    <w:bookmarkEnd w:id="292"/>
    <w:bookmarkStart w:id="293" w:name="oil-gas"/>
    <w:p>
      <w:pPr>
        <w:pStyle w:val="Heading2"/>
      </w:pPr>
      <w:r>
        <w:t xml:space="preserve">12.2 Oil &amp; Gas</w:t>
      </w:r>
    </w:p>
    <w:bookmarkEnd w:id="293"/>
    <w:bookmarkEnd w:id="294"/>
    <w:bookmarkStart w:id="339" w:name="sec-software"/>
    <w:p>
      <w:pPr>
        <w:pStyle w:val="Heading1"/>
      </w:pPr>
      <w:r>
        <w:t xml:space="preserve">13. Software</w:t>
      </w:r>
    </w:p>
    <w:bookmarkStart w:id="338"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6"/>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6"/>
        </w:numPr>
      </w:pPr>
      <w:r>
        <w:rPr>
          <w:b/>
          <w:bCs/>
        </w:rPr>
        <w:t xml:space="preserve">database</w:t>
      </w:r>
      <w:r>
        <w:t xml:space="preserve"> </w:t>
      </w:r>
      <w:r>
        <w:t xml:space="preserve">— a columnar, embedded analytic database (</w:t>
      </w:r>
      <w:hyperlink r:id="rId295">
        <w:r>
          <w:rPr>
            <w:rStyle w:val="Hyperlink"/>
            <w:b/>
            <w:bCs/>
          </w:rPr>
          <w:t xml:space="preserve">DuckDB</w:t>
        </w:r>
      </w:hyperlink>
      <w:r>
        <w:t xml:space="preserve">) as the single source of truth for species distributions, per-cell scores and derived per-zone metrics;</w:t>
      </w:r>
    </w:p>
    <w:p>
      <w:pPr>
        <w:pStyle w:val="Compact"/>
        <w:numPr>
          <w:ilvl w:val="0"/>
          <w:numId w:val="1026"/>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6"/>
        </w:numPr>
      </w:pPr>
      <w:r>
        <w:rPr>
          <w:b/>
          <w:bCs/>
        </w:rPr>
        <w:t xml:space="preserve">APIs</w:t>
      </w:r>
      <w:r>
        <w:t xml:space="preserve"> </w:t>
      </w:r>
      <w:r>
        <w:t xml:space="preserve">— a custom R</w:t>
      </w:r>
      <w:r>
        <w:t xml:space="preserve"> </w:t>
      </w:r>
      <w:hyperlink r:id="rId296">
        <w:r>
          <w:rPr>
            <w:rStyle w:val="VerbatimChar"/>
          </w:rPr>
          <w:t xml:space="preserve">plumber</w:t>
        </w:r>
      </w:hyperlink>
      <w:r>
        <w:t xml:space="preserve"> </w:t>
      </w:r>
      <w:r>
        <w:t xml:space="preserve">API for data requests,</w:t>
      </w:r>
      <w:r>
        <w:t xml:space="preserve"> </w:t>
      </w:r>
      <w:hyperlink r:id="rId297">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6"/>
        </w:numPr>
      </w:pPr>
      <w:r>
        <w:rPr>
          <w:b/>
          <w:bCs/>
        </w:rPr>
        <w:t xml:space="preserve">libraries</w:t>
      </w:r>
      <w:r>
        <w:t xml:space="preserve"> </w:t>
      </w:r>
      <w:r>
        <w:t xml:space="preserve">— re-usable documented functions as the</w:t>
      </w:r>
      <w:r>
        <w:t xml:space="preserve"> </w:t>
      </w:r>
      <w:hyperlink r:id="rId298">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6"/>
        </w:numPr>
      </w:pPr>
      <w:r>
        <w:rPr>
          <w:b/>
          <w:bCs/>
        </w:rPr>
        <w:t xml:space="preserve">applications</w:t>
      </w:r>
      <w:r>
        <w:t xml:space="preserve"> </w:t>
      </w:r>
      <w:r>
        <w:t xml:space="preserve">— two Shiny apps (</w:t>
      </w:r>
      <w:r>
        <w:rPr>
          <w:rStyle w:val="VerbatimChar"/>
        </w:rPr>
        <w:t xml:space="preserve">scores</w:t>
      </w:r>
      <w:r>
        <w:t xml:space="preserve">,</w:t>
      </w:r>
      <w:r>
        <w:t xml:space="preserve"> </w:t>
      </w:r>
      <w:r>
        <w:rPr>
          <w:rStyle w:val="VerbatimChar"/>
        </w:rPr>
        <w:t xml:space="preserve">species</w:t>
      </w:r>
      <w:r>
        <w:t xml:space="preserve">) that combine COG raster layers with static</w:t>
      </w:r>
      <w:r>
        <w:t xml:space="preserve"> </w:t>
      </w:r>
      <w:hyperlink r:id="rId299">
        <w:r>
          <w:rPr>
            <w:rStyle w:val="Hyperlink"/>
          </w:rPr>
          <w:t xml:space="preserve">PMTiles</w:t>
        </w:r>
      </w:hyperlink>
      <w:r>
        <w:t xml:space="preserve"> </w:t>
      </w:r>
      <w:r>
        <w:t xml:space="preserve">vector layers and live-pushed choropleth paint rules, each rendering</w:t>
      </w:r>
      <w:r>
        <w:t xml:space="preserve"> </w:t>
      </w:r>
      <w:r>
        <w:rPr>
          <w:b/>
          <w:bCs/>
        </w:rPr>
        <w:t xml:space="preserve">any published release</w:t>
      </w:r>
      <w:r>
        <w:t xml:space="preserve"> </w:t>
      </w:r>
      <w:r>
        <w:t xml:space="preserve">from the URL path;</w:t>
      </w:r>
    </w:p>
    <w:p>
      <w:pPr>
        <w:pStyle w:val="Compact"/>
        <w:numPr>
          <w:ilvl w:val="0"/>
          <w:numId w:val="1026"/>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3" w:name="fig-architecture"/>
          <w:p>
            <w:pPr>
              <w:jc w:val="center"/>
            </w:pPr>
            <w:r>
              <w:drawing>
                <wp:inline>
                  <wp:extent cx="5334000" cy="2087880"/>
                  <wp:effectExtent b="0" l="0" r="0" t="0"/>
                  <wp:docPr descr="" title="" id="301" name="Picture"/>
                  <a:graphic>
                    <a:graphicData uri="http://schemas.openxmlformats.org/drawingml/2006/picture">
                      <pic:pic>
                        <pic:nvPicPr>
                          <pic:cNvPr descr="software_files/figure-docx/mermaid-figure-6.png" id="302" name="Picture"/>
                          <pic:cNvPicPr>
                            <a:picLocks noChangeArrowheads="1" noChangeAspect="1"/>
                          </pic:cNvPicPr>
                        </pic:nvPicPr>
                        <pic:blipFill>
                          <a:blip r:embed="rId300"/>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3"/>
        </w:tc>
      </w:tr>
    </w:tbl>
    <w:bookmarkStart w:id="305" w:name="interactive-applications"/>
    <w:p>
      <w:pPr>
        <w:pStyle w:val="Heading3"/>
      </w:pPr>
      <w:r>
        <w:t xml:space="preserve">13.1.1 Interactive Applications</w:t>
      </w:r>
    </w:p>
    <w:p>
      <w:pPr>
        <w:pStyle w:val="FirstParagraph"/>
      </w:pPr>
      <w:r>
        <w:t xml:space="preserve">We have developed a series of interactive applications to explore the data and results of the MST project. These applications allow users to visualize the data, explore the results, and interact with the data in a more intuitive way. The applications are built using the</w:t>
      </w:r>
      <w:r>
        <w:t xml:space="preserve"> </w:t>
      </w:r>
      <w:hyperlink r:id="rId304">
        <w:r>
          <w:rPr>
            <w:rStyle w:val="VerbatimChar"/>
          </w:rPr>
          <w:t xml:space="preserve">shiny</w:t>
        </w:r>
      </w:hyperlink>
      <w:r>
        <w:t xml:space="preserve"> </w:t>
      </w:r>
      <w:r>
        <w:t xml:space="preserve">package in R</w:t>
      </w:r>
      <w:r>
        <w:t xml:space="preserve"> </w:t>
      </w:r>
      <w:r>
        <w:t xml:space="preserve">(Chang et al. 2024)</w:t>
      </w:r>
      <w:r>
        <w:t xml:space="preserve">, which allows us to easily create a user interface with complex reactivity for an interactive web application easily accessed through a web browser. The applications are designed to be user-friendly and intuitive, with interactive maps, charts, and tables that allow users to explore the data in a more dynamic way.</w:t>
      </w:r>
    </w:p>
    <w:bookmarkEnd w:id="305"/>
    <w:bookmarkStart w:id="330"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6">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7">
        <w:r>
          <w:rPr>
            <w:rStyle w:val="Hyperlink"/>
          </w:rPr>
          <w:t xml:space="preserve">Cloud-Optimized Geospatial Formats Guide</w:t>
        </w:r>
      </w:hyperlink>
      <w:r>
        <w:t xml:space="preserve">) that transfers only the pixels / features visible in the current viewport:</w:t>
      </w:r>
    </w:p>
    <w:p>
      <w:pPr>
        <w:pStyle w:val="Compact"/>
        <w:numPr>
          <w:ilvl w:val="0"/>
          <w:numId w:val="1027"/>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7"/>
        </w:numPr>
      </w:pPr>
      <w:r>
        <w:rPr>
          <w:b/>
          <w:bCs/>
        </w:rPr>
        <w:t xml:space="preserve">Vector polygons</w:t>
      </w:r>
      <w:r>
        <w:t xml:space="preserve"> </w:t>
      </w:r>
      <w:r>
        <w:t xml:space="preserve">(Program Areas, Ecoregions, Planning Areas, …) are served as static</w:t>
      </w:r>
      <w:r>
        <w:t xml:space="preserve"> </w:t>
      </w:r>
      <w:hyperlink r:id="rId299">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7"/>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2"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8"/>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8"/>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1" w:name="fig-raster"/>
          <w:p>
            <w:pPr>
              <w:jc w:val="center"/>
            </w:pPr>
            <w:r>
              <w:drawing>
                <wp:inline>
                  <wp:extent cx="5334000" cy="2895599"/>
                  <wp:effectExtent b="0" l="0" r="0" t="0"/>
                  <wp:docPr descr="" title="" id="309" name="Picture"/>
                  <a:graphic>
                    <a:graphicData uri="http://schemas.openxmlformats.org/drawingml/2006/picture">
                      <pic:pic>
                        <pic:nvPicPr>
                          <pic:cNvPr descr="software_files/figure-docx/mermaid-figure-10.png" id="310" name="Picture"/>
                          <pic:cNvPicPr>
                            <a:picLocks noChangeArrowheads="1" noChangeAspect="1"/>
                          </pic:cNvPicPr>
                        </pic:nvPicPr>
                        <pic:blipFill>
                          <a:blip r:embed="rId308"/>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1"/>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2"/>
    <w:bookmarkStart w:id="319"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9">
        <w:r>
          <w:rPr>
            <w:rStyle w:val="Hyperlink"/>
          </w:rPr>
          <w:t xml:space="preserve">PMTiles</w:t>
        </w:r>
      </w:hyperlink>
      <w:r>
        <w:t xml:space="preserve"> </w:t>
      </w:r>
      <w:r>
        <w:t xml:space="preserve">archives offline via</w:t>
      </w:r>
      <w:r>
        <w:t xml:space="preserve"> </w:t>
      </w:r>
      <w:hyperlink r:id="rId313">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7" w:name="fig-pmtiles"/>
          <w:p>
            <w:pPr>
              <w:jc w:val="center"/>
            </w:pPr>
            <w:r>
              <w:drawing>
                <wp:inline>
                  <wp:extent cx="5334000" cy="1866900"/>
                  <wp:effectExtent b="0" l="0" r="0" t="0"/>
                  <wp:docPr descr="" title="" id="315" name="Picture"/>
                  <a:graphic>
                    <a:graphicData uri="http://schemas.openxmlformats.org/drawingml/2006/picture">
                      <pic:pic>
                        <pic:nvPicPr>
                          <pic:cNvPr descr="software_files/figure-docx/mermaid-figure-9.png" id="316" name="Picture"/>
                          <pic:cNvPicPr>
                            <a:picLocks noChangeArrowheads="1" noChangeAspect="1"/>
                          </pic:cNvPicPr>
                        </pic:nvPicPr>
                        <pic:blipFill>
                          <a:blip r:embed="rId314"/>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7"/>
        </w:tc>
      </w:tr>
    </w:tbl>
    <w:p>
      <w:pPr>
        <w:pStyle w:val="BodyText"/>
      </w:pPr>
      <w:r>
        <w:t xml:space="preserve">This is a deliberate simplification from the prior architecture which used PostgreSQL + PostGIS +</w:t>
      </w:r>
      <w:r>
        <w:t xml:space="preserve"> </w:t>
      </w:r>
      <w:hyperlink r:id="rId318">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9"/>
    <w:bookmarkStart w:id="324"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The Shiny server handles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maps</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3" w:name="fig-choropleth"/>
          <w:p>
            <w:pPr>
              <w:jc w:val="center"/>
            </w:pPr>
            <w:r>
              <w:drawing>
                <wp:inline>
                  <wp:extent cx="5334000" cy="2339340"/>
                  <wp:effectExtent b="0" l="0" r="0" t="0"/>
                  <wp:docPr descr="" title="" id="321" name="Picture"/>
                  <a:graphic>
                    <a:graphicData uri="http://schemas.openxmlformats.org/drawingml/2006/picture">
                      <pic:pic>
                        <pic:nvPicPr>
                          <pic:cNvPr descr="software_files/figure-docx/mermaid-figure-8.png" id="322" name="Picture"/>
                          <pic:cNvPicPr>
                            <a:picLocks noChangeArrowheads="1" noChangeAspect="1"/>
                          </pic:cNvPicPr>
                        </pic:nvPicPr>
                        <pic:blipFill>
                          <a:blip r:embed="rId320"/>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3"/>
        </w:tc>
      </w:tr>
    </w:tbl>
    <w:bookmarkEnd w:id="324"/>
    <w:bookmarkStart w:id="329"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8" w:name="fig-data-pipeline"/>
          <w:p>
            <w:pPr>
              <w:jc w:val="center"/>
            </w:pPr>
            <w:r>
              <w:drawing>
                <wp:inline>
                  <wp:extent cx="5334000" cy="3055619"/>
                  <wp:effectExtent b="0" l="0" r="0" t="0"/>
                  <wp:docPr descr="" title="" id="326" name="Picture"/>
                  <a:graphic>
                    <a:graphicData uri="http://schemas.openxmlformats.org/drawingml/2006/picture">
                      <pic:pic>
                        <pic:nvPicPr>
                          <pic:cNvPr descr="software_files/figure-docx/mermaid-figure-7.png" id="327" name="Picture"/>
                          <pic:cNvPicPr>
                            <a:picLocks noChangeArrowheads="1" noChangeAspect="1"/>
                          </pic:cNvPicPr>
                        </pic:nvPicPr>
                        <pic:blipFill>
                          <a:blip r:embed="rId325"/>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8"/>
        </w:tc>
      </w:tr>
    </w:tbl>
    <w:bookmarkEnd w:id="329"/>
    <w:bookmarkEnd w:id="330"/>
    <w:bookmarkStart w:id="332" w:name="github-repositories"/>
    <w:p>
      <w:pPr>
        <w:pStyle w:val="Heading3"/>
      </w:pPr>
      <w:r>
        <w:t xml:space="preserve">13.1.3 Github Repositories</w:t>
      </w:r>
    </w:p>
    <w:p>
      <w:pPr>
        <w:pStyle w:val="FirstParagraph"/>
      </w:pPr>
      <w:r>
        <w:t xml:space="preserve">See the</w:t>
      </w:r>
      <w:r>
        <w:t xml:space="preserve"> </w:t>
      </w:r>
      <w:hyperlink r:id="rId331">
        <w:r>
          <w:rPr>
            <w:rStyle w:val="Hyperlink"/>
          </w:rPr>
          <w:t xml:space="preserve">MarineSensitivity organization on GitHub</w:t>
        </w:r>
      </w:hyperlink>
      <w:r>
        <w:t xml:space="preserve">.</w:t>
      </w:r>
    </w:p>
    <w:bookmarkEnd w:id="332"/>
    <w:bookmarkStart w:id="337" w:name="software-components"/>
    <w:p>
      <w:pPr>
        <w:pStyle w:val="Heading3"/>
      </w:pPr>
      <w:r>
        <w:t xml:space="preserve">13.1.4 Software Components</w:t>
      </w:r>
    </w:p>
    <w:bookmarkStart w:id="333" w:name="list-components"/>
    <w:bookmarkEnd w:id="333"/>
    <w:p>
      <w:pPr>
        <w:pStyle w:val="FirstParagraph"/>
      </w:pPr>
      <w:r>
        <w:drawing>
          <wp:inline>
            <wp:extent cx="5334000" cy="5215816"/>
            <wp:effectExtent b="0" l="0" r="0" t="0"/>
            <wp:docPr descr="" title="" id="335" name="Picture"/>
            <a:graphic>
              <a:graphicData uri="http://schemas.openxmlformats.org/drawingml/2006/picture">
                <pic:pic>
                  <pic:nvPicPr>
                    <pic:cNvPr descr="figures/listing-software.png" id="336" name="Picture"/>
                    <pic:cNvPicPr>
                      <a:picLocks noChangeArrowheads="1" noChangeAspect="1"/>
                    </pic:cNvPicPr>
                  </pic:nvPicPr>
                  <pic:blipFill>
                    <a:blip r:embed="rId334"/>
                    <a:stretch>
                      <a:fillRect/>
                    </a:stretch>
                  </pic:blipFill>
                  <pic:spPr bwMode="auto">
                    <a:xfrm>
                      <a:off x="0" y="0"/>
                      <a:ext cx="5334000" cy="5215816"/>
                    </a:xfrm>
                    <a:prstGeom prst="rect">
                      <a:avLst/>
                    </a:prstGeom>
                    <a:noFill/>
                    <a:ln w="9525">
                      <a:noFill/>
                      <a:headEnd/>
                      <a:tailEnd/>
                    </a:ln>
                  </pic:spPr>
                </pic:pic>
              </a:graphicData>
            </a:graphic>
          </wp:inline>
        </w:drawing>
      </w:r>
    </w:p>
    <w:bookmarkEnd w:id="337"/>
    <w:bookmarkEnd w:id="338"/>
    <w:bookmarkEnd w:id="339"/>
    <w:bookmarkStart w:id="389" w:name="sec-server"/>
    <w:p>
      <w:pPr>
        <w:pStyle w:val="Heading1"/>
      </w:pPr>
      <w:r>
        <w:t xml:space="preserve">14. Server</w:t>
      </w:r>
    </w:p>
    <w:p>
      <w:pPr>
        <w:pStyle w:val="FirstParagraph"/>
      </w:pPr>
      <w:r>
        <w:t xml:space="preserve">The server is for serving up any web services outside those of Github (e.g.,</w:t>
      </w:r>
      <w:r>
        <w:t xml:space="preserve"> </w:t>
      </w:r>
      <w:hyperlink r:id="rId340">
        <w:r>
          <w:rPr>
            <w:rStyle w:val="Hyperlink"/>
          </w:rPr>
          <w:t xml:space="preserve">website</w:t>
        </w:r>
      </w:hyperlink>
      <w:r>
        <w:t xml:space="preserve">,</w:t>
      </w:r>
      <w:r>
        <w:t xml:space="preserve"> </w:t>
      </w:r>
      <w:hyperlink r:id="rId341">
        <w:r>
          <w:rPr>
            <w:rStyle w:val="Hyperlink"/>
          </w:rPr>
          <w:t xml:space="preserve">docs</w:t>
        </w:r>
      </w:hyperlink>
      <w:r>
        <w:t xml:space="preserve"> </w:t>
      </w:r>
      <w:r>
        <w:t xml:space="preserve">and R package</w:t>
      </w:r>
      <w:r>
        <w:t xml:space="preserve"> </w:t>
      </w:r>
      <w:hyperlink r:id="rId342">
        <w:r>
          <w:rPr>
            <w:rStyle w:val="Hyperlink"/>
          </w:rPr>
          <w:t xml:space="preserve">msens</w:t>
        </w:r>
      </w:hyperlink>
      <w:r>
        <w:t xml:space="preserve">) using</w:t>
      </w:r>
      <w:r>
        <w:t xml:space="preserve"> </w:t>
      </w:r>
      <w:hyperlink r:id="rId343">
        <w:r>
          <w:rPr>
            <w:rStyle w:val="Hyperlink"/>
          </w:rPr>
          <w:t xml:space="preserve">Docker</w:t>
        </w:r>
      </w:hyperlink>
      <w:r>
        <w:t xml:space="preserve"> </w:t>
      </w:r>
      <w:r>
        <w:t xml:space="preserve">(see the</w:t>
      </w:r>
      <w:r>
        <w:t xml:space="preserve"> </w:t>
      </w:r>
      <w:hyperlink r:id="rId344">
        <w:r>
          <w:rPr>
            <w:rStyle w:val="Hyperlink"/>
          </w:rPr>
          <w:t xml:space="preserve">docker-compose.yml</w:t>
        </w:r>
      </w:hyperlink>
      <w:r>
        <w:t xml:space="preserve">; with reverse proxying from subdomains to ports by</w:t>
      </w:r>
      <w:r>
        <w:t xml:space="preserve"> </w:t>
      </w:r>
      <w:hyperlink r:id="rId345">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61"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46">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49"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9"/>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9"/>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9"/>
        </w:numPr>
      </w:pPr>
      <w:r>
        <w:t xml:space="preserve">Firewall (security group)</w:t>
      </w:r>
      <w:r>
        <w:br/>
      </w:r>
      <w:r>
        <w:t xml:space="preserve">New security group</w:t>
      </w:r>
    </w:p>
    <w:p>
      <w:pPr>
        <w:pStyle w:val="Compact"/>
        <w:numPr>
          <w:ilvl w:val="0"/>
          <w:numId w:val="1029"/>
        </w:numPr>
      </w:pPr>
      <w:r>
        <w:t xml:space="preserve">Storage (volumes)</w:t>
      </w:r>
      <w:r>
        <w:br/>
      </w:r>
      <w:r>
        <w:t xml:space="preserve">2 volume(s)</w:t>
      </w:r>
    </w:p>
    <w:p>
      <w:pPr>
        <w:pStyle w:val="Compact"/>
        <w:numPr>
          <w:ilvl w:val="1"/>
          <w:numId w:val="1030"/>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0"/>
        </w:numPr>
      </w:pPr>
      <w:r>
        <w:rPr>
          <w:b/>
          <w:bCs/>
        </w:rPr>
        <w:t xml:space="preserve">60 GB</w:t>
      </w:r>
      <w:r>
        <w:br/>
      </w:r>
      <w:r>
        <w:rPr>
          <w:rStyle w:val="VerbatimChar"/>
        </w:rPr>
        <w:t xml:space="preserve">/share</w:t>
      </w:r>
      <w:r>
        <w:t xml:space="preserve"> </w:t>
      </w:r>
      <w:r>
        <w:t xml:space="preserve">for all data, persistent and to be backed up</w:t>
      </w:r>
    </w:p>
    <w:bookmarkStart w:id="348" w:name="allocate-ip-address"/>
    <w:p>
      <w:pPr>
        <w:pStyle w:val="Heading4"/>
      </w:pPr>
      <w:r>
        <w:t xml:space="preserve">14.1.1.1 allocate IP address</w:t>
      </w:r>
    </w:p>
    <w:p>
      <w:pPr>
        <w:numPr>
          <w:ilvl w:val="0"/>
          <w:numId w:val="1031"/>
        </w:numPr>
      </w:pPr>
      <w:hyperlink r:id="rId347">
        <w:r>
          <w:rPr>
            <w:rStyle w:val="Hyperlink"/>
          </w:rPr>
          <w:t xml:space="preserve">Elastic IP addresses | EC2 | us-east-1</w:t>
        </w:r>
      </w:hyperlink>
      <w:r>
        <w:t xml:space="preserve"> </w:t>
      </w:r>
      <w:r>
        <w:t xml:space="preserve">for persistent IP address</w:t>
      </w:r>
    </w:p>
    <w:p>
      <w:pPr>
        <w:numPr>
          <w:ilvl w:val="0"/>
          <w:numId w:val="1031"/>
        </w:numPr>
      </w:pPr>
      <w:r>
        <w:t xml:space="preserve">Allocated IPv4 address:</w:t>
      </w:r>
      <w:r>
        <w:t xml:space="preserve"> </w:t>
      </w:r>
      <w:r>
        <w:rPr>
          <w:rStyle w:val="VerbatimChar"/>
        </w:rPr>
        <w:t xml:space="preserve">100.25.173.0</w:t>
      </w:r>
    </w:p>
    <w:p>
      <w:pPr>
        <w:numPr>
          <w:ilvl w:val="0"/>
          <w:numId w:val="1031"/>
        </w:numPr>
      </w:pPr>
      <w:r>
        <w:t xml:space="preserve">Associate Elastic IP address</w:t>
      </w:r>
    </w:p>
    <w:bookmarkEnd w:id="348"/>
    <w:bookmarkEnd w:id="349"/>
    <w:bookmarkStart w:id="354"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51" w:name="set-hostname"/>
    <w:p>
      <w:pPr>
        <w:pStyle w:val="Heading4"/>
      </w:pPr>
      <w:r>
        <w:t xml:space="preserve">14.1.2.1 set hostname</w:t>
      </w:r>
    </w:p>
    <w:p>
      <w:pPr>
        <w:pStyle w:val="Compact"/>
        <w:numPr>
          <w:ilvl w:val="0"/>
          <w:numId w:val="1032"/>
        </w:numPr>
      </w:pPr>
      <w:hyperlink r:id="rId350">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51"/>
    <w:bookmarkStart w:id="353"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3"/>
        </w:numPr>
      </w:pPr>
      <w:hyperlink r:id="rId352">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53"/>
    <w:bookmarkEnd w:id="354"/>
    <w:bookmarkStart w:id="358" w:name="install-docker"/>
    <w:p>
      <w:pPr>
        <w:pStyle w:val="Heading3"/>
      </w:pPr>
      <w:r>
        <w:t xml:space="preserve">14.1.3 install docker</w:t>
      </w:r>
    </w:p>
    <w:p>
      <w:pPr>
        <w:pStyle w:val="FirstParagraph"/>
      </w:pPr>
      <w:r>
        <w:t xml:space="preserve">Following:</w:t>
      </w:r>
    </w:p>
    <w:p>
      <w:pPr>
        <w:pStyle w:val="Compact"/>
        <w:numPr>
          <w:ilvl w:val="0"/>
          <w:numId w:val="1034"/>
        </w:numPr>
      </w:pPr>
      <w:hyperlink r:id="rId355">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57" w:name="run-docker-compose"/>
    <w:p>
      <w:pPr>
        <w:pStyle w:val="Heading4"/>
      </w:pPr>
      <w:r>
        <w:t xml:space="preserve">14.1.3.1 run docker compose</w:t>
      </w:r>
    </w:p>
    <w:p>
      <w:pPr>
        <w:pStyle w:val="Compact"/>
        <w:numPr>
          <w:ilvl w:val="0"/>
          <w:numId w:val="1035"/>
        </w:numPr>
      </w:pPr>
      <w:r>
        <w:t xml:space="preserve">/Users/bbest/My Drive/private/</w:t>
      </w:r>
      <w:hyperlink r:id="rId356">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57"/>
    <w:bookmarkEnd w:id="358"/>
    <w:bookmarkStart w:id="360"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59">
        <w:r>
          <w:rPr>
            <w:rStyle w:val="Hyperlink"/>
          </w:rPr>
          <w:t xml:space="preserve">Automate snapshot lifecycles - Amazon Elastic Compute Cloud</w:t>
        </w:r>
      </w:hyperlink>
      <w:r>
        <w:t xml:space="preserve">, created two policies:</w:t>
      </w:r>
    </w:p>
    <w:p>
      <w:pPr>
        <w:pStyle w:val="Compact"/>
        <w:numPr>
          <w:ilvl w:val="0"/>
          <w:numId w:val="1036"/>
        </w:numPr>
      </w:pPr>
      <w:r>
        <w:rPr>
          <w:b/>
          <w:bCs/>
        </w:rPr>
        <w:t xml:space="preserve">bkup_msens-share_daily</w:t>
      </w:r>
      <w:r>
        <w:t xml:space="preserve"> </w:t>
      </w:r>
      <w:r>
        <w:t xml:space="preserve">every 24 hrs at 09:00 UTC, max of 7</w:t>
      </w:r>
    </w:p>
    <w:p>
      <w:pPr>
        <w:pStyle w:val="Compact"/>
        <w:numPr>
          <w:ilvl w:val="0"/>
          <w:numId w:val="1036"/>
        </w:numPr>
      </w:pPr>
      <w:r>
        <w:rPr>
          <w:b/>
          <w:bCs/>
        </w:rPr>
        <w:t xml:space="preserve">bkup_msens-share_weekly</w:t>
      </w:r>
      <w:r>
        <w:t xml:space="preserve"> </w:t>
      </w:r>
      <w:r>
        <w:t xml:space="preserve">every Monday 09:00 UTC, max of 8</w:t>
      </w:r>
    </w:p>
    <w:bookmarkEnd w:id="360"/>
    <w:bookmarkEnd w:id="361"/>
    <w:bookmarkStart w:id="362"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44">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for these to the review host</w:t>
      </w:r>
      <w:r>
        <w:br/>
      </w:r>
      <w:r>
        <w:rPr>
          <w:rStyle w:val="CommentTok"/>
        </w:rPr>
        <w:t xml:space="preserve">      # instead of silently rendering the promoted release (or, for atlas, a</w:t>
      </w:r>
      <w:r>
        <w:br/>
      </w:r>
      <w:r>
        <w:rPr>
          <w:rStyle w:val="CommentTok"/>
        </w:rPr>
        <w:t xml:space="preserve">      # bare 404 -- this host has no other route for /{ver}/atlas/ at all).</w:t>
      </w:r>
      <w:r>
        <w:br/>
      </w:r>
      <w:r>
        <w:rPr>
          <w:rStyle w:val="CommentTok"/>
        </w:rPr>
        <w:t xml:space="preserve">      # Kept in the server .env beside PREVIEW_REVIEWERS_&lt;VER&gt;; DEPLOY_CADDY</w:t>
      </w:r>
      <w:r>
        <w:br/>
      </w:r>
      <w:r>
        <w:rPr>
          <w:rStyle w:val="CommentTok"/>
        </w:rPr>
        <w:t xml:space="preserve">      # asserts it against versions.json. Unset, nothing matches and the old</w:t>
      </w:r>
      <w:r>
        <w:br/>
      </w:r>
      <w:r>
        <w:rPr>
          <w:rStyle w:val="CommentTok"/>
        </w:rPr>
        <w:t xml:space="preserve">      # fallback behaviour stands.</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62"/>
    <w:bookmarkStart w:id="365" w:name="dns"/>
    <w:p>
      <w:pPr>
        <w:pStyle w:val="Heading2"/>
      </w:pPr>
      <w:r>
        <w:t xml:space="preserve">14.3 DNS</w:t>
      </w:r>
    </w:p>
    <w:p>
      <w:pPr>
        <w:pStyle w:val="FirstParagraph"/>
      </w:pPr>
      <w:r>
        <w:t xml:space="preserve">The domain name server (DNS) records are managed by</w:t>
      </w:r>
      <w:r>
        <w:t xml:space="preserve"> </w:t>
      </w:r>
      <w:hyperlink r:id="rId363">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64">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65"/>
    <w:bookmarkStart w:id="367"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66">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and /gazetteer/</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/scores and /species are now ONE app that renders any published release</w:t>
      </w:r>
      <w:r>
        <w:br/>
      </w:r>
      <w:r>
        <w:rPr>
          <w:rStyle w:val="VerbatimChar"/>
        </w:rPr>
        <w:t xml:space="preserve">    # from ?ver=. Every former per-version instance redirects to it rather than</w:t>
      </w:r>
      <w:r>
        <w:br/>
      </w:r>
      <w:r>
        <w:rPr>
          <w:rStyle w:val="VerbatimChar"/>
        </w:rPr>
        <w:t xml:space="preserve">    # 404ing, so old links, bookmarks and anything in a published report keep</w:t>
      </w:r>
      <w:r>
        <w:br/>
      </w:r>
      <w:r>
        <w:rPr>
          <w:rStyle w:val="VerbatimChar"/>
        </w:rPr>
        <w:t xml:space="preserve">    # resolving — to the SAME release they always showed.</w:t>
      </w:r>
      <w:r>
        <w:br/>
      </w:r>
      <w:r>
        <w:rPr>
          <w:rStyle w:val="VerbatimChar"/>
        </w:rPr>
        <w:t xml:space="preserve">    #</w:t>
      </w:r>
      <w:r>
        <w:br/>
      </w:r>
      <w:r>
        <w:rPr>
          <w:rStyle w:val="VerbatimChar"/>
        </w:rPr>
        <w:t xml:space="preserve">    # The v7 apps were `mapgl` (scores) and `mapsp` (species); v1-v6 were</w:t>
      </w:r>
      <w:r>
        <w:br/>
      </w:r>
      <w:r>
        <w:rPr>
          <w:rStyle w:val="VerbatimChar"/>
        </w:rPr>
        <w:t xml:space="preserve">    # `mapgl_v{n}` / `mapsp_v{n}`; v6 and v8 also had `scores_v{n}` /</w:t>
      </w:r>
      <w:r>
        <w:br/>
      </w:r>
      <w:r>
        <w:rPr>
          <w:rStyle w:val="VerbatimChar"/>
        </w:rPr>
        <w:t xml:space="preserve">    # `species_v{n}` aliases. All of them land on /scores or /species with the</w:t>
      </w:r>
      <w:r>
        <w:br/>
      </w:r>
      <w:r>
        <w:rPr>
          <w:rStyle w:val="VerbatimChar"/>
        </w:rPr>
        <w:t xml:space="preserve">    # version they represent.</w:t>
      </w:r>
      <w:r>
        <w:br/>
      </w:r>
      <w:r>
        <w:rPr>
          <w:rStyle w:val="VerbatimChar"/>
        </w:rPr>
        <w:t xml:space="preserve">    #</w:t>
      </w:r>
      <w:r>
        <w:br/>
      </w:r>
      <w:r>
        <w:rPr>
          <w:rStyle w:val="VerbatimChar"/>
        </w:rPr>
        <w:t xml:space="preserve">    # 301 (permanent): these instances are not coming back, and a permanent</w:t>
      </w:r>
      <w:r>
        <w:br/>
      </w:r>
      <w:r>
        <w:rPr>
          <w:rStyle w:val="VerbatimChar"/>
        </w:rPr>
        <w:t xml:space="preserve">    # redirect lets browsers and crawlers stop asking.</w:t>
      </w:r>
      <w:r>
        <w:br/>
      </w:r>
      <w:r>
        <w:rPr>
          <w:rStyle w:val="VerbatimChar"/>
        </w:rPr>
        <w:t xml:space="preserve">    #</w:t>
      </w:r>
      <w:r>
        <w:br/>
      </w:r>
      <w:r>
        <w:rPr>
          <w:rStyle w:val="VerbatimChar"/>
        </w:rPr>
        <w:t xml:space="preserve">    # `&amp;{query}` IS THE POINT OF THE REDIRECT. A redir target that carries its own</w:t>
      </w:r>
      <w:r>
        <w:br/>
      </w:r>
      <w:r>
        <w:rPr>
          <w:rStyle w:val="VerbatimChar"/>
        </w:rPr>
        <w:t xml:space="preserve">    # query string REPLACES the incoming one, so these rules used to answer</w:t>
      </w:r>
      <w:r>
        <w:br/>
      </w:r>
      <w:r>
        <w:rPr>
          <w:rStyle w:val="VerbatimChar"/>
        </w:rPr>
        <w:t xml:space="preserve">    # /mapsp/?mdl_seq=1434 with /species/?ver=v7 -- dropping the very thing the</w:t>
      </w:r>
      <w:r>
        <w:br/>
      </w:r>
      <w:r>
        <w:rPr>
          <w:rStyle w:val="VerbatimChar"/>
        </w:rPr>
        <w:t xml:space="preserve">    # link was about. The app then opened on its default taxon, which is why every</w:t>
      </w:r>
      <w:r>
        <w:br/>
      </w:r>
      <w:r>
        <w:rPr>
          <w:rStyle w:val="VerbatimChar"/>
        </w:rPr>
        <w:t xml:space="preserve">    # deep link in the final report, and the ones in issue #5, silently showed the</w:t>
      </w:r>
      <w:r>
        <w:br/>
      </w:r>
      <w:r>
        <w:rPr>
          <w:rStyle w:val="VerbatimChar"/>
        </w:rPr>
        <w:t xml:space="preserve">    # leatherback turtle. Every published per-species link is of this form, so a</w:t>
      </w:r>
      <w:r>
        <w:br/>
      </w:r>
      <w:r>
        <w:rPr>
          <w:rStyle w:val="VerbatimChar"/>
        </w:rPr>
        <w:t xml:space="preserve">    # redirect that keeps the path and loses the id is worse than a 404: it looks</w:t>
      </w:r>
      <w:r>
        <w:br/>
      </w:r>
      <w:r>
        <w:rPr>
          <w:rStyle w:val="VerbatimChar"/>
        </w:rPr>
        <w:t xml:space="preserve">    # like it worked (MarineSensitivity/apps#6).</w:t>
      </w:r>
      <w:r>
        <w:br/>
      </w:r>
      <w:r>
        <w:rPr>
          <w:rStyle w:val="VerbatimChar"/>
        </w:rPr>
        <w:t xml:space="preserve">    #</w:t>
      </w:r>
      <w:r>
        <w:br/>
      </w:r>
      <w:r>
        <w:rPr>
          <w:rStyle w:val="VerbatimChar"/>
        </w:rPr>
        <w:t xml:space="preserve">    # An empty {query} leaves a harmless trailing "&amp;", which parses to nothing.</w:t>
      </w:r>
      <w:r>
        <w:br/>
      </w:r>
      <w:r>
        <w:rPr>
          <w:rStyle w:val="VerbatimChar"/>
        </w:rPr>
        <w:t xml:space="preserve">    @scores_ver path_regexp scv ^/(?:mapgl|scores)_(v[0-9]+[a-z]?)(?:/(.*))?$</w:t>
      </w:r>
      <w:r>
        <w:br/>
      </w:r>
      <w:r>
        <w:rPr>
          <w:rStyle w:val="VerbatimChar"/>
        </w:rPr>
        <w:t xml:space="preserve">    redir @scores_ver /{re.scv.1}/scores/?{query} 301</w:t>
      </w:r>
      <w:r>
        <w:br/>
      </w:r>
      <w:r>
        <w:br/>
      </w:r>
      <w:r>
        <w:rPr>
          <w:rStyle w:val="VerbatimChar"/>
        </w:rPr>
        <w:t xml:space="preserve">    @species_ver path_regexp spv ^/(?:mapsp|species)_(v[0-9]+[a-z]?)(?:/(.*))?$</w:t>
      </w:r>
      <w:r>
        <w:br/>
      </w:r>
      <w:r>
        <w:rPr>
          <w:rStyle w:val="VerbatimChar"/>
        </w:rPr>
        <w:t xml:space="preserve">    redir @species_ver /{re.spv.1}/species/?{query} 301</w:t>
      </w:r>
      <w:r>
        <w:br/>
      </w:r>
      <w:r>
        <w:br/>
      </w:r>
      <w:r>
        <w:rPr>
          <w:rStyle w:val="VerbatimChar"/>
        </w:rPr>
        <w:t xml:space="preserve">    # the unsuffixed v7 instances: `mapgl`/`mapsp` were what /scores and</w:t>
      </w:r>
      <w:r>
        <w:br/>
      </w:r>
      <w:r>
        <w:rPr>
          <w:rStyle w:val="VerbatimChar"/>
        </w:rPr>
        <w:t xml:space="preserve">    # /species pointed at, so they carry v7 explicitly</w:t>
      </w:r>
      <w:r>
        <w:br/>
      </w:r>
      <w:r>
        <w:rPr>
          <w:rStyle w:val="VerbatimChar"/>
        </w:rPr>
        <w:t xml:space="preserve">    @scores_v7 path_regexp sc7 ^/mapgl(?:/(.*))?$</w:t>
      </w:r>
      <w:r>
        <w:br/>
      </w:r>
      <w:r>
        <w:rPr>
          <w:rStyle w:val="VerbatimChar"/>
        </w:rPr>
        <w:t xml:space="preserve">    redir @scores_v7 /v7/scores/?{query} 301</w:t>
      </w:r>
      <w:r>
        <w:br/>
      </w:r>
      <w:r>
        <w:br/>
      </w:r>
      <w:r>
        <w:rPr>
          <w:rStyle w:val="VerbatimChar"/>
        </w:rPr>
        <w:t xml:space="preserve">    @species_v7 path_regexp sp7 ^/mapsp(?:/(.*))?$</w:t>
      </w:r>
      <w:r>
        <w:br/>
      </w:r>
      <w:r>
        <w:rPr>
          <w:rStyle w:val="VerbatimChar"/>
        </w:rPr>
        <w:t xml:space="preserve">    redir @species_v7 /v7/species/?{query} 301</w:t>
      </w:r>
      <w:r>
        <w:br/>
      </w:r>
      <w:r>
        <w:br/>
      </w:r>
      <w:r>
        <w:rPr>
          <w:rStyle w:val="VerbatimChar"/>
        </w:rPr>
        <w:t xml:space="preserve">    # A RESTRICTED release asked for on the PUBLIC host goes to the review host</w:t>
      </w:r>
      <w:r>
        <w:br/>
      </w:r>
      <w:r>
        <w:rPr>
          <w:rStyle w:val="VerbatimChar"/>
        </w:rPr>
        <w:t xml:space="preserve">    # (2026-08-28). The app process here cannot resolve a restricted version</w:t>
      </w:r>
      <w:r>
        <w:br/>
      </w:r>
      <w:r>
        <w:rPr>
          <w:rStyle w:val="VerbatimChar"/>
        </w:rPr>
        <w:t xml:space="preserve">    # (msens::atlas_allow_access), so /v8/scores/ used to render the promoted</w:t>
      </w:r>
      <w:r>
        <w:br/>
      </w:r>
      <w:r>
        <w:rPr>
          <w:rStyle w:val="VerbatimChar"/>
        </w:rPr>
        <w:t xml:space="preserve">    # release with no hint -- fail-closed, but from a published link it simply</w:t>
      </w:r>
      <w:r>
        <w:br/>
      </w:r>
      <w:r>
        <w:rPr>
          <w:rStyle w:val="VerbatimChar"/>
        </w:rPr>
        <w:t xml:space="preserve">    # looked like the wrong version (the homepage's v8 links "oddly ended up on</w:t>
      </w:r>
      <w:r>
        <w:br/>
      </w:r>
      <w:r>
        <w:rPr>
          <w:rStyle w:val="VerbatimChar"/>
        </w:rPr>
        <w:t xml:space="preserve">    # v7"). Every spelling funnels through the path form first -- the retirement</w:t>
      </w:r>
      <w:r>
        <w:br/>
      </w:r>
      <w:r>
        <w:rPr>
          <w:rStyle w:val="VerbatimChar"/>
        </w:rPr>
        <w:t xml:space="preserve">    # 301s above, the ?ver= 301s in app_version_routes.caddy -- so this ONE</w:t>
      </w:r>
      <w:r>
        <w:br/>
      </w:r>
      <w:r>
        <w:rPr>
          <w:rStyle w:val="VerbatimChar"/>
        </w:rPr>
        <w:t xml:space="preserve">    # matcher catches them all and {uri} carries the query (deep links keep</w:t>
      </w:r>
      <w:r>
        <w:br/>
      </w:r>
      <w:r>
        <w:rPr>
          <w:rStyle w:val="VerbatimChar"/>
        </w:rPr>
        <w:t xml:space="preserve">    # their mdl_key). 302, not 301: a version stops being restricted when it is</w:t>
      </w:r>
      <w:r>
        <w:br/>
      </w:r>
      <w:r>
        <w:rPr>
          <w:rStyle w:val="VerbatimChar"/>
        </w:rPr>
        <w:t xml:space="preserve">    # released, and a cached 301 would keep sending visitors to the review host.</w:t>
      </w:r>
      <w:r>
        <w:br/>
      </w:r>
      <w:r>
        <w:rPr>
          <w:rStyle w:val="VerbatimChar"/>
        </w:rPr>
        <w:t xml:space="preserve">    #</w:t>
      </w:r>
      <w:r>
        <w:br/>
      </w:r>
      <w:r>
        <w:rPr>
          <w:rStyle w:val="VerbatimChar"/>
        </w:rPr>
        <w:t xml:space="preserve">    # `atlas` joined this matcher 2026-09-24 (atlas-9): the static atlas app has</w:t>
      </w:r>
      <w:r>
        <w:br/>
      </w:r>
      <w:r>
        <w:rPr>
          <w:rStyle w:val="VerbatimChar"/>
        </w:rPr>
        <w:t xml:space="preserve">    # no canonical URL on THIS host (its public home is marinesensitivity.org/</w:t>
      </w:r>
      <w:r>
        <w:br/>
      </w:r>
      <w:r>
        <w:rPr>
          <w:rStyle w:val="VerbatimChar"/>
        </w:rPr>
        <w:t xml:space="preserve">    # atlas/?ver=, GitHub Pages -- a different origin this Caddyfile does not</w:t>
      </w:r>
      <w:r>
        <w:br/>
      </w:r>
      <w:r>
        <w:rPr>
          <w:rStyle w:val="VerbatimChar"/>
        </w:rPr>
        <w:t xml:space="preserve">    # serve at all), so nothing here would otherwise answer /{ver}/atlas/ except</w:t>
      </w:r>
      <w:r>
        <w:br/>
      </w:r>
      <w:r>
        <w:rPr>
          <w:rStyle w:val="VerbatimChar"/>
        </w:rPr>
        <w:t xml:space="preserve">    # falling through to `reverse_proxy rstudio:3838`, which does not know that</w:t>
      </w:r>
      <w:r>
        <w:br/>
      </w:r>
      <w:r>
        <w:rPr>
          <w:rStyle w:val="VerbatimChar"/>
        </w:rPr>
        <w:t xml:space="preserve">    # path. Covering it keeps the same guarantee scores/species already have --</w:t>
      </w:r>
      <w:r>
        <w:br/>
      </w:r>
      <w:r>
        <w:rPr>
          <w:rStyle w:val="VerbatimChar"/>
        </w:rPr>
        <w:t xml:space="preserve">    # a reviewer who guesses the /v9/atlas/ shape by analogy lands on the review</w:t>
      </w:r>
      <w:r>
        <w:br/>
      </w:r>
      <w:r>
        <w:rPr>
          <w:rStyle w:val="VerbatimChar"/>
        </w:rPr>
        <w:t xml:space="preserve">    # host, never a 404 that looks like "this version doesn't have an atlas" --</w:t>
      </w:r>
      <w:r>
        <w:br/>
      </w:r>
      <w:r>
        <w:rPr>
          <w:rStyle w:val="VerbatimChar"/>
        </w:rPr>
        <w:t xml:space="preserve">    # and it is what sends a restricted version's atlas request to the ONE place</w:t>
      </w:r>
      <w:r>
        <w:br/>
      </w:r>
      <w:r>
        <w:rPr>
          <w:rStyle w:val="VerbatimChar"/>
        </w:rPr>
        <w:t xml:space="preserve">    # that can actually serve it (preview_routes.caddy's atlas import).</w:t>
      </w:r>
      <w:r>
        <w:br/>
      </w:r>
      <w:r>
        <w:rPr>
          <w:rStyle w:val="VerbatimChar"/>
        </w:rPr>
        <w:t xml:space="preserve">    #</w:t>
      </w:r>
      <w:r>
        <w:br/>
      </w:r>
      <w:r>
        <w:rPr>
          <w:rStyle w:val="VerbatimChar"/>
        </w:rPr>
        <w:t xml:space="preserve">    # PREVIEW_RESTRICTED_VERSIONS is a regex alternation of the restricted</w:t>
      </w:r>
      <w:r>
        <w:br/>
      </w:r>
      <w:r>
        <w:rPr>
          <w:rStyle w:val="VerbatimChar"/>
        </w:rPr>
        <w:t xml:space="preserve">    # versions ("v8|v9") from the server .env -- the same manual step as</w:t>
      </w:r>
      <w:r>
        <w:br/>
      </w:r>
      <w:r>
        <w:rPr>
          <w:rStyle w:val="VerbatimChar"/>
        </w:rPr>
        <w:t xml:space="preserve">    # PREVIEW_REVIEWERS_&lt;VER&gt; and CF_ACCESS_AUD -- and DEPLOY_CADDY asserts it</w:t>
      </w:r>
      <w:r>
        <w:br/>
      </w:r>
      <w:r>
        <w:rPr>
          <w:rStyle w:val="VerbatimChar"/>
        </w:rPr>
        <w:t xml:space="preserve">    # against versions.json before restarting. Unset, it matches nothing and the</w:t>
      </w:r>
      <w:r>
        <w:br/>
      </w:r>
      <w:r>
        <w:rPr>
          <w:rStyle w:val="VerbatimChar"/>
        </w:rPr>
        <w:t xml:space="preserve">    # prior behaviour (fall back to the promoted release) stands.</w:t>
      </w:r>
      <w:r>
        <w:br/>
      </w:r>
      <w:r>
        <w:rPr>
          <w:rStyle w:val="VerbatimChar"/>
        </w:rPr>
        <w:t xml:space="preserve">    @restricted_app path_regexp rapp ^/(?:{$PREVIEW_RESTRICTED_VERSIONS:__none__})/(?:scores|species|atlas)(?:/.*)?$</w:t>
      </w:r>
      <w:r>
        <w:br/>
      </w:r>
      <w:r>
        <w:rPr>
          <w:rStyle w:val="VerbatimChar"/>
        </w:rPr>
        <w:t xml:space="preserve">    redir @restricted_app https://preview.marinesensitivity.org{uri} 302</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href="https://app.marinesensitivity.org/scores/"&gt;Scores&lt;/a&gt; ·</w:t>
      </w:r>
      <w:r>
        <w:br/>
      </w:r>
      <w:r>
        <w:rPr>
          <w:rStyle w:val="VerbatimChar"/>
        </w:rPr>
        <w:t xml:space="preserve">                &lt;a href="https://app.marinesensitivity.org/species/"&gt;Species&lt;/a&gt;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67"/>
    <w:bookmarkStart w:id="388"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80" w:name="app-data-plane"/>
    <w:p>
      <w:pPr>
        <w:pStyle w:val="Heading3"/>
      </w:pPr>
      <w:r>
        <w:t xml:space="preserve">14.5.1 App + data plane</w:t>
      </w:r>
    </w:p>
    <w:p>
      <w:pPr>
        <w:numPr>
          <w:ilvl w:val="0"/>
          <w:numId w:val="1037"/>
        </w:numPr>
      </w:pPr>
      <w:hyperlink r:id="rId368">
        <w:r>
          <w:rPr>
            <w:rStyle w:val="Hyperlink"/>
            <w:b/>
            <w:bCs/>
          </w:rPr>
          <w:t xml:space="preserve">app</w:t>
        </w:r>
      </w:hyperlink>
      <w:r>
        <w:t xml:space="preserve"> </w:t>
      </w:r>
      <w:r>
        <w:t xml:space="preserve">/</w:t>
      </w:r>
      <w:r>
        <w:t xml:space="preserve"> </w:t>
      </w:r>
      <w:hyperlink r:id="rId369">
        <w:r>
          <w:rPr>
            <w:rStyle w:val="Hyperlink"/>
            <w:b/>
            <w:bCs/>
          </w:rPr>
          <w:t xml:space="preserve">shiny</w:t>
        </w:r>
      </w:hyperlink>
      <w:r>
        <w:br/>
      </w:r>
      <w:r>
        <w:rPr>
          <w:i/>
          <w:iCs/>
        </w:rPr>
        <w:t xml:space="preserve">interactive Shiny applications</w:t>
      </w:r>
      <w:r>
        <w:t xml:space="preserve"> </w:t>
      </w:r>
      <w:r>
        <w:t xml:space="preserve">— proxied to the</w:t>
      </w:r>
      <w:r>
        <w:t xml:space="preserve"> </w:t>
      </w:r>
      <w:r>
        <w:rPr>
          <w:rStyle w:val="VerbatimChar"/>
        </w:rPr>
        <w:t xml:space="preserve">rstudio</w:t>
      </w:r>
      <w:r>
        <w:t xml:space="preserve"> </w:t>
      </w:r>
      <w:r>
        <w:t xml:space="preserve">container’s Shiny Server on internal port 3838. There are now</w:t>
      </w:r>
      <w:r>
        <w:t xml:space="preserve"> </w:t>
      </w:r>
      <w:r>
        <w:rPr>
          <w:b/>
          <w:bCs/>
        </w:rPr>
        <w:t xml:space="preserve">two</w:t>
      </w:r>
      <w:r>
        <w:t xml:space="preserve"> </w:t>
      </w:r>
      <w:r>
        <w:t xml:space="preserve">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each rendering any published release from the URL path (e.g. </w:t>
      </w:r>
      <w:r>
        <w:rPr>
          <w:rStyle w:val="VerbatimChar"/>
        </w:rPr>
        <w:t xml:space="preserve">/v8/scores/</w:t>
      </w:r>
      <w:r>
        <w:t xml:space="preserve">). The former per-version instances (</w:t>
      </w:r>
      <w:r>
        <w:rPr>
          <w:rStyle w:val="VerbatimChar"/>
        </w:rPr>
        <w:t xml:space="preserve">mapgl</w:t>
      </w:r>
      <w:r>
        <w:t xml:space="preserve">,</w:t>
      </w:r>
      <w:r>
        <w:t xml:space="preserve"> </w:t>
      </w:r>
      <w:r>
        <w:rPr>
          <w:rStyle w:val="VerbatimChar"/>
        </w:rPr>
        <w:t xml:space="preserve">mapsp</w:t>
      </w:r>
      <w:r>
        <w:t xml:space="preserve">,</w:t>
      </w:r>
      <w:r>
        <w:t xml:space="preserve"> </w:t>
      </w:r>
      <w:r>
        <w:rPr>
          <w:rStyle w:val="VerbatimChar"/>
        </w:rPr>
        <w:t xml:space="preserve">mapgl_v1</w:t>
      </w:r>
      <w:r>
        <w:t xml:space="preserve">…</w:t>
      </w:r>
      <w:r>
        <w:rPr>
          <w:rStyle w:val="VerbatimChar"/>
        </w:rPr>
        <w:t xml:space="preserve">mapsp_v6</w:t>
      </w:r>
      <w:r>
        <w:t xml:space="preserve">,</w:t>
      </w:r>
      <w:r>
        <w:t xml:space="preserve"> </w:t>
      </w:r>
      <w:r>
        <w:rPr>
          <w:rStyle w:val="VerbatimChar"/>
        </w:rPr>
        <w:t xml:space="preserve">scores_v6</w:t>
      </w:r>
      <w:r>
        <w:t xml:space="preserve">/</w:t>
      </w:r>
      <w:r>
        <w:rPr>
          <w:rStyle w:val="VerbatimChar"/>
        </w:rPr>
        <w:t xml:space="preserve">v8</w:t>
      </w:r>
      <w:r>
        <w:t xml:space="preserve">,</w:t>
      </w:r>
      <w:r>
        <w:t xml:space="preserve"> </w:t>
      </w:r>
      <w:r>
        <w:rPr>
          <w:rStyle w:val="VerbatimChar"/>
        </w:rPr>
        <w:t xml:space="preserve">species_v6</w:t>
      </w:r>
      <w:r>
        <w:t xml:space="preserve">/</w:t>
      </w:r>
      <w:r>
        <w:rPr>
          <w:rStyle w:val="VerbatimChar"/>
        </w:rPr>
        <w:t xml:space="preserve">v8</w:t>
      </w:r>
      <w:r>
        <w:t xml:space="preserve">) are retired, with Caddy issuing a</w:t>
      </w:r>
      <w:r>
        <w:t xml:space="preserve"> </w:t>
      </w:r>
      <w:r>
        <w:rPr>
          <w:b/>
          <w:bCs/>
        </w:rPr>
        <w:t xml:space="preserve">301 to the equivalent path</w:t>
      </w:r>
      <w:r>
        <w:t xml:space="preserve"> </w:t>
      </w:r>
      <w:r>
        <w:t xml:space="preserve">so every existing link — including any printed in a published report or an older</w:t>
      </w:r>
      <w:r>
        <w:t xml:space="preserve"> </w:t>
      </w:r>
      <w:r>
        <w:rPr>
          <w:rStyle w:val="VerbatimChar"/>
        </w:rPr>
        <w:t xml:space="preserve">?ver=</w:t>
      </w:r>
      <w:r>
        <w:t xml:space="preserve"> </w:t>
      </w:r>
      <w:r>
        <w:t xml:space="preserve">deep link — still resolves to the release it always showed.</w:t>
      </w:r>
      <w:r>
        <w:br/>
      </w:r>
      <w:r>
        <w:drawing>
          <wp:inline>
            <wp:extent cx="2857500" cy="1428750"/>
            <wp:effectExtent b="0" l="0" r="0" t="0"/>
            <wp:docPr descr="" title="" id="371" name="Picture"/>
            <a:graphic>
              <a:graphicData uri="http://schemas.openxmlformats.org/drawingml/2006/picture">
                <pic:pic>
                  <pic:nvPicPr>
                    <pic:cNvPr descr="figures/server/shiny.png" id="372" name="Picture"/>
                    <pic:cNvPicPr>
                      <a:picLocks noChangeArrowheads="1" noChangeAspect="1"/>
                    </pic:cNvPicPr>
                  </pic:nvPicPr>
                  <pic:blipFill>
                    <a:blip r:embed="rId370"/>
                    <a:stretch>
                      <a:fillRect/>
                    </a:stretch>
                  </pic:blipFill>
                  <pic:spPr bwMode="auto">
                    <a:xfrm>
                      <a:off x="0" y="0"/>
                      <a:ext cx="2857500" cy="1428750"/>
                    </a:xfrm>
                    <a:prstGeom prst="rect">
                      <a:avLst/>
                    </a:prstGeom>
                    <a:noFill/>
                    <a:ln w="9525">
                      <a:noFill/>
                      <a:headEnd/>
                      <a:tailEnd/>
                    </a:ln>
                  </pic:spPr>
                </pic:pic>
              </a:graphicData>
            </a:graphic>
          </wp:inline>
        </w:drawing>
      </w:r>
      <w:r>
        <w:br/>
      </w:r>
      <w:hyperlink r:id="rId373">
        <w:r>
          <w:rPr>
            <w:rStyle w:val="Hyperlink"/>
          </w:rPr>
          <w:t xml:space="preserve">Shiny Server docs</w:t>
        </w:r>
      </w:hyperlink>
    </w:p>
    <w:p>
      <w:pPr>
        <w:numPr>
          <w:ilvl w:val="0"/>
          <w:numId w:val="1037"/>
        </w:numPr>
      </w:pPr>
      <w:hyperlink r:id="rId374">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7"/>
        </w:numPr>
      </w:pPr>
      <w:hyperlink r:id="rId375">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7">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7"/>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7"/>
        </w:numPr>
      </w:pPr>
      <w:hyperlink r:id="rId376">
        <w:r>
          <w:rPr>
            <w:rStyle w:val="Hyperlink"/>
            <w:b/>
            <w:bCs/>
          </w:rPr>
          <w:t xml:space="preserve">api</w:t>
        </w:r>
      </w:hyperlink>
      <w:r>
        <w:br/>
      </w:r>
      <w:r>
        <w:rPr>
          <w:i/>
          <w:iCs/>
        </w:rPr>
        <w:t xml:space="preserve">custom R</w:t>
      </w:r>
      <w:r>
        <w:rPr>
          <w:i/>
          <w:iCs/>
        </w:rPr>
        <w:t xml:space="preserve"> </w:t>
      </w:r>
      <w:hyperlink r:id="rId296">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78" name="Picture"/>
            <a:graphic>
              <a:graphicData uri="http://schemas.openxmlformats.org/drawingml/2006/picture">
                <pic:pic>
                  <pic:nvPicPr>
                    <pic:cNvPr descr="figures/server/api.png" id="379" name="Picture"/>
                    <pic:cNvPicPr>
                      <a:picLocks noChangeArrowheads="1" noChangeAspect="1"/>
                    </pic:cNvPicPr>
                  </pic:nvPicPr>
                  <pic:blipFill>
                    <a:blip r:embed="rId377"/>
                    <a:stretch>
                      <a:fillRect/>
                    </a:stretch>
                  </pic:blipFill>
                  <pic:spPr bwMode="auto">
                    <a:xfrm>
                      <a:off x="0" y="0"/>
                      <a:ext cx="2857500" cy="2046839"/>
                    </a:xfrm>
                    <a:prstGeom prst="rect">
                      <a:avLst/>
                    </a:prstGeom>
                    <a:noFill/>
                    <a:ln w="9525">
                      <a:noFill/>
                      <a:headEnd/>
                      <a:tailEnd/>
                    </a:ln>
                  </pic:spPr>
                </pic:pic>
              </a:graphicData>
            </a:graphic>
          </wp:inline>
        </w:drawing>
      </w:r>
    </w:p>
    <w:bookmarkEnd w:id="380"/>
    <w:bookmarkStart w:id="386" w:name="admin"/>
    <w:p>
      <w:pPr>
        <w:pStyle w:val="Heading3"/>
      </w:pPr>
      <w:r>
        <w:t xml:space="preserve">14.5.2 Admin</w:t>
      </w:r>
    </w:p>
    <w:p>
      <w:pPr>
        <w:numPr>
          <w:ilvl w:val="0"/>
          <w:numId w:val="1038"/>
        </w:numPr>
      </w:pPr>
      <w:hyperlink r:id="rId381">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83" name="Picture"/>
            <a:graphic>
              <a:graphicData uri="http://schemas.openxmlformats.org/drawingml/2006/picture">
                <pic:pic>
                  <pic:nvPicPr>
                    <pic:cNvPr descr="figures/server/rstudio.png" id="384" name="Picture"/>
                    <pic:cNvPicPr>
                      <a:picLocks noChangeArrowheads="1" noChangeAspect="1"/>
                    </pic:cNvPicPr>
                  </pic:nvPicPr>
                  <pic:blipFill>
                    <a:blip r:embed="rId382"/>
                    <a:stretch>
                      <a:fillRect/>
                    </a:stretch>
                  </pic:blipFill>
                  <pic:spPr bwMode="auto">
                    <a:xfrm>
                      <a:off x="0" y="0"/>
                      <a:ext cx="2857500" cy="1926878"/>
                    </a:xfrm>
                    <a:prstGeom prst="rect">
                      <a:avLst/>
                    </a:prstGeom>
                    <a:noFill/>
                    <a:ln w="9525">
                      <a:noFill/>
                      <a:headEnd/>
                      <a:tailEnd/>
                    </a:ln>
                  </pic:spPr>
                </pic:pic>
              </a:graphicData>
            </a:graphic>
          </wp:inline>
        </w:drawing>
      </w:r>
      <w:r>
        <w:br/>
      </w:r>
      <w:hyperlink r:id="rId385">
        <w:r>
          <w:rPr>
            <w:rStyle w:val="Hyperlink"/>
          </w:rPr>
          <w:t xml:space="preserve">Posit RStudio Server</w:t>
        </w:r>
      </w:hyperlink>
    </w:p>
    <w:p>
      <w:pPr>
        <w:numPr>
          <w:ilvl w:val="0"/>
          <w:numId w:val="1038"/>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86"/>
    <w:bookmarkStart w:id="387" w:name="retired"/>
    <w:p>
      <w:pPr>
        <w:pStyle w:val="Heading3"/>
      </w:pPr>
      <w:r>
        <w:t xml:space="preserve">14.5.3 Retired</w:t>
      </w:r>
    </w:p>
    <w:p>
      <w:pPr>
        <w:numPr>
          <w:ilvl w:val="0"/>
          <w:numId w:val="1039"/>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9"/>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87"/>
    <w:bookmarkEnd w:id="388"/>
    <w:bookmarkEnd w:id="389"/>
    <w:bookmarkStart w:id="424"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v7b</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Applications/quarto/share/formats/docx/note.png" id="39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397" w:name="table-and-column-naming-conventions"/>
    <w:p>
      <w:pPr>
        <w:pStyle w:val="Heading2"/>
      </w:pPr>
      <w:r>
        <w:t xml:space="preserve">15.1 Table and column naming conventions</w:t>
      </w:r>
    </w:p>
    <w:p>
      <w:pPr>
        <w:pStyle w:val="Compact"/>
        <w:numPr>
          <w:ilvl w:val="0"/>
          <w:numId w:val="1040"/>
        </w:numPr>
      </w:pPr>
      <w:r>
        <w:t xml:space="preserve">Table names are singular and lower case.</w:t>
      </w:r>
    </w:p>
    <w:p>
      <w:pPr>
        <w:pStyle w:val="Compact"/>
        <w:numPr>
          <w:ilvl w:val="0"/>
          <w:numId w:val="1040"/>
        </w:numPr>
      </w:pPr>
      <w:r>
        <w:t xml:space="preserve">Unique identifier columns are suffixed with:</w:t>
      </w:r>
    </w:p>
    <w:p>
      <w:pPr>
        <w:pStyle w:val="Compact"/>
        <w:numPr>
          <w:ilvl w:val="1"/>
          <w:numId w:val="1041"/>
        </w:numPr>
      </w:pPr>
      <w:r>
        <w:rPr>
          <w:rStyle w:val="VerbatimChar"/>
        </w:rPr>
        <w:t xml:space="preserve">*_id</w:t>
      </w:r>
      <w:r>
        <w:t xml:space="preserve"> </w:t>
      </w:r>
      <w:r>
        <w:t xml:space="preserve">for unique integer keys (stable across rebuilds);</w:t>
      </w:r>
    </w:p>
    <w:p>
      <w:pPr>
        <w:pStyle w:val="Compact"/>
        <w:numPr>
          <w:ilvl w:val="1"/>
          <w:numId w:val="1041"/>
        </w:numPr>
      </w:pPr>
      <w:r>
        <w:rPr>
          <w:rStyle w:val="VerbatimChar"/>
        </w:rPr>
        <w:t xml:space="preserve">*_key</w:t>
      </w:r>
      <w:r>
        <w:t xml:space="preserve"> </w:t>
      </w:r>
      <w:r>
        <w:t xml:space="preserve">for unique string keys (human-readable and stable across releases);</w:t>
      </w:r>
    </w:p>
    <w:p>
      <w:pPr>
        <w:pStyle w:val="Compact"/>
        <w:numPr>
          <w:ilvl w:val="1"/>
          <w:numId w:val="1041"/>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0"/>
        </w:numPr>
      </w:pPr>
      <w:r>
        <w:t xml:space="preserve">Column names are singular and use</w:t>
      </w:r>
      <w:r>
        <w:t xml:space="preserve"> </w:t>
      </w:r>
      <w:r>
        <w:rPr>
          <w:rStyle w:val="VerbatimChar"/>
        </w:rPr>
        <w:t xml:space="preserve">snake_case</w:t>
      </w:r>
      <w:r>
        <w:t xml:space="preserve">.</w:t>
      </w:r>
    </w:p>
    <w:p>
      <w:pPr>
        <w:pStyle w:val="Compact"/>
        <w:numPr>
          <w:ilvl w:val="0"/>
          <w:numId w:val="1040"/>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2" name="Picture"/>
                  <a:graphic>
                    <a:graphicData uri="http://schemas.openxmlformats.org/drawingml/2006/picture">
                      <pic:pic>
                        <pic:nvPicPr>
                          <pic:cNvPr descr="/Applications/quarto/share/formats/docx/important.png" id="393"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394" w:name="tbl-db-tables"/>
          <w:p>
            <w:pPr>
              <w:jc w:val="center"/>
            </w:pPr>
            <w:pPr>
              <w:jc w:val="left"/>
              <w:spacing w:before="200"/>
              <w:pStyle w:val="ImageCaption"/>
            </w:pPr>
            <w:r>
              <w:t xml:space="preserve">Table 15.1: Tables published by v7b, with row counts read from the release itself.</w:t>
            </w:r>
          </w:p>
          <w:tbl>
            <w:tblPr>
              <w:tblStyle w:val="Table"/>
              <w:tblW w:type="pct" w:w="5000"/>
              <w:tblLayout w:type="fixed"/>
              <w:tblLook w:firstRow="1" w:lastRow="0" w:firstColumn="0" w:lastColumn="0" w:noHBand="0" w:noVBand="0" w:val="0020"/>
            </w:tblPr>
            <w:tblGrid>
              <w:gridCol w:w="649"/>
              <w:gridCol w:w="476"/>
              <w:gridCol w:w="6794"/>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662,075</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32,315</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51</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21,779,632</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73</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5,214,822</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1,148</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126,791</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31,690</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r>
              <w:tc>
                <w:tcPr/>
                <w:p>
                  <w:pPr>
                    <w:pStyle w:val="Compact"/>
                    <w:jc w:val="left"/>
                    <w:jc w:val="center"/>
                  </w:pPr>
                  <w:r>
                    <w:rPr>
                      <w:rStyle w:val="VerbatimChar"/>
                    </w:rPr>
                    <w:t xml:space="preserve">native_asset</w:t>
                  </w:r>
                </w:p>
              </w:tc>
              <w:tc>
                <w:tcPr/>
                <w:p>
                  <w:pPr>
                    <w:pStyle w:val="Compact"/>
                    <w:jc w:val="right"/>
                    <w:jc w:val="center"/>
                  </w:pPr>
                  <w:r>
                    <w:t xml:space="preserve">49,331</w:t>
                  </w:r>
                </w:p>
              </w:tc>
              <w:tc>
                <w:tcPr/>
                <w:p>
                  <w:pPr>
                    <w:pStyle w:val="Compact"/>
                    <w:jc w:val="left"/>
                    <w:jc w:val="center"/>
                  </w:pPr>
                  <w:r>
                    <w:t xml:space="preserve">Per-release pointers from each model to its distribution files (COGs, PMTiles) in the asset store (</w:t>
                  </w:r>
                  <w:hyperlink w:anchor="sec-asset-store">
                    <w:r>
                      <w:rPr>
                        <w:rStyle w:val="Hyperlink"/>
                      </w:rPr>
                      <w:t xml:space="preserve">Section 15.3</w:t>
                    </w:r>
                  </w:hyperlink>
                  <w:r>
                    <w:t xml:space="preserve">); the Atlas reads it to draw each input.</w:t>
                  </w:r>
                </w:p>
              </w:tc>
            </w:tr>
          </w:tbl>
          <w:bookmarkEnd w:id="394"/>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Applications/quarto/share/formats/docx/note.png" id="39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v7b</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 Sections that depend on these are omitted from this build rather than described from another release.</w:t>
            </w:r>
          </w:p>
          <w:p/>
        </w:tc>
      </w:tr>
    </w:tbl>
    <w:bookmarkEnd w:id="397"/>
    <w:bookmarkStart w:id="411" w:name="schema"/>
    <w:p>
      <w:pPr>
        <w:pStyle w:val="Heading2"/>
      </w:pPr>
      <w:r>
        <w:t xml:space="preserve">15.2 Schema</w:t>
      </w:r>
    </w:p>
    <w:p>
      <w:pPr>
        <w:pStyle w:val="FirstParagraph"/>
      </w:pPr>
      <w:r>
        <w:t xml:space="preserve">The columns of each published table, read from the release:</w:t>
      </w:r>
    </w:p>
    <w:bookmarkStart w:id="398"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398"/>
    <w:bookmarkStart w:id="399"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399"/>
    <w:bookmarkStart w:id="400"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00"/>
    <w:bookmarkStart w:id="401"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401"/>
    <w:bookmarkStart w:id="402"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02"/>
    <w:bookmarkStart w:id="403"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03"/>
    <w:bookmarkStart w:id="404"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04"/>
    <w:bookmarkStart w:id="405"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05"/>
    <w:bookmarkStart w:id="406"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06"/>
    <w:bookmarkStart w:id="407"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07"/>
    <w:bookmarkStart w:id="408"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08"/>
    <w:bookmarkStart w:id="409"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09"/>
    <w:bookmarkStart w:id="410" w:name="native_asset"/>
    <w:p>
      <w:pPr>
        <w:pStyle w:val="Heading3"/>
      </w:pPr>
      <w:r>
        <w:t xml:space="preserve">15.2.13</w:t>
      </w:r>
      <w:r>
        <w:t xml:space="preserve"> </w:t>
      </w:r>
      <w:r>
        <w:rPr>
          <w:rStyle w:val="VerbatimChar"/>
        </w:rPr>
        <w:t xml:space="preserve">native_asset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asset_type</w:t>
            </w:r>
          </w:p>
        </w:tc>
        <w:tc>
          <w:tcPr/>
          <w:p>
            <w:pPr>
              <w:pStyle w:val="Compact"/>
              <w:jc w:val="left"/>
            </w:pPr>
            <w:r>
              <w:t xml:space="preserve">VARCHAR</w:t>
            </w:r>
          </w:p>
        </w:tc>
      </w:tr>
      <w:tr>
        <w:tc>
          <w:tcPr/>
          <w:p>
            <w:pPr>
              <w:pStyle w:val="Compact"/>
              <w:jc w:val="left"/>
            </w:pPr>
            <w:r>
              <w:t xml:space="preserve">representation</w:t>
            </w:r>
          </w:p>
        </w:tc>
        <w:tc>
          <w:tcPr/>
          <w:p>
            <w:pPr>
              <w:pStyle w:val="Compact"/>
              <w:jc w:val="left"/>
            </w:pPr>
            <w:r>
              <w:t xml:space="preserve">VARCHAR</w:t>
            </w:r>
          </w:p>
        </w:tc>
      </w:tr>
      <w:tr>
        <w:tc>
          <w:tcPr/>
          <w:p>
            <w:pPr>
              <w:pStyle w:val="Compact"/>
              <w:jc w:val="left"/>
            </w:pPr>
            <w:r>
              <w:t xml:space="preserve">asset_url</w:t>
            </w:r>
          </w:p>
        </w:tc>
        <w:tc>
          <w:tcPr/>
          <w:p>
            <w:pPr>
              <w:pStyle w:val="Compact"/>
              <w:jc w:val="left"/>
            </w:pPr>
            <w:r>
              <w:t xml:space="preserve">VARCHAR</w:t>
            </w:r>
          </w:p>
        </w:tc>
      </w:tr>
      <w:tr>
        <w:tc>
          <w:tcPr/>
          <w:p>
            <w:pPr>
              <w:pStyle w:val="Compact"/>
              <w:jc w:val="left"/>
            </w:pPr>
            <w:r>
              <w:t xml:space="preserve">rescale_min</w:t>
            </w:r>
          </w:p>
        </w:tc>
        <w:tc>
          <w:tcPr/>
          <w:p>
            <w:pPr>
              <w:pStyle w:val="Compact"/>
              <w:jc w:val="left"/>
            </w:pPr>
            <w:r>
              <w:t xml:space="preserve">INTEGER</w:t>
            </w:r>
          </w:p>
        </w:tc>
      </w:tr>
      <w:tr>
        <w:tc>
          <w:tcPr/>
          <w:p>
            <w:pPr>
              <w:pStyle w:val="Compact"/>
              <w:jc w:val="left"/>
            </w:pPr>
            <w:r>
              <w:t xml:space="preserve">rescale_max</w:t>
            </w:r>
          </w:p>
        </w:tc>
        <w:tc>
          <w:tcPr/>
          <w:p>
            <w:pPr>
              <w:pStyle w:val="Compact"/>
              <w:jc w:val="left"/>
            </w:pPr>
            <w:r>
              <w:t xml:space="preserve">INTEGER</w:t>
            </w:r>
          </w:p>
        </w:tc>
      </w:tr>
      <w:tr>
        <w:tc>
          <w:tcPr/>
          <w:p>
            <w:pPr>
              <w:pStyle w:val="Compact"/>
              <w:jc w:val="left"/>
            </w:pPr>
            <w:r>
              <w:t xml:space="preserve">colormap</w:t>
            </w:r>
          </w:p>
        </w:tc>
        <w:tc>
          <w:tcPr/>
          <w:p>
            <w:pPr>
              <w:pStyle w:val="Compact"/>
              <w:jc w:val="left"/>
            </w:pPr>
            <w:r>
              <w:t xml:space="preserve">VARCHAR</w:t>
            </w:r>
          </w:p>
        </w:tc>
      </w:tr>
      <w:tr>
        <w:tc>
          <w:tcPr/>
          <w:p>
            <w:pPr>
              <w:pStyle w:val="Compact"/>
              <w:jc w:val="left"/>
            </w:pPr>
            <w:r>
              <w:t xml:space="preserve">xmin</w:t>
            </w:r>
          </w:p>
        </w:tc>
        <w:tc>
          <w:tcPr/>
          <w:p>
            <w:pPr>
              <w:pStyle w:val="Compact"/>
              <w:jc w:val="left"/>
            </w:pPr>
            <w:r>
              <w:t xml:space="preserve">DOUBLE</w:t>
            </w:r>
          </w:p>
        </w:tc>
      </w:tr>
      <w:tr>
        <w:tc>
          <w:tcPr/>
          <w:p>
            <w:pPr>
              <w:pStyle w:val="Compact"/>
              <w:jc w:val="left"/>
            </w:pPr>
            <w:r>
              <w:t xml:space="preserve">xmax</w:t>
            </w:r>
          </w:p>
        </w:tc>
        <w:tc>
          <w:tcPr/>
          <w:p>
            <w:pPr>
              <w:pStyle w:val="Compact"/>
              <w:jc w:val="left"/>
            </w:pPr>
            <w:r>
              <w:t xml:space="preserve">DOUBLE</w:t>
            </w:r>
          </w:p>
        </w:tc>
      </w:tr>
      <w:tr>
        <w:tc>
          <w:tcPr/>
          <w:p>
            <w:pPr>
              <w:pStyle w:val="Compact"/>
              <w:jc w:val="left"/>
            </w:pPr>
            <w:r>
              <w:t xml:space="preserve">ymin</w:t>
            </w:r>
          </w:p>
        </w:tc>
        <w:tc>
          <w:tcPr/>
          <w:p>
            <w:pPr>
              <w:pStyle w:val="Compact"/>
              <w:jc w:val="left"/>
            </w:pPr>
            <w:r>
              <w:t xml:space="preserve">DOUBLE</w:t>
            </w:r>
          </w:p>
        </w:tc>
      </w:tr>
      <w:tr>
        <w:tc>
          <w:tcPr/>
          <w:p>
            <w:pPr>
              <w:pStyle w:val="Compact"/>
              <w:jc w:val="left"/>
            </w:pPr>
            <w:r>
              <w:t xml:space="preserve">ymax</w:t>
            </w:r>
          </w:p>
        </w:tc>
        <w:tc>
          <w:tcPr/>
          <w:p>
            <w:pPr>
              <w:pStyle w:val="Compact"/>
              <w:jc w:val="left"/>
            </w:pPr>
            <w:r>
              <w:t xml:space="preserve">DOUBLE</w:t>
            </w:r>
          </w:p>
        </w:tc>
      </w:tr>
      <w:tr>
        <w:tc>
          <w:tcPr/>
          <w:p>
            <w:pPr>
              <w:pStyle w:val="Compact"/>
              <w:jc w:val="left"/>
            </w:pPr>
            <w:r>
              <w:t xml:space="preserve">source_layer</w:t>
            </w:r>
          </w:p>
        </w:tc>
        <w:tc>
          <w:tcPr/>
          <w:p>
            <w:pPr>
              <w:pStyle w:val="Compact"/>
              <w:jc w:val="left"/>
            </w:pPr>
            <w:r>
              <w:t xml:space="preserve">VARCHAR</w:t>
            </w:r>
          </w:p>
        </w:tc>
      </w:tr>
      <w:tr>
        <w:tc>
          <w:tcPr/>
          <w:p>
            <w:pPr>
              <w:pStyle w:val="Compact"/>
              <w:jc w:val="left"/>
            </w:pPr>
            <w:r>
              <w:t xml:space="preserve">content_hash</w:t>
            </w:r>
          </w:p>
        </w:tc>
        <w:tc>
          <w:tcPr/>
          <w:p>
            <w:pPr>
              <w:pStyle w:val="Compact"/>
              <w:jc w:val="left"/>
            </w:pPr>
            <w:r>
              <w:t xml:space="preserve">VARCHAR</w:t>
            </w:r>
          </w:p>
        </w:tc>
      </w:tr>
      <w:tr>
        <w:tc>
          <w:tcPr/>
          <w:p>
            <w:pPr>
              <w:pStyle w:val="Compact"/>
              <w:jc w:val="left"/>
            </w:pPr>
            <w:r>
              <w:t xml:space="preserve">source_key</w:t>
            </w:r>
          </w:p>
        </w:tc>
        <w:tc>
          <w:tcPr/>
          <w:p>
            <w:pPr>
              <w:pStyle w:val="Compact"/>
              <w:jc w:val="left"/>
            </w:pPr>
            <w:r>
              <w:t xml:space="preserve">VARCHAR</w:t>
            </w:r>
          </w:p>
        </w:tc>
      </w:tr>
    </w:tbl>
    <w:bookmarkEnd w:id="410"/>
    <w:bookmarkEnd w:id="411"/>
    <w:bookmarkStart w:id="422"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2" name="Picture"/>
                  <a:graphic>
                    <a:graphicData uri="http://schemas.openxmlformats.org/drawingml/2006/picture">
                      <pic:pic>
                        <pic:nvPicPr>
                          <pic:cNvPr descr="/Applications/quarto/share/formats/docx/note.png" id="41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18"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2"/>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vector range, the normalized geometry and the attributes that reach the tile;</w:t>
      </w:r>
    </w:p>
    <w:p>
      <w:pPr>
        <w:pStyle w:val="Compact"/>
        <w:numPr>
          <w:ilvl w:val="0"/>
          <w:numId w:val="1042"/>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17" w:name="fig-asset-store"/>
          <w:p>
            <w:pPr>
              <w:jc w:val="center"/>
            </w:pPr>
            <w:r>
              <w:drawing>
                <wp:inline>
                  <wp:extent cx="4517136" cy="3639312"/>
                  <wp:effectExtent b="0" l="0" r="0" t="0"/>
                  <wp:docPr descr="" title="" id="415" name="Picture"/>
                  <a:graphic>
                    <a:graphicData uri="http://schemas.openxmlformats.org/drawingml/2006/picture">
                      <pic:pic>
                        <pic:nvPicPr>
                          <pic:cNvPr descr="db_files/figure-docx/mermaid-figure-2.png" id="416" name="Picture"/>
                          <pic:cNvPicPr>
                            <a:picLocks noChangeArrowheads="1" noChangeAspect="1"/>
                          </pic:cNvPicPr>
                        </pic:nvPicPr>
                        <pic:blipFill>
                          <a:blip r:embed="rId414"/>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17"/>
        </w:tc>
      </w:tr>
    </w:tbl>
    <w:bookmarkEnd w:id="418"/>
    <w:bookmarkStart w:id="419" w:name="the-catalog-and-the-pointer-table"/>
    <w:p>
      <w:pPr>
        <w:pStyle w:val="Heading3"/>
      </w:pPr>
      <w:r>
        <w:t xml:space="preserve">15.3.2 The catalog and the pointer table</w:t>
      </w:r>
    </w:p>
    <w:p>
      <w:pPr>
        <w:pStyle w:val="Compact"/>
        <w:numPr>
          <w:ilvl w:val="0"/>
          <w:numId w:val="1043"/>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3"/>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3"/>
        </w:numPr>
      </w:pPr>
      <w:r>
        <w:t xml:space="preserve">An object no release points at is garbage. Nothing is deleted except through a check that joins the catalog against every release’s pointer tables.</w:t>
      </w:r>
    </w:p>
    <w:bookmarkEnd w:id="419"/>
    <w:bookmarkStart w:id="420"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4"/>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4"/>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4"/>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20"/>
    <w:bookmarkStart w:id="421"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21"/>
    <w:bookmarkEnd w:id="422"/>
    <w:bookmarkStart w:id="423" w:name="how-the-tables-feed-the-serving-tier"/>
    <w:p>
      <w:pPr>
        <w:pStyle w:val="Heading2"/>
      </w:pPr>
      <w:r>
        <w:t xml:space="preserve">15.4 How the tables feed the serving tier</w:t>
      </w:r>
    </w:p>
    <w:p>
      <w:pPr>
        <w:pStyle w:val="Compact"/>
        <w:numPr>
          <w:ilvl w:val="0"/>
          <w:numId w:val="1045"/>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5"/>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5"/>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5"/>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23"/>
    <w:bookmarkEnd w:id="424"/>
    <w:bookmarkStart w:id="434" w:name="sec-workflows"/>
    <w:p>
      <w:pPr>
        <w:pStyle w:val="Heading1"/>
      </w:pPr>
      <w:r>
        <w:t xml:space="preserve">16. Workflows</w:t>
      </w:r>
    </w:p>
    <w:p>
      <w:pPr>
        <w:pStyle w:val="FirstParagraph"/>
      </w:pPr>
      <w:r>
        <w:t xml:space="preserve">Workflows are</w:t>
      </w:r>
      <w:r>
        <w:t xml:space="preserve"> </w:t>
      </w:r>
      <w:hyperlink r:id="rId425">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6"/>
        </w:numPr>
      </w:pPr>
      <w:hyperlink r:id="rId285">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6"/>
        </w:numPr>
      </w:pPr>
      <w:hyperlink r:id="rId426">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28"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27">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28"/>
    <w:bookmarkStart w:id="429"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29"/>
    <w:bookmarkStart w:id="430"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0"/>
    <w:bookmarkStart w:id="431"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31"/>
    <w:bookmarkStart w:id="432"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32"/>
    <w:bookmarkStart w:id="433"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33"/>
    <w:bookmarkEnd w:id="434"/>
    <w:bookmarkStart w:id="457" w:name="sec-apis"/>
    <w:p>
      <w:pPr>
        <w:pStyle w:val="Heading1"/>
      </w:pPr>
      <w:r>
        <w:t xml:space="preserve">17. APIs</w:t>
      </w:r>
    </w:p>
    <w:p>
      <w:pPr>
        <w:pStyle w:val="FirstParagraph"/>
      </w:pPr>
      <w:r>
        <w:t xml:space="preserve">Three services sit in front of the published data:</w:t>
      </w:r>
    </w:p>
    <w:p>
      <w:pPr>
        <w:pStyle w:val="Compact"/>
        <w:numPr>
          <w:ilvl w:val="0"/>
          <w:numId w:val="1047"/>
        </w:numPr>
      </w:pPr>
      <w:hyperlink r:id="rId375">
        <w:r>
          <w:rPr>
            <w:rStyle w:val="Hyperlink"/>
            <w:b/>
            <w:bCs/>
          </w:rPr>
          <w:t xml:space="preserve">titiler.marinesensitivity.org</w:t>
        </w:r>
      </w:hyperlink>
      <w:r>
        <w:t xml:space="preserve"> </w:t>
      </w:r>
      <w:r>
        <w:t xml:space="preserve">—</w:t>
      </w:r>
      <w:r>
        <w:t xml:space="preserve"> </w:t>
      </w:r>
      <w:hyperlink r:id="rId297">
        <w:r>
          <w:rPr>
            <w:rStyle w:val="Hyperlink"/>
          </w:rPr>
          <w:t xml:space="preserve">TiTiler</w:t>
        </w:r>
      </w:hyperlink>
      <w:r>
        <w:t xml:space="preserve">, serving the pre-rendered Cloud-Optimized GeoTIFFs that every map layer now draws.</w:t>
      </w:r>
    </w:p>
    <w:p>
      <w:pPr>
        <w:pStyle w:val="Compact"/>
        <w:numPr>
          <w:ilvl w:val="0"/>
          <w:numId w:val="1047"/>
        </w:numPr>
      </w:pPr>
      <w:hyperlink r:id="rId376">
        <w:r>
          <w:rPr>
            <w:rStyle w:val="Hyperlink"/>
            <w:b/>
            <w:bCs/>
          </w:rPr>
          <w:t xml:space="preserve">api.marinesensitivity.org</w:t>
        </w:r>
      </w:hyperlink>
      <w:r>
        <w:t xml:space="preserve"> </w:t>
      </w:r>
      <w:r>
        <w:t xml:space="preserve">— a custom R</w:t>
      </w:r>
      <w:r>
        <w:t xml:space="preserve"> </w:t>
      </w:r>
      <w:hyperlink r:id="rId435">
        <w:r>
          <w:rPr>
            <w:rStyle w:val="VerbatimChar"/>
          </w:rPr>
          <w:t xml:space="preserve">plumber</w:t>
        </w:r>
      </w:hyperlink>
      <w:r>
        <w:t xml:space="preserve"> </w:t>
      </w:r>
      <w:r>
        <w:t xml:space="preserve">API for programmatic (non-tile) data access.</w:t>
      </w:r>
    </w:p>
    <w:p>
      <w:pPr>
        <w:pStyle w:val="Compact"/>
        <w:numPr>
          <w:ilvl w:val="0"/>
          <w:numId w:val="1047"/>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36"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36"/>
    <w:bookmarkStart w:id="448"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Applications/quarto/share/formats/docx/important.png" id="438"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39">
        <w:r>
          <w:rPr>
            <w:rStyle w:val="Hyperlink"/>
          </w:rPr>
          <w:t xml:space="preserve">server/titiler/factory.py</w:t>
        </w:r>
      </w:hyperlink>
      <w:r>
        <w:t xml:space="preserve">.</w:t>
      </w:r>
    </w:p>
    <w:bookmarkStart w:id="442"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0">
        <w:r>
          <w:rPr>
            <w:rStyle w:val="VerbatimChar"/>
          </w:rPr>
          <w:t xml:space="preserve">msens::cell_tile_url()</w:t>
        </w:r>
      </w:hyperlink>
      <w:r>
        <w:t xml:space="preserve"> </w:t>
      </w:r>
      <w:r>
        <w:t xml:space="preserve">with stats from</w:t>
      </w:r>
      <w:r>
        <w:t xml:space="preserve"> </w:t>
      </w:r>
      <w:hyperlink r:id="rId441">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42"/>
    <w:bookmarkStart w:id="444" w:name="caching-v7-factory-only"/>
    <w:p>
      <w:pPr>
        <w:pStyle w:val="Heading3"/>
      </w:pPr>
      <w:r>
        <w:t xml:space="preserve">17.2.2 Caching (v7 factory only)</w:t>
      </w:r>
    </w:p>
    <w:p>
      <w:pPr>
        <w:pStyle w:val="FirstParagraph"/>
      </w:pPr>
      <w:hyperlink r:id="rId443">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8"/>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8"/>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8"/>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8"/>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Shiny app bumps the</w:t>
      </w:r>
      <w:r>
        <w:t xml:space="preserve"> </w:t>
      </w:r>
      <w:r>
        <w:rPr>
          <w:rStyle w:val="VerbatimChar"/>
        </w:rPr>
        <w:t xml:space="preserve">mtime</w:t>
      </w:r>
      <w:r>
        <w:t xml:space="preserve"> </w:t>
      </w:r>
      <w:r>
        <w:t xml:space="preserve">query parameter to invalidate all cached tiles at once.</w:t>
      </w:r>
    </w:p>
    <w:bookmarkEnd w:id="444"/>
    <w:bookmarkStart w:id="447"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Applications/quarto/share/formats/docx/warning.png" id="446"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47"/>
    <w:bookmarkEnd w:id="448"/>
    <w:bookmarkStart w:id="453" w:name="custom-plumber-api"/>
    <w:p>
      <w:pPr>
        <w:pStyle w:val="Heading2"/>
      </w:pPr>
      <w:r>
        <w:t xml:space="preserve">17.3 Custom plumber API</w:t>
      </w:r>
    </w:p>
    <w:p>
      <w:pPr>
        <w:pStyle w:val="FirstParagraph"/>
      </w:pPr>
      <w:r>
        <w:t xml:space="preserve">The plumber API at</w:t>
      </w:r>
      <w:r>
        <w:t xml:space="preserve"> </w:t>
      </w:r>
      <w:hyperlink r:id="rId376">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49">
        <w:r>
          <w:rPr>
            <w:rStyle w:val="Hyperlink"/>
          </w:rPr>
          <w:t xml:space="preserve">MarineSensitivity/api</w:t>
        </w:r>
      </w:hyperlink>
      <w:r>
        <w:t xml:space="preserve">.</w:t>
      </w:r>
    </w:p>
    <w:p>
      <w:pPr>
        <w:pStyle w:val="BodyText"/>
      </w:pPr>
      <w:r>
        <w:drawing>
          <wp:inline>
            <wp:extent cx="2857500" cy="2046839"/>
            <wp:effectExtent b="0" l="0" r="0" t="0"/>
            <wp:docPr descr="" title="" id="451" name="Picture"/>
            <a:graphic>
              <a:graphicData uri="http://schemas.openxmlformats.org/drawingml/2006/picture">
                <pic:pic>
                  <pic:nvPicPr>
                    <pic:cNvPr descr="figures/apis/api.marinesensitivity.org.png" id="452" name="Picture"/>
                    <pic:cNvPicPr>
                      <a:picLocks noChangeArrowheads="1" noChangeAspect="1"/>
                    </pic:cNvPicPr>
                  </pic:nvPicPr>
                  <pic:blipFill>
                    <a:blip r:embed="rId450"/>
                    <a:stretch>
                      <a:fillRect/>
                    </a:stretch>
                  </pic:blipFill>
                  <pic:spPr bwMode="auto">
                    <a:xfrm>
                      <a:off x="0" y="0"/>
                      <a:ext cx="2857500" cy="2046839"/>
                    </a:xfrm>
                    <a:prstGeom prst="rect">
                      <a:avLst/>
                    </a:prstGeom>
                    <a:noFill/>
                    <a:ln w="9525">
                      <a:noFill/>
                      <a:headEnd/>
                      <a:tailEnd/>
                    </a:ln>
                  </pic:spPr>
                </pic:pic>
              </a:graphicData>
            </a:graphic>
          </wp:inline>
        </w:drawing>
      </w:r>
    </w:p>
    <w:bookmarkEnd w:id="453"/>
    <w:bookmarkStart w:id="455" w:name="stac"/>
    <w:p>
      <w:pPr>
        <w:pStyle w:val="Heading2"/>
      </w:pPr>
      <w:r>
        <w:t xml:space="preserve">17.4 STAC</w:t>
      </w:r>
    </w:p>
    <w:p>
      <w:pPr>
        <w:pStyle w:val="FirstParagraph"/>
      </w:pPr>
      <w:r>
        <w:t xml:space="preserve">Each release publishes a</w:t>
      </w:r>
      <w:r>
        <w:t xml:space="preserve"> </w:t>
      </w:r>
      <w:hyperlink r:id="rId454">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55"/>
    <w:bookmarkStart w:id="456"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9"/>
        </w:numPr>
      </w:pPr>
      <w:r>
        <w:rPr>
          <w:rStyle w:val="VerbatimChar"/>
        </w:rPr>
        <w:t xml:space="preserve">swagger.marinesensitivity.org</w:t>
      </w:r>
      <w:r>
        <w:t xml:space="preserve"> </w:t>
      </w:r>
      <w:r>
        <w:t xml:space="preserve">— PostgREST over PostgreSQL.</w:t>
      </w:r>
    </w:p>
    <w:p>
      <w:pPr>
        <w:pStyle w:val="Compact"/>
        <w:numPr>
          <w:ilvl w:val="0"/>
          <w:numId w:val="1049"/>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56"/>
    <w:bookmarkEnd w:id="457"/>
    <w:bookmarkStart w:id="460"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0"/>
        </w:numPr>
      </w:pPr>
      <w:hyperlink r:id="rId458">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Shiny apps in</w:t>
      </w:r>
      <w:r>
        <w:t xml:space="preserve"> </w:t>
      </w:r>
      <w:hyperlink w:anchor="sec-apps">
        <w:r>
          <w:rPr>
            <w:rStyle w:val="Hyperlink"/>
          </w:rPr>
          <w:t xml:space="preserve">Chapter 19</w:t>
        </w:r>
      </w:hyperlink>
      <w:r>
        <w:t xml:space="preserve"> </w:t>
      </w:r>
      <w:r>
        <w:t xml:space="preserve">consume</w:t>
      </w:r>
      <w:r>
        <w:t xml:space="preserve"> </w:t>
      </w:r>
      <w:r>
        <w:rPr>
          <w:rStyle w:val="VerbatimChar"/>
        </w:rPr>
        <w:t xml:space="preserve">msens::*</w:t>
      </w:r>
      <w:r>
        <w:t xml:space="preserve"> </w:t>
      </w:r>
      <w:r>
        <w:t xml:space="preserve">helpers exclusively — app code never talks to the tile factory or PMTiles URL templates directly.</w:t>
      </w:r>
    </w:p>
    <w:bookmarkStart w:id="459" w:name="map-tile-helpers-as-of-0.3.4"/>
    <w:p>
      <w:pPr>
        <w:pStyle w:val="Heading2"/>
      </w:pPr>
      <w:r>
        <w:t xml:space="preserve">18.1 Map-tile helpers (as of 0.3.4)</w:t>
      </w:r>
    </w:p>
    <w:p>
      <w:pPr>
        <w:pStyle w:val="FirstParagraph"/>
      </w:pPr>
      <w:r>
        <w:t xml:space="preserve">The following helpers bridge the Shiny app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Shiny app adds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59"/>
    <w:bookmarkEnd w:id="460"/>
    <w:bookmarkStart w:id="469" w:name="sec-apps"/>
    <w:p>
      <w:pPr>
        <w:pStyle w:val="Heading1"/>
      </w:pPr>
      <w:r>
        <w:t xml:space="preserve">19. Apps</w:t>
      </w:r>
    </w:p>
    <w:p>
      <w:pPr>
        <w:pStyle w:val="FirstParagraph"/>
      </w:pPr>
      <w:r>
        <w:t xml:space="preserve">The MST provides three interactive web applications — two Shiny apps (Scores, Species) plus a newer, static, in-browser Atlas — along with several legacy applications from earlier development phases.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Applications/quarto/share/formats/docx/note.png" id="4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Every one of the three current apps renders</w:t>
            </w:r>
            <w:r>
              <w:t xml:space="preserve"> </w:t>
            </w:r>
            <w:r>
              <w:rPr>
                <w:b/>
                <w:bCs/>
              </w:rPr>
              <w:t xml:space="preserve">any published release</w:t>
            </w:r>
            <w:r>
              <w:t xml:space="preserve"> </w:t>
            </w:r>
            <w:r>
              <w:t xml:space="preserve">rather than shipping a per-version fork. Scores and Species do this from the URL (</w:t>
            </w:r>
            <w:r>
              <w:rPr>
                <w:rStyle w:val="VerbatimChar"/>
              </w:rPr>
              <w:t xml:space="preserve">/v3/scores/</w:t>
            </w:r>
            <w:r>
              <w:t xml:space="preserve">; older</w:t>
            </w:r>
            <w:r>
              <w:t xml:space="preserve"> </w:t>
            </w:r>
            <w:r>
              <w:rPr>
                <w:rStyle w:val="VerbatimChar"/>
              </w:rPr>
              <w:t xml:space="preserve">?ver=v3</w:t>
            </w:r>
            <w:r>
              <w:t xml:space="preserve"> </w:t>
            </w:r>
            <w:r>
              <w:t xml:space="preserve">links redirect there) — the version is data, settled by the release’s published manifest, so a fix reaches every version at once, and the 18 former per-version Shiny instances are retired with their URLs redirecting permanently to the equivalent path. The Atlas follows the same rule with a different mechanism (</w:t>
            </w:r>
            <w:hyperlink w:anchor="sec-app-atlas">
              <w:r>
                <w:rPr>
                  <w:rStyle w:val="Hyperlink"/>
                </w:rPr>
                <w:t xml:space="preserve">Appendix B</w:t>
              </w:r>
            </w:hyperlink>
            <w:r>
              <w:t xml:space="preserve">): one static build reads the same published</w:t>
            </w:r>
            <w:r>
              <w:t xml:space="preserve"> </w:t>
            </w:r>
            <w:r>
              <w:rPr>
                <w:rStyle w:val="VerbatimChar"/>
              </w:rPr>
              <w:t xml:space="preserve">versions.json</w:t>
            </w:r>
            <w:r>
              <w:t xml:space="preserve">, resolving the release from</w:t>
            </w:r>
            <w:r>
              <w:t xml:space="preserve"> </w:t>
            </w:r>
            <w:r>
              <w:rPr>
                <w:rStyle w:val="VerbatimChar"/>
              </w:rPr>
              <w:t xml:space="preserve">?ver=</w:t>
            </w:r>
            <w:r>
              <w:t xml:space="preserve"> </w:t>
            </w:r>
            <w:r>
              <w:t xml:space="preserve">on its public host, and — its preview route shipping with 0.10.59 — from the URL path on its signed-in preview host.</w:t>
            </w:r>
          </w:p>
          <w:p/>
        </w:tc>
      </w:tr>
    </w:tbl>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bookmarkStart w:id="467" w:name="current-applications"/>
    <w:p>
      <w:pPr>
        <w:pStyle w:val="Heading2"/>
      </w:pPr>
      <w:r>
        <w:t xml:space="preserve">19.1 Current Applications</w:t>
      </w:r>
    </w:p>
    <w:bookmarkStart w:id="464" w:name="Xa3ded3a79f73f8a36aae85cc7da684dd724eb9f"/>
    <w:p>
      <w:pPr>
        <w:pStyle w:val="Heading3"/>
      </w:pPr>
      <w:r>
        <w:t xml:space="preserve">19.1.1 Atlas (beta) — static, in-browser scores, species and places</w:t>
      </w:r>
    </w:p>
    <w:p>
      <w:pPr>
        <w:pStyle w:val="FirstParagraph"/>
      </w:pPr>
      <w:r>
        <w:t xml:space="preserve">The</w:t>
      </w:r>
      <w:r>
        <w:t xml:space="preserve"> </w:t>
      </w:r>
      <w:hyperlink r:id="rId463">
        <w:r>
          <w:rPr>
            <w:rStyle w:val="Hyperlink"/>
          </w:rPr>
          <w:t xml:space="preserve">Atlas</w:t>
        </w:r>
      </w:hyperlink>
      <w:r>
        <w:t xml:space="preserve"> </w:t>
      </w:r>
      <w:r>
        <w:t xml:space="preserve">is a newer, third way to explore the MST, currently labelled</w:t>
      </w:r>
      <w:r>
        <w:t xml:space="preserve"> </w:t>
      </w:r>
      <w:r>
        <w:rPr>
          <w:b/>
          <w:bCs/>
        </w:rPr>
        <w:t xml:space="preserve">beta</w:t>
      </w:r>
      <w:r>
        <w:t xml:space="preserve">: one static Svelte/MapLibre app with</w:t>
      </w:r>
      <w:r>
        <w:t xml:space="preserve"> </w:t>
      </w:r>
      <w:r>
        <w:rPr>
          <w:b/>
          <w:bCs/>
        </w:rPr>
        <w:t xml:space="preserve">no application server of its own</w:t>
      </w:r>
      <w:r>
        <w:t xml:space="preserve"> </w:t>
      </w:r>
      <w:r>
        <w:t xml:space="preserve">— scores,</w:t>
      </w:r>
      <w:r>
        <w:t xml:space="preserve"> </w:t>
      </w:r>
      <w:r>
        <w:t xml:space="preserve">clicks, flowers and reports are computed in your browser by a DuckDB-WASM instance, though score</w:t>
      </w:r>
      <w:r>
        <w:t xml:space="preserve"> </w:t>
      </w:r>
      <w:r>
        <w:t xml:space="preserve">tiles, zone outlines and the basemap still come from the project’s titiler, PMTiles and CARTO.</w:t>
      </w:r>
      <w:r>
        <w:t xml:space="preserve"> </w:t>
      </w:r>
      <w:r>
        <w:t xml:space="preserve">It combines what Scores and Species do separately — mapping composite scores and mapping</w:t>
      </w:r>
      <w:r>
        <w:t xml:space="preserve"> </w:t>
      </w:r>
      <w:r>
        <w:t xml:space="preserve">individual species — with a capability neither Shiny app has,</w:t>
      </w:r>
      <w:r>
        <w:t xml:space="preserve"> </w:t>
      </w:r>
      <w:r>
        <w:rPr>
          <w:b/>
          <w:bCs/>
        </w:rPr>
        <w:t xml:space="preserve">Places</w:t>
      </w:r>
      <w:r>
        <w:t xml:space="preserve">: drawing, typing or</w:t>
      </w:r>
      <w:r>
        <w:t xml:space="preserve"> </w:t>
      </w:r>
      <w:r>
        <w:t xml:space="preserve">uploading any area of interest (not only the built-in Program Areas) and getting the same scores,</w:t>
      </w:r>
      <w:r>
        <w:t xml:space="preserve"> </w:t>
      </w:r>
      <w:r>
        <w:t xml:space="preserve">species tables and an exportable report for it, shareable entirely through the URL.</w:t>
      </w:r>
    </w:p>
    <w:p>
      <w:pPr>
        <w:pStyle w:val="BodyText"/>
      </w:pPr>
      <w:r>
        <w:t xml:space="preserve">See</w:t>
      </w:r>
      <w:r>
        <w:t xml:space="preserve"> </w:t>
      </w:r>
      <w:hyperlink w:anchor="sec-app-atlas">
        <w:r>
          <w:rPr>
            <w:rStyle w:val="Hyperlink"/>
          </w:rPr>
          <w:t xml:space="preserve">Appendix B</w:t>
        </w:r>
      </w:hyperlink>
      <w:r>
        <w:t xml:space="preserve"> </w:t>
      </w:r>
      <w:r>
        <w:t xml:space="preserve">for the full walkthrough, including how a drawn place is encoded into a shareable link.</w:t>
      </w:r>
    </w:p>
    <w:bookmarkEnd w:id="464"/>
    <w:bookmarkStart w:id="465" w:name="X0866deb9de13c5a949683d88efa8b94747e10df"/>
    <w:p>
      <w:pPr>
        <w:pStyle w:val="Heading3"/>
      </w:pPr>
      <w:r>
        <w:t xml:space="preserve">19.1.2 Scores — mapper of aggregate sensitivity scores</w:t>
      </w:r>
    </w:p>
    <w:p>
      <w:pPr>
        <w:pStyle w:val="FirstParagraph"/>
      </w:pPr>
      <w:r>
        <w:t xml:space="preserve">The</w:t>
      </w:r>
      <w:r>
        <w:t xml:space="preserve"> </w:t>
      </w:r>
      <w:hyperlink r:id="rId21">
        <w:r>
          <w:rPr>
            <w:rStyle w:val="Hyperlink"/>
          </w:rPr>
          <w:t xml:space="preserve">Scores</w:t>
        </w:r>
      </w:hyperlink>
      <w:r>
        <w:t xml:space="preserve"> </w:t>
      </w:r>
      <w:r>
        <w:t xml:space="preserve">application is the primary tool for exploring composite sensitivity scores across BOEM Program Areas. Key features include:</w:t>
      </w:r>
    </w:p>
    <w:p>
      <w:pPr>
        <w:pStyle w:val="Compact"/>
        <w:numPr>
          <w:ilvl w:val="0"/>
          <w:numId w:val="1051"/>
        </w:numPr>
      </w:pPr>
      <w:r>
        <w:rPr>
          <w:b/>
          <w:bCs/>
        </w:rPr>
        <w:t xml:space="preserve">Multi-resolution viewing</w:t>
      </w:r>
      <w:r>
        <w:t xml:space="preserve">: toggle between cell-level (0.05° grid) and Program Area aggregations</w:t>
      </w:r>
    </w:p>
    <w:p>
      <w:pPr>
        <w:pStyle w:val="Compact"/>
        <w:numPr>
          <w:ilvl w:val="0"/>
          <w:numId w:val="1051"/>
        </w:numPr>
      </w:pPr>
      <w:r>
        <w:rPr>
          <w:b/>
          <w:bCs/>
        </w:rPr>
        <w:t xml:space="preserve">Study area selection</w:t>
      </w:r>
      <w:r>
        <w:t xml:space="preserve">: focus on specific Program Areas or subregions</w:t>
      </w:r>
    </w:p>
    <w:p>
      <w:pPr>
        <w:pStyle w:val="Compact"/>
        <w:numPr>
          <w:ilvl w:val="0"/>
          <w:numId w:val="1051"/>
        </w:numPr>
      </w:pPr>
      <w:r>
        <w:rPr>
          <w:b/>
          <w:bCs/>
        </w:rPr>
        <w:t xml:space="preserve">Layer selection</w:t>
      </w:r>
      <w:r>
        <w:t xml:space="preserve">: view individual species category scores or composite metrics</w:t>
      </w:r>
    </w:p>
    <w:p>
      <w:pPr>
        <w:pStyle w:val="Compact"/>
        <w:numPr>
          <w:ilvl w:val="0"/>
          <w:numId w:val="1051"/>
        </w:numPr>
      </w:pPr>
      <w:r>
        <w:rPr>
          <w:b/>
          <w:bCs/>
        </w:rPr>
        <w:t xml:space="preserve">Flower plot</w:t>
      </w:r>
      <w:r>
        <w:t xml:space="preserve">: interactive summary showing scores by species category with weighted center value</w:t>
      </w:r>
    </w:p>
    <w:p>
      <w:pPr>
        <w:pStyle w:val="Compact"/>
        <w:numPr>
          <w:ilvl w:val="0"/>
          <w:numId w:val="1051"/>
        </w:numPr>
      </w:pPr>
      <w:r>
        <w:rPr>
          <w:b/>
          <w:bCs/>
        </w:rPr>
        <w:t xml:space="preserve">Species table</w:t>
      </w:r>
      <w:r>
        <w:t xml:space="preserve">: sortable table of species present in selected area with extinction risk details</w:t>
      </w:r>
    </w:p>
    <w:p>
      <w:pPr>
        <w:pStyle w:val="Compact"/>
        <w:numPr>
          <w:ilvl w:val="0"/>
          <w:numId w:val="1051"/>
        </w:numPr>
      </w:pPr>
      <w:r>
        <w:rPr>
          <w:b/>
          <w:bCs/>
        </w:rPr>
        <w:t xml:space="preserve">Treemap</w:t>
      </w:r>
      <w:r>
        <w:t xml:space="preserve">: hierarchical view of species contributions to sensitivity</w:t>
      </w:r>
    </w:p>
    <w:p>
      <w:pPr>
        <w:pStyle w:val="Compact"/>
        <w:numPr>
          <w:ilvl w:val="0"/>
          <w:numId w:val="1051"/>
        </w:numPr>
      </w:pPr>
      <w:r>
        <w:rPr>
          <w:b/>
          <w:bCs/>
        </w:rPr>
        <w:t xml:space="preserve">CSV export</w:t>
      </w:r>
      <w:r>
        <w:t xml:space="preserve">: download data for selected area or species</w:t>
      </w:r>
    </w:p>
    <w:p>
      <w:pPr>
        <w:pStyle w:val="FirstParagraph"/>
      </w:pPr>
      <w:r>
        <w:t xml:space="preserve">Under the hood the Scores app composes three kinds of map layer (</w:t>
      </w:r>
      <w:hyperlink w:anchor="fig-architecture">
        <w:r>
          <w:rPr>
            <w:rStyle w:val="Hyperlink"/>
          </w:rPr>
          <w:t xml:space="preserve">Figure 13.1</w:t>
        </w:r>
      </w:hyperlink>
      <w:r>
        <w:t xml:space="preserve">):</w:t>
      </w:r>
    </w:p>
    <w:p>
      <w:pPr>
        <w:pStyle w:val="Compact"/>
        <w:numPr>
          <w:ilvl w:val="0"/>
          <w:numId w:val="1052"/>
        </w:numPr>
      </w:pPr>
      <w:r>
        <w:rPr>
          <w:b/>
          <w:bCs/>
        </w:rPr>
        <w:t xml:space="preserve">Score raster</w:t>
      </w:r>
      <w:r>
        <w:t xml:space="preserve"> </w:t>
      </w:r>
      <w:r>
        <w:t xml:space="preserve">— a pre-rendered COG per metric × subregion, whose URL and rescale range come straight from the release manifest. The browser fetches only the tiles intersecting its viewport; no full-raster transfer on load (see</w:t>
      </w:r>
      <w:r>
        <w:t xml:space="preserve"> </w:t>
      </w:r>
      <w:hyperlink w:anchor="fig-raster">
        <w:r>
          <w:rPr>
            <w:rStyle w:val="Hyperlink"/>
          </w:rPr>
          <w:t xml:space="preserve">Figure 13.2</w:t>
        </w:r>
      </w:hyperlink>
      <w:r>
        <w:t xml:space="preserve">).</w:t>
      </w:r>
    </w:p>
    <w:p>
      <w:pPr>
        <w:pStyle w:val="Compact"/>
        <w:numPr>
          <w:ilvl w:val="0"/>
          <w:numId w:val="1052"/>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2"/>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per-zone fill colors pushed live into the paint spec from the release’s</w:t>
      </w:r>
      <w:r>
        <w:t xml:space="preserve"> </w:t>
      </w:r>
      <w:r>
        <w:rPr>
          <w:rStyle w:val="VerbatimChar"/>
        </w:rPr>
        <w:t xml:space="preserve">zone_metric</w:t>
      </w:r>
      <w:r>
        <w:t xml:space="preserve"> </w:t>
      </w:r>
      <w:r>
        <w:t xml:space="preserve">(see</w:t>
      </w:r>
      <w:r>
        <w:t xml:space="preserve"> </w:t>
      </w:r>
      <w:hyperlink w:anchor="fig-choropleth">
        <w:r>
          <w:rPr>
            <w:rStyle w:val="Hyperlink"/>
          </w:rPr>
          <w:t xml:space="preserve">Figure 13.4</w:t>
        </w:r>
      </w:hyperlink>
      <w:r>
        <w:t xml:space="preserve">).</w:t>
      </w:r>
    </w:p>
    <w:p>
      <w:pPr>
        <w:pStyle w:val="FirstParagraph"/>
      </w:pPr>
      <w:r>
        <w:t xml:space="preserve">Because every one of those is resolved from the manifest rather than hardcoded, switching the URL’s version segment (e.g. </w:t>
      </w:r>
      <w:r>
        <w:rPr>
          <w:rStyle w:val="VerbatimChar"/>
        </w:rPr>
        <w:t xml:space="preserve">/v3/</w:t>
      </w:r>
      <w:r>
        <w:t xml:space="preserve"> </w:t>
      </w:r>
      <w:r>
        <w:t xml:space="preserve">→</w:t>
      </w:r>
      <w:r>
        <w:t xml:space="preserve"> </w:t>
      </w:r>
      <w:r>
        <w:rPr>
          <w:rStyle w:val="VerbatimChar"/>
        </w:rPr>
        <w:t xml:space="preserve">/v4/</w:t>
      </w:r>
      <w:r>
        <w:t xml:space="preserve">) switches all three together — including drawing the boundary vintage that release actually used.</w:t>
      </w:r>
    </w:p>
    <w:p>
      <w:pPr>
        <w:pStyle w:val="BodyText"/>
      </w:pPr>
      <w:r>
        <w:t xml:space="preserve">See</w:t>
      </w:r>
      <w:r>
        <w:t xml:space="preserve"> </w:t>
      </w:r>
      <w:hyperlink w:anchor="sec-app-scores">
        <w:r>
          <w:rPr>
            <w:rStyle w:val="Hyperlink"/>
          </w:rPr>
          <w:t xml:space="preserve">Appendix D</w:t>
        </w:r>
      </w:hyperlink>
      <w:r>
        <w:t xml:space="preserve"> </w:t>
      </w:r>
      <w:r>
        <w:t xml:space="preserve">for details.</w:t>
      </w:r>
    </w:p>
    <w:bookmarkEnd w:id="465"/>
    <w:bookmarkStart w:id="466" w:name="X3680c5fb3e20b6a91c613e2235f302b13356ea8"/>
    <w:p>
      <w:pPr>
        <w:pStyle w:val="Heading3"/>
      </w:pPr>
      <w:r>
        <w:t xml:space="preserve">19.1.3 Species — mapper of individual species distributions</w:t>
      </w:r>
    </w:p>
    <w:p>
      <w:pPr>
        <w:pStyle w:val="FirstParagraph"/>
      </w:pPr>
      <w:r>
        <w:t xml:space="preserve">The</w:t>
      </w:r>
      <w:r>
        <w:t xml:space="preserve"> </w:t>
      </w:r>
      <w:hyperlink r:id="rId22">
        <w:r>
          <w:rPr>
            <w:rStyle w:val="Hyperlink"/>
          </w:rPr>
          <w:t xml:space="preserve">Species</w:t>
        </w:r>
      </w:hyperlink>
      <w:r>
        <w:t xml:space="preserve"> </w:t>
      </w:r>
      <w:r>
        <w:t xml:space="preserve">application enables exploration of individual species distribution models. Key features include:</w:t>
      </w:r>
    </w:p>
    <w:p>
      <w:pPr>
        <w:pStyle w:val="Compact"/>
        <w:numPr>
          <w:ilvl w:val="0"/>
          <w:numId w:val="1053"/>
        </w:numPr>
      </w:pPr>
      <w:r>
        <w:rPr>
          <w:b/>
          <w:bCs/>
        </w:rPr>
        <w:t xml:space="preserve">Species selection</w:t>
      </w:r>
      <w:r>
        <w:t xml:space="preserve">: search by common or scientific name, filter by species category</w:t>
      </w:r>
    </w:p>
    <w:p>
      <w:pPr>
        <w:pStyle w:val="Compact"/>
        <w:numPr>
          <w:ilvl w:val="0"/>
          <w:numId w:val="1053"/>
        </w:numPr>
      </w:pPr>
      <w:r>
        <w:rPr>
          <w:b/>
          <w:bCs/>
        </w:rPr>
        <w:t xml:space="preserve">Model display</w:t>
      </w:r>
      <w:r>
        <w:t xml:space="preserve">: view merged models or individual source dataset layers</w:t>
      </w:r>
    </w:p>
    <w:p>
      <w:pPr>
        <w:pStyle w:val="Compact"/>
        <w:numPr>
          <w:ilvl w:val="0"/>
          <w:numId w:val="1053"/>
        </w:numPr>
      </w:pPr>
      <w:r>
        <w:rPr>
          <w:b/>
          <w:bCs/>
        </w:rPr>
        <w:t xml:space="preserve">Representation toggle</w:t>
      </w:r>
      <w:r>
        <w:t xml:space="preserve">: compare the native-resolution original with the interpolated surface used in scoring</w:t>
      </w:r>
    </w:p>
    <w:p>
      <w:pPr>
        <w:pStyle w:val="Compact"/>
        <w:numPr>
          <w:ilvl w:val="0"/>
          <w:numId w:val="1053"/>
        </w:numPr>
      </w:pPr>
      <w:r>
        <w:rPr>
          <w:b/>
          <w:bCs/>
        </w:rPr>
        <w:t xml:space="preserve">Masking toggle</w:t>
      </w:r>
      <w:r>
        <w:t xml:space="preserve">: compare the expert-range-constrained merged model with the unconstrained suitability</w:t>
      </w:r>
    </w:p>
    <w:p>
      <w:pPr>
        <w:pStyle w:val="Compact"/>
        <w:numPr>
          <w:ilvl w:val="0"/>
          <w:numId w:val="1053"/>
        </w:numPr>
      </w:pPr>
      <w:r>
        <w:rPr>
          <w:b/>
          <w:bCs/>
        </w:rPr>
        <w:t xml:space="preserve">Species info panel</w:t>
      </w:r>
      <w:r>
        <w:t xml:space="preserve">: ESA listing, IUCN Red List category, MMPA/MBTA protection flags, extinction risk score</w:t>
      </w:r>
    </w:p>
    <w:p>
      <w:pPr>
        <w:pStyle w:val="Compact"/>
        <w:numPr>
          <w:ilvl w:val="0"/>
          <w:numId w:val="1053"/>
        </w:numPr>
      </w:pPr>
      <w:r>
        <w:rPr>
          <w:b/>
          <w:bCs/>
        </w:rPr>
        <w:t xml:space="preserve">Deep-linking</w:t>
      </w:r>
      <w:r>
        <w:t xml:space="preserve">: URL parameters support direct links to specific species</w:t>
      </w:r>
    </w:p>
    <w:p>
      <w:pPr>
        <w:pStyle w:val="FirstParagraph"/>
      </w:pPr>
      <w:r>
        <w:t xml:space="preserve">See</w:t>
      </w:r>
      <w:r>
        <w:t xml:space="preserve"> </w:t>
      </w:r>
      <w:hyperlink w:anchor="sec-app-species">
        <w:r>
          <w:rPr>
            <w:rStyle w:val="Hyperlink"/>
          </w:rPr>
          <w:t xml:space="preserve">Appendix F</w:t>
        </w:r>
      </w:hyperlink>
      <w:r>
        <w:t xml:space="preserve"> </w:t>
      </w:r>
      <w:r>
        <w:t xml:space="preserve">for details.</w:t>
      </w:r>
    </w:p>
    <w:bookmarkEnd w:id="466"/>
    <w:bookmarkEnd w:id="467"/>
    <w:bookmarkStart w:id="468" w:name="legacy-applications"/>
    <w:p>
      <w:pPr>
        <w:pStyle w:val="Heading2"/>
      </w:pPr>
      <w:r>
        <w:t xml:space="preserve">19.2 Legacy Applications</w:t>
      </w:r>
    </w:p>
    <w:p>
      <w:pPr>
        <w:pStyle w:val="FirstParagraph"/>
      </w:pPr>
      <w:r>
        <w:t xml:space="preserve">Earlier prototype applications from the research phase are kept in the Appendix under Applications (Legacy) for reference. They are not part of the current serving path.</w:t>
      </w:r>
    </w:p>
    <w:bookmarkEnd w:id="468"/>
    <w:bookmarkEnd w:id="469"/>
    <w:bookmarkStart w:id="556" w:name="apps-user-guide"/>
    <w:p>
      <w:pPr>
        <w:pStyle w:val="Heading1"/>
      </w:pPr>
      <w:r>
        <w:t xml:space="preserve">20. Apps User Guide</w:t>
      </w:r>
    </w:p>
    <w:p>
      <w:pPr>
        <w:pStyle w:val="FirstParagraph"/>
      </w:pPr>
      <w:r>
        <w:t xml:space="preserve">Step-by-step walkthrough of the Scores and Species applications</w:t>
      </w:r>
    </w:p>
    <w:p>
      <w:pPr>
        <w:pStyle w:val="BodyText"/>
      </w:pPr>
      <w:r>
        <w:br/>
      </w:r>
    </w:p>
    <w:p>
      <w:pPr>
        <w:pStyle w:val="BodyText"/>
      </w:pPr>
      <w:r>
        <w:t xml:space="preserve">This guide walks through the two interactive applications —</w:t>
      </w:r>
      <w:r>
        <w:t xml:space="preserve"> </w:t>
      </w:r>
      <w:r>
        <w:rPr>
          <w:b/>
          <w:bCs/>
        </w:rPr>
        <w:t xml:space="preserve">Scores</w:t>
      </w:r>
      <w:r>
        <w:t xml:space="preserve"> </w:t>
      </w:r>
      <w:r>
        <w:t xml:space="preserve">(</w:t>
      </w:r>
      <w:hyperlink r:id="rId21">
        <w:r>
          <w:rPr>
            <w:rStyle w:val="Hyperlink"/>
          </w:rPr>
          <w:t xml:space="preserve">preview.marinesensitivity.org/v7b/scores/</w:t>
        </w:r>
      </w:hyperlink>
      <w:r>
        <w:t xml:space="preserve">)</w:t>
      </w:r>
      <w:r>
        <w:t xml:space="preserve"> </w:t>
      </w:r>
      <w:r>
        <w:t xml:space="preserve">and</w:t>
      </w:r>
      <w:r>
        <w:t xml:space="preserve"> </w:t>
      </w:r>
      <w:r>
        <w:rPr>
          <w:b/>
          <w:bCs/>
        </w:rPr>
        <w:t xml:space="preserve">Species</w:t>
      </w:r>
      <w:r>
        <w:t xml:space="preserve"> </w:t>
      </w:r>
      <w:r>
        <w:t xml:space="preserve">(</w:t>
      </w:r>
      <w:hyperlink r:id="rId22">
        <w:r>
          <w:rPr>
            <w:rStyle w:val="Hyperlink"/>
          </w:rPr>
          <w:t xml:space="preserve">preview.marinesensitivity.org/v7b/species/</w:t>
        </w:r>
      </w:hyperlink>
      <w:r>
        <w:t xml:space="preserve">)</w:t>
      </w:r>
      <w:r>
        <w:t xml:space="preserve"> </w:t>
      </w:r>
      <w:r>
        <w:t xml:space="preserve">— one control at a time. Each numbered step below mirrors a step in that app’s</w:t>
      </w:r>
      <w:r>
        <w:t xml:space="preserve"> </w:t>
      </w:r>
      <w:r>
        <w:t xml:space="preserve">built-in</w:t>
      </w:r>
      <w:r>
        <w:t xml:space="preserve"> </w:t>
      </w:r>
      <w:r>
        <w:rPr>
          <w:b/>
          <w:bCs/>
        </w:rPr>
        <w:t xml:space="preserve">Take a Tour</w:t>
      </w:r>
      <w:r>
        <w:t xml:space="preserve"> </w:t>
      </w:r>
      <w:r>
        <w:t xml:space="preserve">(click</w:t>
      </w:r>
      <w:r>
        <w:t xml:space="preserve"> </w:t>
      </w:r>
      <w:r>
        <w:rPr>
          <w:i/>
          <w:iCs/>
        </w:rPr>
        <w:t xml:space="preserve">About → Take a Tour</w:t>
      </w:r>
      <w:r>
        <w:t xml:space="preserve"> </w:t>
      </w:r>
      <w:r>
        <w:t xml:space="preserve">in either app to walk the</w:t>
      </w:r>
      <w:r>
        <w:t xml:space="preserve"> </w:t>
      </w:r>
      <w:r>
        <w:t xml:space="preserve">same path live), with the relevant control highlighted on the screenshot.</w:t>
      </w:r>
    </w:p>
    <w:p>
      <w:pPr>
        <w:pStyle w:val="BodyText"/>
      </w:pPr>
      <w:r>
        <w:t xml:space="preserve">For a feature-by-feature reference instead, see the</w:t>
      </w:r>
      <w:r>
        <w:t xml:space="preserve"> </w:t>
      </w:r>
      <w:hyperlink r:id="rId470">
        <w:r>
          <w:rPr>
            <w:rStyle w:val="Hyperlink"/>
          </w:rPr>
          <w:t xml:space="preserve">Scores</w:t>
        </w:r>
      </w:hyperlink>
      <w:r>
        <w:t xml:space="preserve"> </w:t>
      </w:r>
      <w:r>
        <w:t xml:space="preserve">and</w:t>
      </w:r>
      <w:r>
        <w:t xml:space="preserve"> </w:t>
      </w:r>
      <w:hyperlink r:id="rId471">
        <w:r>
          <w:rPr>
            <w:rStyle w:val="Hyperlink"/>
          </w:rPr>
          <w:t xml:space="preserve">Species</w:t>
        </w:r>
      </w:hyperlink>
      <w:r>
        <w:t xml:space="preserve"> </w:t>
      </w:r>
      <w:r>
        <w:t xml:space="preserve">appendix 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2" name="Picture"/>
                  <a:graphic>
                    <a:graphicData uri="http://schemas.openxmlformats.org/drawingml/2006/picture">
                      <pic:pic>
                        <pic:nvPicPr>
                          <pic:cNvPr descr="/Applications/quarto/share/formats/docx/tip.png" id="47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Running</w:t>
            </w:r>
            <w:r>
              <w:t xml:space="preserve"> </w:t>
            </w:r>
            <w:r>
              <w:rPr>
                <w:rStyle w:val="VerbatimChar"/>
              </w:rPr>
              <w:t xml:space="preserve">libs/apps-guide-regenerate.R</w:t>
            </w:r>
            <w:r>
              <w:t xml:space="preserve"> </w:t>
            </w:r>
            <w:r>
              <w:t xml:space="preserve">re-parses both tours,</w:t>
            </w:r>
            <w:r>
              <w:t xml:space="preserve"> </w:t>
            </w:r>
            <w:r>
              <w:t xml:space="preserve">re-highlights the same CSS element each tour points at, and re-captures the</w:t>
            </w:r>
            <w:r>
              <w:t xml:space="preserve"> </w:t>
            </w:r>
            <w:r>
              <w:t xml:space="preserve">screenshots, writing</w:t>
            </w:r>
            <w:r>
              <w:t xml:space="preserve"> </w:t>
            </w:r>
            <w:r>
              <w:rPr>
                <w:rStyle w:val="VerbatimChar"/>
              </w:rPr>
              <w:t xml:space="preserve">figures/apps-guide/steps.json</w:t>
            </w:r>
            <w:r>
              <w:t xml:space="preserve">. So whenever a tour</w:t>
            </w:r>
            <w:r>
              <w:t xml:space="preserve"> </w:t>
            </w:r>
            <w:r>
              <w:t xml:space="preserve">changes, re-running that one script refreshes this whole page.</w:t>
            </w:r>
          </w:p>
          <w:p/>
        </w:tc>
      </w:tr>
    </w:tbl>
    <w:bookmarkStart w:id="529" w:name="scores-app"/>
    <w:p>
      <w:pPr>
        <w:pStyle w:val="Heading2"/>
      </w:pPr>
      <w:r>
        <w:t xml:space="preserve">20.1 Scores app</w:t>
      </w:r>
    </w:p>
    <w:bookmarkStart w:id="478" w:name="study-area"/>
    <w:p>
      <w:pPr>
        <w:pStyle w:val="Heading3"/>
      </w:pPr>
      <w:r>
        <w:t xml:space="preserve">20.1.1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477" w:name="fig-scores-01"/>
          <w:p>
            <w:pPr>
              <w:pStyle w:val="Compact"/>
              <w:jc w:val="center"/>
            </w:pPr>
            <w:r>
              <w:drawing>
                <wp:inline>
                  <wp:extent cx="5334000" cy="3583781"/>
                  <wp:effectExtent b="0" l="0" r="0" t="0"/>
                  <wp:docPr descr="" title="" id="475" name="Picture"/>
                  <a:graphic>
                    <a:graphicData uri="http://schemas.openxmlformats.org/drawingml/2006/picture">
                      <pic:pic>
                        <pic:nvPicPr>
                          <pic:cNvPr descr="figures/apps-guide/scores-01.png" id="476" name="Picture"/>
                          <pic:cNvPicPr>
                            <a:picLocks noChangeArrowheads="1" noChangeAspect="1"/>
                          </pic:cNvPicPr>
                        </pic:nvPicPr>
                        <pic:blipFill>
                          <a:blip r:embed="rId47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 Study Area</w:t>
            </w:r>
          </w:p>
          <w:bookmarkEnd w:id="477"/>
        </w:tc>
      </w:tr>
    </w:tbl>
    <w:bookmarkEnd w:id="478"/>
    <w:bookmarkStart w:id="483" w:name="spatial-units-1"/>
    <w:p>
      <w:pPr>
        <w:pStyle w:val="Heading3"/>
      </w:pPr>
      <w:r>
        <w:t xml:space="preserve">20.1.2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482" w:name="fig-scores-02"/>
          <w:p>
            <w:pPr>
              <w:pStyle w:val="Compact"/>
              <w:jc w:val="center"/>
            </w:pPr>
            <w:r>
              <w:drawing>
                <wp:inline>
                  <wp:extent cx="5334000" cy="3583781"/>
                  <wp:effectExtent b="0" l="0" r="0" t="0"/>
                  <wp:docPr descr="" title="" id="480" name="Picture"/>
                  <a:graphic>
                    <a:graphicData uri="http://schemas.openxmlformats.org/drawingml/2006/picture">
                      <pic:pic>
                        <pic:nvPicPr>
                          <pic:cNvPr descr="figures/apps-guide/scores-02.png" id="481" name="Picture"/>
                          <pic:cNvPicPr>
                            <a:picLocks noChangeArrowheads="1" noChangeAspect="1"/>
                          </pic:cNvPicPr>
                        </pic:nvPicPr>
                        <pic:blipFill>
                          <a:blip r:embed="rId47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20.2: Spatial Units</w:t>
            </w:r>
          </w:p>
          <w:bookmarkEnd w:id="482"/>
        </w:tc>
      </w:tr>
    </w:tbl>
    <w:bookmarkEnd w:id="483"/>
    <w:bookmarkStart w:id="488" w:name="layer-selection"/>
    <w:p>
      <w:pPr>
        <w:pStyle w:val="Heading3"/>
      </w:pPr>
      <w:r>
        <w:t xml:space="preserve">20.1.3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487" w:name="fig-scores-03"/>
          <w:p>
            <w:pPr>
              <w:pStyle w:val="Compact"/>
              <w:jc w:val="center"/>
            </w:pPr>
            <w:r>
              <w:drawing>
                <wp:inline>
                  <wp:extent cx="5334000" cy="3583781"/>
                  <wp:effectExtent b="0" l="0" r="0" t="0"/>
                  <wp:docPr descr="" title="" id="485" name="Picture"/>
                  <a:graphic>
                    <a:graphicData uri="http://schemas.openxmlformats.org/drawingml/2006/picture">
                      <pic:pic>
                        <pic:nvPicPr>
                          <pic:cNvPr descr="figures/apps-guide/scores-03.png" id="486" name="Picture"/>
                          <pic:cNvPicPr>
                            <a:picLocks noChangeArrowheads="1" noChangeAspect="1"/>
                          </pic:cNvPicPr>
                        </pic:nvPicPr>
                        <pic:blipFill>
                          <a:blip r:embed="rId48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20.3: Layer Selection</w:t>
            </w:r>
          </w:p>
          <w:bookmarkEnd w:id="487"/>
        </w:tc>
      </w:tr>
    </w:tbl>
    <w:bookmarkEnd w:id="488"/>
    <w:bookmarkStart w:id="493" w:name="map-tab"/>
    <w:p>
      <w:pPr>
        <w:pStyle w:val="Heading3"/>
      </w:pPr>
      <w:r>
        <w:t xml:space="preserve">20.1.4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492" w:name="fig-scores-04"/>
          <w:p>
            <w:pPr>
              <w:pStyle w:val="Compact"/>
              <w:jc w:val="center"/>
            </w:pPr>
            <w:r>
              <w:drawing>
                <wp:inline>
                  <wp:extent cx="5334000" cy="3583781"/>
                  <wp:effectExtent b="0" l="0" r="0" t="0"/>
                  <wp:docPr descr="" title="" id="490" name="Picture"/>
                  <a:graphic>
                    <a:graphicData uri="http://schemas.openxmlformats.org/drawingml/2006/picture">
                      <pic:pic>
                        <pic:nvPicPr>
                          <pic:cNvPr descr="figures/apps-guide/scores-04.png" id="491" name="Picture"/>
                          <pic:cNvPicPr>
                            <a:picLocks noChangeArrowheads="1" noChangeAspect="1"/>
                          </pic:cNvPicPr>
                        </pic:nvPicPr>
                        <pic:blipFill>
                          <a:blip r:embed="rId48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20.4: Map tab</w:t>
            </w:r>
          </w:p>
          <w:bookmarkEnd w:id="492"/>
        </w:tc>
      </w:tr>
    </w:tbl>
    <w:bookmarkEnd w:id="493"/>
    <w:bookmarkStart w:id="498" w:name="layers-control"/>
    <w:p>
      <w:pPr>
        <w:pStyle w:val="Heading3"/>
      </w:pPr>
      <w:r>
        <w:t xml:space="preserve">20.1.5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497" w:name="fig-scores-05"/>
          <w:p>
            <w:pPr>
              <w:pStyle w:val="Compact"/>
              <w:jc w:val="center"/>
            </w:pPr>
            <w:r>
              <w:drawing>
                <wp:inline>
                  <wp:extent cx="5334000" cy="3583781"/>
                  <wp:effectExtent b="0" l="0" r="0" t="0"/>
                  <wp:docPr descr="" title="" id="495" name="Picture"/>
                  <a:graphic>
                    <a:graphicData uri="http://schemas.openxmlformats.org/drawingml/2006/picture">
                      <pic:pic>
                        <pic:nvPicPr>
                          <pic:cNvPr descr="figures/apps-guide/scores-05.png" id="496" name="Picture"/>
                          <pic:cNvPicPr>
                            <a:picLocks noChangeArrowheads="1" noChangeAspect="1"/>
                          </pic:cNvPicPr>
                        </pic:nvPicPr>
                        <pic:blipFill>
                          <a:blip r:embed="rId49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20.5: Layers control</w:t>
            </w:r>
          </w:p>
          <w:bookmarkEnd w:id="497"/>
        </w:tc>
      </w:tr>
    </w:tbl>
    <w:bookmarkEnd w:id="498"/>
    <w:bookmarkStart w:id="503" w:name="go-to-location"/>
    <w:p>
      <w:pPr>
        <w:pStyle w:val="Heading3"/>
      </w:pPr>
      <w:r>
        <w:t xml:space="preserve">20.1.6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502" w:name="fig-scores-06"/>
          <w:p>
            <w:pPr>
              <w:pStyle w:val="Compact"/>
              <w:jc w:val="center"/>
            </w:pPr>
            <w:r>
              <w:drawing>
                <wp:inline>
                  <wp:extent cx="5334000" cy="3583781"/>
                  <wp:effectExtent b="0" l="0" r="0" t="0"/>
                  <wp:docPr descr="" title="" id="500" name="Picture"/>
                  <a:graphic>
                    <a:graphicData uri="http://schemas.openxmlformats.org/drawingml/2006/picture">
                      <pic:pic>
                        <pic:nvPicPr>
                          <pic:cNvPr descr="figures/apps-guide/scores-06.png" id="501" name="Picture"/>
                          <pic:cNvPicPr>
                            <a:picLocks noChangeArrowheads="1" noChangeAspect="1"/>
                          </pic:cNvPicPr>
                        </pic:nvPicPr>
                        <pic:blipFill>
                          <a:blip r:embed="rId49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20.6: Go to location</w:t>
            </w:r>
          </w:p>
          <w:bookmarkEnd w:id="502"/>
        </w:tc>
      </w:tr>
    </w:tbl>
    <w:bookmarkEnd w:id="503"/>
    <w:bookmarkStart w:id="508" w:name="full-screen"/>
    <w:p>
      <w:pPr>
        <w:pStyle w:val="Heading3"/>
      </w:pPr>
      <w:r>
        <w:t xml:space="preserve">20.1.7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507" w:name="fig-scores-07"/>
          <w:p>
            <w:pPr>
              <w:pStyle w:val="Compact"/>
              <w:jc w:val="center"/>
            </w:pPr>
            <w:r>
              <w:drawing>
                <wp:inline>
                  <wp:extent cx="5334000" cy="3583781"/>
                  <wp:effectExtent b="0" l="0" r="0" t="0"/>
                  <wp:docPr descr="" title="" id="505" name="Picture"/>
                  <a:graphic>
                    <a:graphicData uri="http://schemas.openxmlformats.org/drawingml/2006/picture">
                      <pic:pic>
                        <pic:nvPicPr>
                          <pic:cNvPr descr="figures/apps-guide/scores-07.png" id="506" name="Picture"/>
                          <pic:cNvPicPr>
                            <a:picLocks noChangeArrowheads="1" noChangeAspect="1"/>
                          </pic:cNvPicPr>
                        </pic:nvPicPr>
                        <pic:blipFill>
                          <a:blip r:embed="rId50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20.7: Full screen</w:t>
            </w:r>
          </w:p>
          <w:bookmarkEnd w:id="507"/>
        </w:tc>
      </w:tr>
    </w:tbl>
    <w:bookmarkEnd w:id="508"/>
    <w:bookmarkStart w:id="513" w:name="zoom-in-out"/>
    <w:p>
      <w:pPr>
        <w:pStyle w:val="Heading3"/>
      </w:pPr>
      <w:r>
        <w:t xml:space="preserve">20.1.8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512" w:name="fig-scores-08"/>
          <w:p>
            <w:pPr>
              <w:pStyle w:val="Compact"/>
              <w:jc w:val="center"/>
            </w:pPr>
            <w:r>
              <w:drawing>
                <wp:inline>
                  <wp:extent cx="5334000" cy="3583781"/>
                  <wp:effectExtent b="0" l="0" r="0" t="0"/>
                  <wp:docPr descr="" title="" id="510" name="Picture"/>
                  <a:graphic>
                    <a:graphicData uri="http://schemas.openxmlformats.org/drawingml/2006/picture">
                      <pic:pic>
                        <pic:nvPicPr>
                          <pic:cNvPr descr="figures/apps-guide/scores-08.png" id="511" name="Picture"/>
                          <pic:cNvPicPr>
                            <a:picLocks noChangeArrowheads="1" noChangeAspect="1"/>
                          </pic:cNvPicPr>
                        </pic:nvPicPr>
                        <pic:blipFill>
                          <a:blip r:embed="rId50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20.8: Zoom in / out</w:t>
            </w:r>
          </w:p>
          <w:bookmarkEnd w:id="512"/>
        </w:tc>
      </w:tr>
    </w:tbl>
    <w:bookmarkEnd w:id="513"/>
    <w:bookmarkStart w:id="518" w:name="plot-of-scores-tab"/>
    <w:p>
      <w:pPr>
        <w:pStyle w:val="Heading3"/>
      </w:pPr>
      <w:r>
        <w:t xml:space="preserve">20.1.9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517" w:name="fig-scores-09"/>
          <w:p>
            <w:pPr>
              <w:pStyle w:val="Compact"/>
              <w:jc w:val="center"/>
            </w:pPr>
            <w:r>
              <w:drawing>
                <wp:inline>
                  <wp:extent cx="5334000" cy="3583781"/>
                  <wp:effectExtent b="0" l="0" r="0" t="0"/>
                  <wp:docPr descr="" title="" id="515" name="Picture"/>
                  <a:graphic>
                    <a:graphicData uri="http://schemas.openxmlformats.org/drawingml/2006/picture">
                      <pic:pic>
                        <pic:nvPicPr>
                          <pic:cNvPr descr="figures/apps-guide/scores-09.png" id="516" name="Picture"/>
                          <pic:cNvPicPr>
                            <a:picLocks noChangeArrowheads="1" noChangeAspect="1"/>
                          </pic:cNvPicPr>
                        </pic:nvPicPr>
                        <pic:blipFill>
                          <a:blip r:embed="rId51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20.9: Plot of Scores tab</w:t>
            </w:r>
          </w:p>
          <w:bookmarkEnd w:id="517"/>
        </w:tc>
      </w:tr>
    </w:tbl>
    <w:bookmarkEnd w:id="518"/>
    <w:bookmarkStart w:id="523" w:name="table-of-species-tab"/>
    <w:p>
      <w:pPr>
        <w:pStyle w:val="Heading3"/>
      </w:pPr>
      <w:r>
        <w:t xml:space="preserve">20.1.10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522" w:name="fig-scores-10"/>
          <w:p>
            <w:pPr>
              <w:pStyle w:val="Compact"/>
              <w:jc w:val="center"/>
            </w:pPr>
            <w:r>
              <w:drawing>
                <wp:inline>
                  <wp:extent cx="5334000" cy="3583781"/>
                  <wp:effectExtent b="0" l="0" r="0" t="0"/>
                  <wp:docPr descr="" title="" id="520" name="Picture"/>
                  <a:graphic>
                    <a:graphicData uri="http://schemas.openxmlformats.org/drawingml/2006/picture">
                      <pic:pic>
                        <pic:nvPicPr>
                          <pic:cNvPr descr="figures/apps-guide/scores-10.png" id="521" name="Picture"/>
                          <pic:cNvPicPr>
                            <a:picLocks noChangeArrowheads="1" noChangeAspect="1"/>
                          </pic:cNvPicPr>
                        </pic:nvPicPr>
                        <pic:blipFill>
                          <a:blip r:embed="rId51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20.10: Table of Species tab</w:t>
            </w:r>
          </w:p>
          <w:bookmarkEnd w:id="522"/>
        </w:tc>
      </w:tr>
    </w:tbl>
    <w:bookmarkEnd w:id="523"/>
    <w:bookmarkStart w:id="528" w:name="report-tab"/>
    <w:p>
      <w:pPr>
        <w:pStyle w:val="Heading3"/>
      </w:pPr>
      <w:r>
        <w:t xml:space="preserve">20.1.11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527" w:name="fig-scores-11"/>
          <w:p>
            <w:pPr>
              <w:pStyle w:val="Compact"/>
              <w:jc w:val="center"/>
            </w:pPr>
            <w:r>
              <w:drawing>
                <wp:inline>
                  <wp:extent cx="5334000" cy="3583781"/>
                  <wp:effectExtent b="0" l="0" r="0" t="0"/>
                  <wp:docPr descr="" title="" id="525" name="Picture"/>
                  <a:graphic>
                    <a:graphicData uri="http://schemas.openxmlformats.org/drawingml/2006/picture">
                      <pic:pic>
                        <pic:nvPicPr>
                          <pic:cNvPr descr="figures/apps-guide/scores-11.png" id="526" name="Picture"/>
                          <pic:cNvPicPr>
                            <a:picLocks noChangeArrowheads="1" noChangeAspect="1"/>
                          </pic:cNvPicPr>
                        </pic:nvPicPr>
                        <pic:blipFill>
                          <a:blip r:embed="rId52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20.11: Report tab</w:t>
            </w:r>
          </w:p>
          <w:bookmarkEnd w:id="527"/>
        </w:tc>
      </w:tr>
    </w:tbl>
    <w:bookmarkEnd w:id="528"/>
    <w:bookmarkEnd w:id="529"/>
    <w:bookmarkStart w:id="555" w:name="species-app"/>
    <w:p>
      <w:pPr>
        <w:pStyle w:val="Heading2"/>
      </w:pPr>
      <w:r>
        <w:t xml:space="preserve">20.2 Species app</w:t>
      </w:r>
    </w:p>
    <w:bookmarkStart w:id="534" w:name="select-a-species"/>
    <w:p>
      <w:pPr>
        <w:pStyle w:val="Heading3"/>
      </w:pPr>
      <w:r>
        <w:t xml:space="preserve">20.2.1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533" w:name="fig-species-01"/>
          <w:p>
            <w:pPr>
              <w:pStyle w:val="Compact"/>
              <w:jc w:val="center"/>
            </w:pPr>
            <w:r>
              <w:drawing>
                <wp:inline>
                  <wp:extent cx="5334000" cy="3583781"/>
                  <wp:effectExtent b="0" l="0" r="0" t="0"/>
                  <wp:docPr descr="" title="" id="531" name="Picture"/>
                  <a:graphic>
                    <a:graphicData uri="http://schemas.openxmlformats.org/drawingml/2006/picture">
                      <pic:pic>
                        <pic:nvPicPr>
                          <pic:cNvPr descr="figures/apps-guide/species-01.png" id="532" name="Picture"/>
                          <pic:cNvPicPr>
                            <a:picLocks noChangeArrowheads="1" noChangeAspect="1"/>
                          </pic:cNvPicPr>
                        </pic:nvPicPr>
                        <pic:blipFill>
                          <a:blip r:embed="rId53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20.12: Select a Species</w:t>
            </w:r>
          </w:p>
          <w:bookmarkEnd w:id="533"/>
        </w:tc>
      </w:tr>
    </w:tbl>
    <w:bookmarkEnd w:id="534"/>
    <w:bookmarkStart w:id="539" w:name="mask-selection"/>
    <w:p>
      <w:pPr>
        <w:pStyle w:val="Heading3"/>
      </w:pPr>
      <w:r>
        <w:t xml:space="preserve">20.2.2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538" w:name="fig-species-02"/>
          <w:p>
            <w:pPr>
              <w:pStyle w:val="Compact"/>
              <w:jc w:val="center"/>
            </w:pPr>
            <w:r>
              <w:drawing>
                <wp:inline>
                  <wp:extent cx="5334000" cy="3583781"/>
                  <wp:effectExtent b="0" l="0" r="0" t="0"/>
                  <wp:docPr descr="" title="" id="536" name="Picture"/>
                  <a:graphic>
                    <a:graphicData uri="http://schemas.openxmlformats.org/drawingml/2006/picture">
                      <pic:pic>
                        <pic:nvPicPr>
                          <pic:cNvPr descr="figures/apps-guide/species-02.png" id="537" name="Picture"/>
                          <pic:cNvPicPr>
                            <a:picLocks noChangeArrowheads="1" noChangeAspect="1"/>
                          </pic:cNvPicPr>
                        </pic:nvPicPr>
                        <pic:blipFill>
                          <a:blip r:embed="rId53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20.13: Mask Selection</w:t>
            </w:r>
          </w:p>
          <w:bookmarkEnd w:id="538"/>
        </w:tc>
      </w:tr>
    </w:tbl>
    <w:bookmarkEnd w:id="539"/>
    <w:bookmarkStart w:id="544" w:name="layer-selector"/>
    <w:p>
      <w:pPr>
        <w:pStyle w:val="Heading3"/>
      </w:pPr>
      <w:r>
        <w:t xml:space="preserve">20.2.3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543" w:name="fig-species-03"/>
          <w:p>
            <w:pPr>
              <w:pStyle w:val="Compact"/>
              <w:jc w:val="center"/>
            </w:pPr>
            <w:r>
              <w:drawing>
                <wp:inline>
                  <wp:extent cx="5334000" cy="3583781"/>
                  <wp:effectExtent b="0" l="0" r="0" t="0"/>
                  <wp:docPr descr="" title="" id="541" name="Picture"/>
                  <a:graphic>
                    <a:graphicData uri="http://schemas.openxmlformats.org/drawingml/2006/picture">
                      <pic:pic>
                        <pic:nvPicPr>
                          <pic:cNvPr descr="figures/apps-guide/species-03.png" id="542" name="Picture"/>
                          <pic:cNvPicPr>
                            <a:picLocks noChangeArrowheads="1" noChangeAspect="1"/>
                          </pic:cNvPicPr>
                        </pic:nvPicPr>
                        <pic:blipFill>
                          <a:blip r:embed="rId54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20.14: Layer Selector</w:t>
            </w:r>
          </w:p>
          <w:bookmarkEnd w:id="543"/>
        </w:tc>
      </w:tr>
    </w:tbl>
    <w:bookmarkEnd w:id="544"/>
    <w:bookmarkStart w:id="549" w:name="species-map"/>
    <w:p>
      <w:pPr>
        <w:pStyle w:val="Heading3"/>
      </w:pPr>
      <w:r>
        <w:t xml:space="preserve">20.2.4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548" w:name="fig-species-04"/>
          <w:p>
            <w:pPr>
              <w:pStyle w:val="Compact"/>
              <w:jc w:val="center"/>
            </w:pPr>
            <w:r>
              <w:drawing>
                <wp:inline>
                  <wp:extent cx="5334000" cy="3583781"/>
                  <wp:effectExtent b="0" l="0" r="0" t="0"/>
                  <wp:docPr descr="" title="" id="546" name="Picture"/>
                  <a:graphic>
                    <a:graphicData uri="http://schemas.openxmlformats.org/drawingml/2006/picture">
                      <pic:pic>
                        <pic:nvPicPr>
                          <pic:cNvPr descr="figures/apps-guide/species-04.png" id="547" name="Picture"/>
                          <pic:cNvPicPr>
                            <a:picLocks noChangeArrowheads="1" noChangeAspect="1"/>
                          </pic:cNvPicPr>
                        </pic:nvPicPr>
                        <pic:blipFill>
                          <a:blip r:embed="rId54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20.15: Species Map</w:t>
            </w:r>
          </w:p>
          <w:bookmarkEnd w:id="548"/>
        </w:tc>
      </w:tr>
    </w:tbl>
    <w:bookmarkEnd w:id="549"/>
    <w:bookmarkStart w:id="554" w:name="species-info"/>
    <w:p>
      <w:pPr>
        <w:pStyle w:val="Heading3"/>
      </w:pPr>
      <w:r>
        <w:t xml:space="preserve">20.2.5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553" w:name="fig-species-05"/>
          <w:p>
            <w:pPr>
              <w:pStyle w:val="Compact"/>
              <w:jc w:val="center"/>
            </w:pPr>
            <w:r>
              <w:drawing>
                <wp:inline>
                  <wp:extent cx="5334000" cy="3583781"/>
                  <wp:effectExtent b="0" l="0" r="0" t="0"/>
                  <wp:docPr descr="" title="" id="551" name="Picture"/>
                  <a:graphic>
                    <a:graphicData uri="http://schemas.openxmlformats.org/drawingml/2006/picture">
                      <pic:pic>
                        <pic:nvPicPr>
                          <pic:cNvPr descr="figures/apps-guide/species-05.png" id="552" name="Picture"/>
                          <pic:cNvPicPr>
                            <a:picLocks noChangeArrowheads="1" noChangeAspect="1"/>
                          </pic:cNvPicPr>
                        </pic:nvPicPr>
                        <pic:blipFill>
                          <a:blip r:embed="rId55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20.16: Species Info</w:t>
            </w:r>
          </w:p>
          <w:bookmarkEnd w:id="553"/>
        </w:tc>
      </w:tr>
    </w:tbl>
    <w:bookmarkEnd w:id="554"/>
    <w:bookmarkEnd w:id="555"/>
    <w:bookmarkEnd w:id="556"/>
    <w:bookmarkStart w:id="558" w:name="docs"/>
    <w:p>
      <w:pPr>
        <w:pStyle w:val="Heading1"/>
      </w:pPr>
      <w:r>
        <w:t xml:space="preserve">21. Docs</w:t>
      </w:r>
    </w:p>
    <w:p>
      <w:pPr>
        <w:pStyle w:val="FirstParagraph"/>
      </w:pPr>
      <w:r>
        <w:t xml:space="preserve">Technical documentation is principally in this book:</w:t>
      </w:r>
    </w:p>
    <w:p>
      <w:pPr>
        <w:numPr>
          <w:ilvl w:val="0"/>
          <w:numId w:val="1054"/>
        </w:numPr>
      </w:pPr>
      <w:hyperlink r:id="rId285">
        <w:r>
          <w:rPr>
            <w:rStyle w:val="Hyperlink"/>
          </w:rPr>
          <w:t xml:space="preserve">marinesensitivity.org/docs</w:t>
        </w:r>
      </w:hyperlink>
      <w:r>
        <w:br/>
      </w:r>
      <w:r>
        <w:t xml:space="preserve">the main documentation site</w:t>
      </w:r>
    </w:p>
    <w:p>
      <w:pPr>
        <w:numPr>
          <w:ilvl w:val="0"/>
          <w:numId w:val="1054"/>
        </w:numPr>
      </w:pPr>
      <w:hyperlink r:id="rId426">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55"/>
        </w:numPr>
      </w:pPr>
      <w:hyperlink r:id="rId557">
        <w:r>
          <w:rPr>
            <w:rStyle w:val="Hyperlink"/>
          </w:rPr>
          <w:t xml:space="preserve">marinesensitivity.org/</w:t>
        </w:r>
        <w:r>
          <w:rPr>
            <w:rStyle w:val="VerbatimChar"/>
          </w:rPr>
          <w:t xml:space="preserve">msens</w:t>
        </w:r>
      </w:hyperlink>
      <w:r>
        <w:br/>
      </w:r>
      <w:r>
        <w:t xml:space="preserve">documented R functions</w:t>
      </w:r>
    </w:p>
    <w:bookmarkEnd w:id="558"/>
    <w:bookmarkStart w:id="562" w:name="summary"/>
    <w:p>
      <w:pPr>
        <w:pStyle w:val="Heading1"/>
      </w:pPr>
      <w:r>
        <w:t xml:space="preserve">22.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v7b</w:t>
      </w:r>
      <w:r>
        <w:t xml:space="preserve">; figures are read from that release.</w:t>
      </w:r>
    </w:p>
    <w:bookmarkStart w:id="559" w:name="what-this-release-delivers"/>
    <w:p>
      <w:pPr>
        <w:pStyle w:val="Heading2"/>
      </w:pPr>
      <w:r>
        <w:t xml:space="preserve">22.1 What this release delivers</w:t>
      </w:r>
    </w:p>
    <w:p>
      <w:pPr>
        <w:numPr>
          <w:ilvl w:val="0"/>
          <w:numId w:val="1056"/>
        </w:numPr>
      </w:pPr>
      <w:r>
        <w:rPr>
          <w:b/>
          <w:bCs/>
        </w:rPr>
        <w:t xml:space="preserve">16,153 valid marine species</w:t>
      </w:r>
      <w:r>
        <w:t xml:space="preserve"> </w:t>
      </w:r>
      <w:r>
        <w:t xml:space="preserve">on a 0.05° grid (~4 km cells) across the US EEZ study area, of which</w:t>
      </w:r>
      <w:r>
        <w:t xml:space="preserve"> </w:t>
      </w:r>
      <w:r>
        <w:rPr>
          <w:b/>
          <w:bCs/>
        </w:rPr>
        <w:t xml:space="preserve">9,230</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56"/>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bird</w:t>
      </w:r>
      <w:r>
        <w:t xml:space="preserve">,</w:t>
      </w:r>
      <w:r>
        <w:t xml:space="preserve"> </w:t>
      </w:r>
      <w:r>
        <w:rPr>
          <w:rStyle w:val="VerbatimChar"/>
        </w:rPr>
        <w:t xml:space="preserve">coral</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56"/>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56"/>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56"/>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56"/>
        </w:numPr>
      </w:pPr>
      <w:r>
        <w:rPr>
          <w:b/>
          <w:bCs/>
        </w:rPr>
        <w:t xml:space="preserve">Interactive applications</w:t>
      </w:r>
      <w:r>
        <w:t xml:space="preserve"> </w:t>
      </w:r>
      <w:r>
        <w:t xml:space="preserve">— Scores and Species — render</w:t>
      </w:r>
      <w:r>
        <w:t xml:space="preserve"> </w:t>
      </w:r>
      <w:r>
        <w:rPr>
          <w:b/>
          <w:bCs/>
        </w:rPr>
        <w:t xml:space="preserve">any published release</w:t>
      </w:r>
      <w:r>
        <w:t xml:space="preserve"> </w:t>
      </w:r>
      <w:r>
        <w:t xml:space="preserve">from the URL path (e.g. </w:t>
      </w:r>
      <w:r>
        <w:rPr>
          <w:rStyle w:val="VerbatimChar"/>
        </w:rPr>
        <w:t xml:space="preserve">/v3/scores/</w:t>
      </w:r>
      <w:r>
        <w:t xml:space="preserve">; an older</w:t>
      </w:r>
      <w:r>
        <w:t xml:space="preserve"> </w:t>
      </w:r>
      <w:r>
        <w:rPr>
          <w:rStyle w:val="VerbatimChar"/>
        </w:rPr>
        <w:t xml:space="preserve">?ver=v3</w:t>
      </w:r>
      <w:r>
        <w:t xml:space="preserve"> </w:t>
      </w:r>
      <w:r>
        <w:t xml:space="preserve">deep link still resolves, 301’d to the equivalent path), so a reader can look at the release a report cited rather than only the newest one.</w:t>
      </w:r>
    </w:p>
    <w:bookmarkEnd w:id="559"/>
    <w:bookmarkStart w:id="560" w:name="delivered-since-the-first-release"/>
    <w:p>
      <w:pPr>
        <w:pStyle w:val="Heading2"/>
      </w:pPr>
      <w:r>
        <w:t xml:space="preserve">22.2 Delivered since the first release</w:t>
      </w:r>
    </w:p>
    <w:p>
      <w:pPr>
        <w:pStyle w:val="FirstParagraph"/>
      </w:pPr>
      <w:r>
        <w:t xml:space="preserve">Several capabilities listed as future work in earlier editions of this documentation have since shipped:</w:t>
      </w:r>
    </w:p>
    <w:p>
      <w:pPr>
        <w:pStyle w:val="Compact"/>
        <w:numPr>
          <w:ilvl w:val="0"/>
          <w:numId w:val="1057"/>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57"/>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57"/>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57"/>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57"/>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560"/>
    <w:bookmarkStart w:id="561" w:name="future-directions"/>
    <w:p>
      <w:pPr>
        <w:pStyle w:val="Heading2"/>
      </w:pPr>
      <w:r>
        <w:t xml:space="preserve">22.3 Future directions</w:t>
      </w:r>
    </w:p>
    <w:p>
      <w:pPr>
        <w:pStyle w:val="Compact"/>
        <w:numPr>
          <w:ilvl w:val="0"/>
          <w:numId w:val="1058"/>
        </w:numPr>
      </w:pPr>
      <w:r>
        <w:rPr>
          <w:b/>
          <w:bCs/>
        </w:rPr>
        <w:t xml:space="preserve">OBIS/GBIF validation</w:t>
      </w:r>
      <w:r>
        <w:t xml:space="preserve"> </w:t>
      </w:r>
      <w:r>
        <w:t xml:space="preserve">— refine distributions against occurrence records, with temporal filters.</w:t>
      </w:r>
    </w:p>
    <w:p>
      <w:pPr>
        <w:pStyle w:val="Compact"/>
        <w:numPr>
          <w:ilvl w:val="0"/>
          <w:numId w:val="1058"/>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58"/>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58"/>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58"/>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58"/>
        </w:numPr>
      </w:pPr>
      <w:r>
        <w:rPr>
          <w:b/>
          <w:bCs/>
        </w:rPr>
        <w:t xml:space="preserve">Infrastructure transfer</w:t>
      </w:r>
      <w:r>
        <w:t xml:space="preserve"> </w:t>
      </w:r>
      <w:r>
        <w:t xml:space="preserve">— support moving the data and applications onto BOEM infrastructure for long-term operation.</w:t>
      </w:r>
    </w:p>
    <w:bookmarkEnd w:id="561"/>
    <w:bookmarkEnd w:id="562"/>
    <w:bookmarkStart w:id="603" w:name="references"/>
    <w:p>
      <w:pPr>
        <w:pStyle w:val="Heading1"/>
      </w:pPr>
      <w:r>
        <w:t xml:space="preserve">References</w:t>
      </w:r>
    </w:p>
    <w:bookmarkStart w:id="602" w:name="refs"/>
    <w:bookmarkStart w:id="564"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563">
        <w:r>
          <w:rPr>
            <w:rStyle w:val="Hyperlink"/>
          </w:rPr>
          <w:t xml:space="preserve">https://doi.org/10.4319/lo.1997.42.1.0001</w:t>
        </w:r>
      </w:hyperlink>
      <w:r>
        <w:t xml:space="preserve">.</w:t>
      </w:r>
    </w:p>
    <w:bookmarkEnd w:id="564"/>
    <w:bookmarkStart w:id="566"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565">
        <w:r>
          <w:rPr>
            <w:rStyle w:val="Hyperlink"/>
          </w:rPr>
          <w:t xml:space="preserve">https://doi.org/10.1371/journal.pone.0000140</w:t>
        </w:r>
      </w:hyperlink>
      <w:r>
        <w:t xml:space="preserve">.</w:t>
      </w:r>
    </w:p>
    <w:bookmarkEnd w:id="566"/>
    <w:bookmarkStart w:id="568"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567">
        <w:r>
          <w:rPr>
            <w:rStyle w:val="Hyperlink"/>
          </w:rPr>
          <w:t xml:space="preserve">https://doi.org/10.1371/journal.pbio.0020383</w:t>
        </w:r>
      </w:hyperlink>
      <w:r>
        <w:t xml:space="preserve">.</w:t>
      </w:r>
    </w:p>
    <w:bookmarkEnd w:id="568"/>
    <w:bookmarkStart w:id="570"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569">
        <w:r>
          <w:rPr>
            <w:rStyle w:val="Hyperlink"/>
          </w:rPr>
          <w:t xml:space="preserve">https://CRAN.R-project.org/package=shiny</w:t>
        </w:r>
      </w:hyperlink>
      <w:r>
        <w:t xml:space="preserve">.</w:t>
      </w:r>
    </w:p>
    <w:bookmarkEnd w:id="570"/>
    <w:bookmarkStart w:id="572"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571">
        <w:r>
          <w:rPr>
            <w:rStyle w:val="Hyperlink"/>
          </w:rPr>
          <w:t xml:space="preserve">https://doi.org/10.1080/09640568.2014.973483</w:t>
        </w:r>
      </w:hyperlink>
      <w:r>
        <w:t xml:space="preserve">.</w:t>
      </w:r>
    </w:p>
    <w:bookmarkEnd w:id="572"/>
    <w:bookmarkStart w:id="574"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573">
        <w:r>
          <w:rPr>
            <w:rStyle w:val="Hyperlink"/>
          </w:rPr>
          <w:t xml:space="preserve">https://doi.org/10.1038/nature11397</w:t>
        </w:r>
      </w:hyperlink>
      <w:r>
        <w:t xml:space="preserve">.</w:t>
      </w:r>
    </w:p>
    <w:bookmarkEnd w:id="574"/>
    <w:bookmarkStart w:id="576"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575">
        <w:r>
          <w:rPr>
            <w:rStyle w:val="Hyperlink"/>
          </w:rPr>
          <w:t xml:space="preserve">https://doi.org/10.1111/j.1523-1739.2007.00752.x</w:t>
        </w:r>
      </w:hyperlink>
      <w:r>
        <w:t xml:space="preserve">.</w:t>
      </w:r>
    </w:p>
    <w:bookmarkEnd w:id="576"/>
    <w:bookmarkStart w:id="578"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577">
        <w:r>
          <w:rPr>
            <w:rStyle w:val="Hyperlink"/>
          </w:rPr>
          <w:t xml:space="preserve">https://doi.org/10.1371/journal.pone.0146756</w:t>
        </w:r>
      </w:hyperlink>
      <w:r>
        <w:t xml:space="preserve">.</w:t>
      </w:r>
    </w:p>
    <w:bookmarkEnd w:id="578"/>
    <w:bookmarkStart w:id="579" w:name="ref-hodgewing2000"/>
    <w:p>
      <w:pPr>
        <w:pStyle w:val="Bibliography"/>
      </w:pPr>
      <w:r>
        <w:t xml:space="preserve">Hodge, R. P., and B. L. Wing. 2000.</w:t>
      </w:r>
      <w:r>
        <w:t xml:space="preserve"> </w:t>
      </w:r>
      <w:r>
        <w:t xml:space="preserve">“Occurrences of Marine Turtles in</w:t>
      </w:r>
      <w:r>
        <w:t xml:space="preserve"> </w:t>
      </w:r>
      <w:r>
        <w:t xml:space="preserve">Alaska</w:t>
      </w:r>
      <w:r>
        <w:t xml:space="preserve"> </w:t>
      </w:r>
      <w:r>
        <w:t xml:space="preserve">Waters: 1960–1998.”</w:t>
      </w:r>
      <w:r>
        <w:t xml:space="preserve"> </w:t>
      </w:r>
      <w:r>
        <w:rPr>
          <w:i/>
          <w:iCs/>
        </w:rPr>
        <w:t xml:space="preserve">Herpetological Review</w:t>
      </w:r>
      <w:r>
        <w:t xml:space="preserve"> </w:t>
      </w:r>
      <w:r>
        <w:t xml:space="preserve">31: 148–51.</w:t>
      </w:r>
    </w:p>
    <w:bookmarkEnd w:id="579"/>
    <w:bookmarkStart w:id="580"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580"/>
    <w:bookmarkStart w:id="581"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29">
        <w:r>
          <w:rPr>
            <w:rStyle w:val="Hyperlink"/>
          </w:rPr>
          <w:t xml:space="preserve">https://www.aquamaps.org</w:t>
        </w:r>
      </w:hyperlink>
      <w:r>
        <w:t xml:space="preserve">.</w:t>
      </w:r>
    </w:p>
    <w:bookmarkEnd w:id="581"/>
    <w:bookmarkStart w:id="583" w:name="ref-kaschner2011"/>
    <w:p>
      <w:pPr>
        <w:pStyle w:val="Bibliography"/>
      </w:pPr>
      <w:r>
        <w:t xml:space="preserve">Kaschner, Kristin, Derek P. Tittensor, Jonathan Ready, Tim Gerrodette, and Boris Worm. 2011.</w:t>
      </w:r>
      <w:r>
        <w:t xml:space="preserve"> </w:t>
      </w:r>
      <w:r>
        <w:t xml:space="preserve">“Current and Future Patterns of Global Marine Mammal Biodiversity.”</w:t>
      </w:r>
      <w:r>
        <w:t xml:space="preserve"> </w:t>
      </w:r>
      <w:r>
        <w:rPr>
          <w:i/>
          <w:iCs/>
        </w:rPr>
        <w:t xml:space="preserve">PLoS ONE</w:t>
      </w:r>
      <w:r>
        <w:t xml:space="preserve"> </w:t>
      </w:r>
      <w:r>
        <w:t xml:space="preserve">6 (5): e19653.</w:t>
      </w:r>
      <w:r>
        <w:t xml:space="preserve"> </w:t>
      </w:r>
      <w:hyperlink r:id="rId582">
        <w:r>
          <w:rPr>
            <w:rStyle w:val="Hyperlink"/>
          </w:rPr>
          <w:t xml:space="preserve">https://doi.org/10.1371/journal.pone.0019653</w:t>
        </w:r>
      </w:hyperlink>
      <w:r>
        <w:t xml:space="preserve">.</w:t>
      </w:r>
    </w:p>
    <w:bookmarkEnd w:id="583"/>
    <w:bookmarkStart w:id="585"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584">
        <w:r>
          <w:rPr>
            <w:rStyle w:val="Hyperlink"/>
          </w:rPr>
          <w:t xml:space="preserve">https://doi.org/10.1038/s41559-017-0160</w:t>
        </w:r>
      </w:hyperlink>
      <w:r>
        <w:t xml:space="preserve">.</w:t>
      </w:r>
    </w:p>
    <w:bookmarkEnd w:id="585"/>
    <w:bookmarkStart w:id="587"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586">
        <w:r>
          <w:rPr>
            <w:rStyle w:val="Hyperlink"/>
          </w:rPr>
          <w:t xml:space="preserve">https://doi.org/10.1038/s41559-021-01432-0</w:t>
        </w:r>
      </w:hyperlink>
      <w:r>
        <w:t xml:space="preserve">.</w:t>
      </w:r>
    </w:p>
    <w:bookmarkEnd w:id="587"/>
    <w:bookmarkStart w:id="589"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588">
        <w:r>
          <w:rPr>
            <w:rStyle w:val="Hyperlink"/>
          </w:rPr>
          <w:t xml:space="preserve">https://doi.org/10.1002/ece3.70030</w:t>
        </w:r>
      </w:hyperlink>
      <w:r>
        <w:t xml:space="preserve">.</w:t>
      </w:r>
    </w:p>
    <w:bookmarkEnd w:id="589"/>
    <w:bookmarkStart w:id="591"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590">
        <w:r>
          <w:rPr>
            <w:rStyle w:val="Hyperlink"/>
          </w:rPr>
          <w:t xml:space="preserve">https://doi.org/10.1371/journal.pone.0003700</w:t>
        </w:r>
      </w:hyperlink>
      <w:r>
        <w:t xml:space="preserve">.</w:t>
      </w:r>
    </w:p>
    <w:bookmarkEnd w:id="591"/>
    <w:bookmarkStart w:id="593"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592">
        <w:r>
          <w:rPr>
            <w:rStyle w:val="Hyperlink"/>
          </w:rPr>
          <w:t xml:space="preserve">https://www.boem.gov/sites/default/files/environmental-stewardship/Environmental-Studies/Pacific-Region/Studies/BOEM-2018-031-Vol1.pdf</w:t>
        </w:r>
      </w:hyperlink>
      <w:r>
        <w:t xml:space="preserve">.</w:t>
      </w:r>
    </w:p>
    <w:bookmarkEnd w:id="593"/>
    <w:bookmarkStart w:id="594"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594"/>
    <w:bookmarkStart w:id="596"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595">
        <w:r>
          <w:rPr>
            <w:rStyle w:val="Hyperlink"/>
          </w:rPr>
          <w:t xml:space="preserve">https://noaa.maps.arcgis.com/home/search.html?searchTerm=turtle+dps</w:t>
        </w:r>
      </w:hyperlink>
      <w:r>
        <w:t xml:space="preserve">.</w:t>
      </w:r>
    </w:p>
    <w:bookmarkEnd w:id="596"/>
    <w:bookmarkStart w:id="597"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597"/>
    <w:bookmarkStart w:id="599"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598">
        <w:r>
          <w:rPr>
            <w:rStyle w:val="Hyperlink"/>
          </w:rPr>
          <w:t xml:space="preserve">https://doi.org/10.3354/esr01243</w:t>
        </w:r>
      </w:hyperlink>
      <w:r>
        <w:t xml:space="preserve">.</w:t>
      </w:r>
    </w:p>
    <w:bookmarkEnd w:id="599"/>
    <w:bookmarkStart w:id="601"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00">
        <w:r>
          <w:rPr>
            <w:rStyle w:val="Hyperlink"/>
          </w:rPr>
          <w:t xml:space="preserve">https://doi.org/10.1038/sdata.2016.18</w:t>
        </w:r>
      </w:hyperlink>
      <w:r>
        <w:t xml:space="preserve">.</w:t>
      </w:r>
    </w:p>
    <w:bookmarkEnd w:id="601"/>
    <w:bookmarkEnd w:id="602"/>
    <w:bookmarkEnd w:id="603"/>
    <w:bookmarkStart w:id="605"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04">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05"/>
    <w:bookmarkStart w:id="606" w:name="X8b2cbe4f2e0e61e9bf1d99b5b0394609763a838"/>
    <w:p>
      <w:pPr>
        <w:pStyle w:val="Heading1"/>
      </w:pPr>
      <w:r>
        <w:t xml:space="preserve">Appendix A — Atlas (beta) — the static, in-browser scores, species and places app</w:t>
      </w:r>
    </w:p>
    <w:bookmarkEnd w:id="606"/>
    <w:bookmarkStart w:id="685" w:name="sec-app-atlas"/>
    <w:p>
      <w:pPr>
        <w:pStyle w:val="Heading1"/>
      </w:pPr>
      <w:r>
        <w:t xml:space="preserve">Appendix A — Atlas</w:t>
      </w:r>
    </w:p>
    <w:bookmarkStart w:id="621" w:name="overview-1"/>
    <w:p>
      <w:pPr>
        <w:pStyle w:val="Heading2"/>
      </w:pPr>
      <w:r>
        <w:t xml:space="preserve">A.1 Overview</w:t>
      </w:r>
    </w:p>
    <w:p>
      <w:pPr>
        <w:pStyle w:val="FirstParagraph"/>
      </w:pPr>
      <w:r>
        <w:t xml:space="preserve">The</w:t>
      </w:r>
      <w:r>
        <w:t xml:space="preserve"> </w:t>
      </w:r>
      <w:r>
        <w:rPr>
          <w:b/>
          <w:bCs/>
        </w:rPr>
        <w:t xml:space="preserve">Atlas</w:t>
      </w:r>
      <w:r>
        <w:t xml:space="preserve"> </w:t>
      </w:r>
      <w:r>
        <w:t xml:space="preserve">(</w:t>
      </w:r>
      <w:hyperlink r:id="rId463">
        <w:r>
          <w:rPr>
            <w:rStyle w:val="Hyperlink"/>
          </w:rPr>
          <w:t xml:space="preserve">https://preview.marinesensitivity.org/v7b/atlas/</w:t>
        </w:r>
      </w:hyperlink>
      <w:r>
        <w:t xml:space="preserve">) is a third, newer way to explore the MST,</w:t>
      </w:r>
      <w:r>
        <w:t xml:space="preserve"> </w:t>
      </w:r>
      <w:r>
        <w:t xml:space="preserve">currently labelled</w:t>
      </w:r>
      <w:r>
        <w:t xml:space="preserve"> </w:t>
      </w:r>
      <w:r>
        <w:rPr>
          <w:b/>
          <w:bCs/>
        </w:rPr>
        <w:t xml:space="preserve">beta</w:t>
      </w:r>
      <w:r>
        <w:t xml:space="preserve">:</w:t>
      </w:r>
      <w:r>
        <w:t xml:space="preserve"> </w:t>
      </w:r>
      <w:r>
        <w:rPr>
          <w:b/>
          <w:bCs/>
        </w:rPr>
        <w:t xml:space="preserve">one static web app</w:t>
      </w:r>
      <w:r>
        <w:t xml:space="preserve">, built with Svelte and MapLibre, that runs</w:t>
      </w:r>
      <w:r>
        <w:t xml:space="preserve"> </w:t>
      </w:r>
      <w:r>
        <w:t xml:space="preserve">entirely in the browser. Where the</w:t>
      </w:r>
      <w:r>
        <w:t xml:space="preserve"> </w:t>
      </w:r>
      <w:hyperlink r:id="rId607">
        <w:r>
          <w:rPr>
            <w:rStyle w:val="Hyperlink"/>
          </w:rPr>
          <w:t xml:space="preserve">Scores</w:t>
        </w:r>
      </w:hyperlink>
      <w:r>
        <w:t xml:space="preserve"> </w:t>
      </w:r>
      <w:r>
        <w:t xml:space="preserve">and</w:t>
      </w:r>
      <w:r>
        <w:t xml:space="preserve"> </w:t>
      </w:r>
      <w:hyperlink r:id="rId608">
        <w:r>
          <w:rPr>
            <w:rStyle w:val="Hyperlink"/>
          </w:rPr>
          <w:t xml:space="preserve">Species</w:t>
        </w:r>
      </w:hyperlink>
      <w:r>
        <w:t xml:space="preserve"> </w:t>
      </w:r>
      <w:r>
        <w:t xml:space="preserve">Shiny apps are</w:t>
      </w:r>
      <w:r>
        <w:t xml:space="preserve"> </w:t>
      </w:r>
      <w:r>
        <w:t xml:space="preserve">server-rendered R 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the same way the preview Scores and Species apps are,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hyperlink w:anchor="fig-atlas-map">
        <w:r>
          <w:rPr>
            <w:rStyle w:val="Hyperlink"/>
          </w:rPr>
          <w:t xml:space="preserve">Figure B.1</w:t>
        </w:r>
      </w:hyperlink>
      <w:r>
        <w:t xml:space="preserve"> </w:t>
      </w:r>
      <w:r>
        <w:t xml:space="preserve">shows the default Scores view: the 0.05° cell grid colored by a composite</w:t>
      </w:r>
      <w:r>
        <w:t xml:space="preserve"> </w:t>
      </w:r>
      <w:r>
        <w:t xml:space="preserve">sensitivity score across U.S. waters, dark theme (the app’s default), with the tool rail on the</w:t>
      </w:r>
      <w:r>
        <w:t xml:space="preserve"> </w:t>
      </w:r>
      <w:r>
        <w:t xml:space="preserve">left, the Layers panel open by default, and the basemap’s attribution in the lower-left corner.</w:t>
      </w:r>
    </w:p>
    <w:tbl>
      <w:tblPr>
        <w:tblStyle w:val="Table"/>
        <w:tblW w:type="pct" w:w="5000"/>
        <w:tblLayout w:type="fixed"/>
        <w:tblLook w:firstRow="0" w:lastRow="0" w:firstColumn="0" w:lastColumn="0" w:noHBand="0" w:noVBand="0" w:val="0000"/>
      </w:tblPr>
      <w:tblGrid>
        <w:gridCol w:w="7920"/>
      </w:tblGrid>
      <w:tr>
        <w:tc>
          <w:tcPr/>
          <w:bookmarkStart w:id="612" w:name="fig-atlas-map"/>
          <w:p>
            <w:pPr>
              <w:pStyle w:val="Compact"/>
              <w:jc w:val="center"/>
            </w:pPr>
            <w:r>
              <w:drawing>
                <wp:inline>
                  <wp:extent cx="5334000" cy="3333750"/>
                  <wp:effectExtent b="0" l="0" r="0" t="0"/>
                  <wp:docPr descr="" title="" id="610" name="Picture"/>
                  <a:graphic>
                    <a:graphicData uri="http://schemas.openxmlformats.org/drawingml/2006/picture">
                      <pic:pic>
                        <pic:nvPicPr>
                          <pic:cNvPr descr="images/atlas/desktop-map.png" id="611" name="Picture"/>
                          <pic:cNvPicPr>
                            <a:picLocks noChangeArrowheads="1" noChangeAspect="1"/>
                          </pic:cNvPicPr>
                        </pic:nvPicPr>
                        <pic:blipFill>
                          <a:blip r:embed="rId60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Atlas, Scores lens, default view (desktop, dark theme).</w:t>
            </w:r>
          </w:p>
          <w:bookmarkEnd w:id="612"/>
        </w:tc>
      </w:tr>
    </w:tbl>
    <w:p>
      <w:pPr>
        <w:pStyle w:val="BodyText"/>
      </w:pPr>
      <w:r>
        <w:rPr>
          <w:b/>
          <w:bCs/>
        </w:rPr>
        <w:t xml:space="preserve">Desktop vs. phone layout.</w:t>
      </w:r>
      <w:r>
        <w:t xml:space="preserve"> </w:t>
      </w:r>
      <w:r>
        <w:t xml:space="preserve">On a wide viewport the five rail tools open a single</w:t>
      </w:r>
      <w:r>
        <w:t xml:space="preserve"> </w:t>
      </w:r>
      <w:r>
        <w:rPr>
          <w:b/>
          <w:bCs/>
        </w:rPr>
        <w:t xml:space="preserve">dockable</w:t>
      </w:r>
      <w:r>
        <w:rPr>
          <w:b/>
          <w:bCs/>
        </w:rPr>
        <w:t xml:space="preserve"> </w:t>
      </w:r>
      <w:r>
        <w:rPr>
          <w:b/>
          <w:bCs/>
        </w:rPr>
        <w:t xml:space="preserve">panel</w:t>
      </w:r>
      <w:r>
        <w:t xml:space="preserve"> </w:t>
      </w:r>
      <w:r>
        <w:t xml:space="preserve">that floats over the map; on a phone the identical five tools sit in a labelled</w:t>
      </w:r>
      <w:r>
        <w:t xml:space="preserve"> </w:t>
      </w:r>
      <w:r>
        <w:rPr>
          <w:b/>
          <w:bCs/>
        </w:rPr>
        <w:t xml:space="preserve">bottom</w:t>
      </w:r>
      <w:r>
        <w:rPr>
          <w:b/>
          <w:bCs/>
        </w:rPr>
        <w:t xml:space="preserve"> </w:t>
      </w:r>
      <w:r>
        <w:rPr>
          <w:b/>
          <w:bCs/>
        </w:rPr>
        <w:t xml:space="preserve">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B.2</w:t>
        </w:r>
      </w:hyperlink>
      <w:r>
        <w:t xml:space="preserve"> </w:t>
      </w:r>
      <w:r>
        <w:t xml:space="preserve">shows the phone layout, and</w:t>
      </w:r>
      <w:r>
        <w:t xml:space="preserve"> </w:t>
      </w:r>
      <w:hyperlink w:anchor="fig-atlas-phone-more">
        <w:r>
          <w:rPr>
            <w:rStyle w:val="Hyperlink"/>
          </w:rPr>
          <w:t xml:space="preserve">Figure B.3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616" w:name="fig-atlas-phone-map"/>
                <w:p>
                  <w:pPr>
                    <w:pStyle w:val="Compact"/>
                    <w:jc w:val="center"/>
                    <w:jc w:val="left"/>
                  </w:pPr>
                  <w:r>
                    <w:drawing>
                      <wp:inline>
                        <wp:extent cx="5334000" cy="11543323"/>
                        <wp:effectExtent b="0" l="0" r="0" t="0"/>
                        <wp:docPr descr="" title="" id="614" name="Picture"/>
                        <a:graphic>
                          <a:graphicData uri="http://schemas.openxmlformats.org/drawingml/2006/picture">
                            <pic:pic>
                              <pic:nvPicPr>
                                <pic:cNvPr descr="images/atlas/phone-map.png" id="615" name="Picture"/>
                                <pic:cNvPicPr>
                                  <a:picLocks noChangeArrowheads="1" noChangeAspect="1"/>
                                </pic:cNvPicPr>
                              </pic:nvPicPr>
                              <pic:blipFill>
                                <a:blip r:embed="rId613"/>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B.2: Phone: default view.</w:t>
                  </w:r>
                </w:p>
                <w:bookmarkEnd w:id="616"/>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620" w:name="fig-atlas-phone-more"/>
                <w:p>
                  <w:pPr>
                    <w:pStyle w:val="Compact"/>
                    <w:jc w:val="center"/>
                    <w:jc w:val="left"/>
                  </w:pPr>
                  <w:r>
                    <w:drawing>
                      <wp:inline>
                        <wp:extent cx="5334000" cy="11543323"/>
                        <wp:effectExtent b="0" l="0" r="0" t="0"/>
                        <wp:docPr descr="" title="" id="618" name="Picture"/>
                        <a:graphic>
                          <a:graphicData uri="http://schemas.openxmlformats.org/drawingml/2006/picture">
                            <pic:pic>
                              <pic:nvPicPr>
                                <pic:cNvPr descr="images/atlas/phone-more-menu.png" id="619" name="Picture"/>
                                <pic:cNvPicPr>
                                  <a:picLocks noChangeArrowheads="1" noChangeAspect="1"/>
                                </pic:cNvPicPr>
                              </pic:nvPicPr>
                              <pic:blipFill>
                                <a:blip r:embed="rId617"/>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B.3: Phone: the top bar’s More (⋯) menu.</w:t>
                  </w:r>
                </w:p>
                <w:bookmarkEnd w:id="620"/>
              </w:tc>
            </w:tr>
          </w:tbl>
          <w:p/>
        </w:tc>
      </w:tr>
    </w:tbl>
    <w:bookmarkEnd w:id="621"/>
    <w:bookmarkStart w:id="622" w:name="quick-start"/>
    <w:p>
      <w:pPr>
        <w:pStyle w:val="Heading2"/>
      </w:pPr>
      <w:r>
        <w:t xml:space="preserve">A.2 Quick start</w:t>
      </w:r>
    </w:p>
    <w:p>
      <w:pPr>
        <w:pStyle w:val="FirstParagraph"/>
      </w:pPr>
      <w:r>
        <w:rPr>
          <w:b/>
          <w:bCs/>
        </w:rPr>
        <w:t xml:space="preserve">Desktop:</w:t>
      </w:r>
    </w:p>
    <w:p>
      <w:pPr>
        <w:pStyle w:val="Compact"/>
        <w:numPr>
          <w:ilvl w:val="0"/>
          <w:numId w:val="1059"/>
        </w:numPr>
      </w:pPr>
      <w:r>
        <w:t xml:space="preserve">Open</w:t>
      </w:r>
      <w:r>
        <w:t xml:space="preserve"> </w:t>
      </w:r>
      <w:r>
        <w:rPr>
          <w:b/>
          <w:bCs/>
        </w:rPr>
        <w:t xml:space="preserve">Places</w:t>
      </w:r>
      <w:r>
        <w:t xml:space="preserve">, and either choose a Program Area from its list or draw a</w:t>
      </w:r>
      <w:r>
        <w:t xml:space="preserve"> </w:t>
      </w:r>
      <w:r>
        <w:rPr>
          <w:b/>
          <w:bCs/>
        </w:rPr>
        <w:t xml:space="preserve">Rectangle</w:t>
      </w:r>
      <w:r>
        <w:t xml:space="preserve"> </w:t>
      </w:r>
      <w:r>
        <w:t xml:space="preserve">(click, move, click, then</w:t>
      </w:r>
      <w:r>
        <w:t xml:space="preserve"> </w:t>
      </w:r>
      <w:r>
        <w:rPr>
          <w:b/>
          <w:bCs/>
        </w:rPr>
        <w:t xml:space="preserve">Done</w:t>
      </w:r>
      <w:r>
        <w:t xml:space="preserve">).</w:t>
      </w:r>
    </w:p>
    <w:p>
      <w:pPr>
        <w:pStyle w:val="Compact"/>
        <w:numPr>
          <w:ilvl w:val="0"/>
          <w:numId w:val="1059"/>
        </w:numPr>
      </w:pPr>
      <w:r>
        <w:t xml:space="preserve">Select the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w:t>
      </w:r>
    </w:p>
    <w:p>
      <w:pPr>
        <w:pStyle w:val="Compact"/>
        <w:numPr>
          <w:ilvl w:val="0"/>
          <w:numId w:val="1059"/>
        </w:numPr>
      </w:pPr>
      <w:r>
        <w:t xml:space="preserve">Rename it inline if you like.</w:t>
      </w:r>
    </w:p>
    <w:p>
      <w:pPr>
        <w:pStyle w:val="Compact"/>
        <w:numPr>
          <w:ilvl w:val="0"/>
          <w:numId w:val="1059"/>
        </w:numPr>
      </w:pPr>
      <w:r>
        <w:rPr>
          <w:b/>
          <w:bCs/>
        </w:rPr>
        <w:t xml:space="preserve">Places › Share › Copy link</w:t>
      </w:r>
      <w:r>
        <w:t xml:space="preserve"> </w:t>
      </w:r>
      <w:r>
        <w:t xml:space="preserve">— the fastest way to hand someone the same place.</w:t>
      </w:r>
    </w:p>
    <w:p>
      <w:pPr>
        <w:pStyle w:val="Compact"/>
        <w:numPr>
          <w:ilvl w:val="0"/>
          <w:numId w:val="1059"/>
        </w:numPr>
      </w:pPr>
      <w:r>
        <w:rPr>
          <w:b/>
          <w:bCs/>
        </w:rPr>
        <w:t xml:space="preserve">Places › Report</w:t>
      </w:r>
      <w:r>
        <w:t xml:space="preserve"> </w:t>
      </w:r>
      <w:r>
        <w:t xml:space="preserve">for a printable, downloadable document (Print, HTML, ZIP or Word).</w:t>
      </w:r>
    </w:p>
    <w:p>
      <w:pPr>
        <w:pStyle w:val="FirstParagraph"/>
      </w:pPr>
      <w:r>
        <w:rPr>
          <w:b/>
          <w:bCs/>
        </w:rPr>
        <w:t xml:space="preserve">Phone:</w:t>
      </w:r>
      <w:r>
        <w:t xml:space="preserve"> </w:t>
      </w:r>
      <w:r>
        <w:t xml:space="preserve">the tool rail is the bottom tab bar; use the Program Area chooser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622"/>
    <w:bookmarkStart w:id="623" w:name="getting-around"/>
    <w:p>
      <w:pPr>
        <w:pStyle w:val="Heading2"/>
      </w:pPr>
      <w:r>
        <w:t xml:space="preserve">A.3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and</w:t>
      </w:r>
      <w:r>
        <w:t xml:space="preserve"> </w:t>
      </w:r>
      <w:r>
        <w:t xml:space="preserve">coordinates in the Scores lens,</w:t>
      </w:r>
      <w:r>
        <w:t xml:space="preserve"> </w:t>
      </w:r>
      <w:hyperlink w:anchor="sec-atlas-scores">
        <w:r>
          <w:rPr>
            <w:rStyle w:val="Hyperlink"/>
          </w:rPr>
          <w:t xml:space="preserve">Section B.4</w:t>
        </w:r>
      </w:hyperlink>
      <w:r>
        <w:t xml:space="preserve">; species in the Species lens); then, right-aligned,</w:t>
      </w:r>
      <w:r>
        <w:t xml:space="preserve"> </w:t>
      </w:r>
      <w:r>
        <w:rPr>
          <w:b/>
          <w:bCs/>
        </w:rPr>
        <w:t xml:space="preserve">Share</w:t>
      </w:r>
      <w:r>
        <w:t xml:space="preserve">,</w:t>
      </w:r>
      <w:r>
        <w:t xml:space="preserve"> </w:t>
      </w:r>
      <w:r>
        <w:rPr>
          <w:b/>
          <w:bCs/>
        </w:rPr>
        <w:t xml:space="preserve">Report</w:t>
      </w:r>
      <w:r>
        <w:t xml:space="preserve">, a</w:t>
      </w:r>
      <w:r>
        <w:t xml:space="preserve"> </w:t>
      </w:r>
      <w:r>
        <w:rPr>
          <w:b/>
          <w:bCs/>
        </w:rPr>
        <w:t xml:space="preserve">(?) Help</w:t>
      </w:r>
      <w:r>
        <w:t xml:space="preserve"> </w:t>
      </w:r>
      <w:r>
        <w:t xml:space="preserve">menu (Take a tour, keyboard shortcuts, a Docs link), a</w:t>
      </w:r>
      <w:r>
        <w:t xml:space="preserve"> </w:t>
      </w:r>
      <w:r>
        <w:rPr>
          <w:b/>
          <w:bCs/>
        </w:rPr>
        <w:t xml:space="preserve">Feedback</w:t>
      </w:r>
      <w:r>
        <w:t xml:space="preserve"> </w:t>
      </w:r>
      <w:r>
        <w:t xml:space="preserve">button, an</w:t>
      </w:r>
      <w:r>
        <w:t xml:space="preserve"> </w:t>
      </w:r>
      <w:r>
        <w:rPr>
          <w:b/>
          <w:bCs/>
        </w:rPr>
        <w:t xml:space="preserve">(i) About</w:t>
      </w:r>
      <w:r>
        <w:t xml:space="preserve"> </w:t>
      </w:r>
      <w:r>
        <w:t xml:space="preserve">button, and a sun/moon</w:t>
      </w:r>
      <w:r>
        <w:t xml:space="preserve"> </w:t>
      </w:r>
      <w:r>
        <w:rPr>
          <w:b/>
          <w:bCs/>
        </w:rPr>
        <w:t xml:space="preserve">theme toggle</w:t>
      </w:r>
      <w:r>
        <w:t xml:space="preserve">. On a phone (below</w:t>
      </w:r>
      <w:r>
        <w:t xml:space="preserve"> </w:t>
      </w:r>
      <w:r>
        <w:t xml:space="preserve">900 px) the title collapses to the mark, and Share, Report, Help, Feedback, About and the theme</w:t>
      </w:r>
      <w:r>
        <w:t xml:space="preserve"> </w:t>
      </w:r>
      <w:r>
        <w:t xml:space="preserve">toggle fold into one</w:t>
      </w:r>
      <w:r>
        <w:t xml:space="preserve"> </w:t>
      </w:r>
      <w:r>
        <w:rPr>
          <w:b/>
          <w:bCs/>
        </w:rPr>
        <w:t xml:space="preserve">More (⋯)</w:t>
      </w:r>
      <w:r>
        <w:t xml:space="preserve"> </w:t>
      </w:r>
      <w:r>
        <w:t xml:space="preserve">button beside a</w:t>
      </w:r>
      <w:r>
        <w:t xml:space="preserve"> </w:t>
      </w:r>
      <w:r>
        <w:rPr>
          <w:b/>
          <w:bCs/>
        </w:rPr>
        <w:t xml:space="preserve">search</w:t>
      </w:r>
      <w:r>
        <w:t xml:space="preserve"> </w:t>
      </w:r>
      <w:r>
        <w:t xml:space="preserve">button; below 381 px the mark hides</w:t>
      </w:r>
      <w:r>
        <w:t xml:space="preserve"> </w:t>
      </w:r>
      <w:r>
        <w:t xml:space="preserve">too. The keyboard-shortcut list is desktop-only.</w:t>
      </w:r>
    </w:p>
    <w:p>
      <w:pPr>
        <w:pStyle w:val="BodyText"/>
      </w:pPr>
      <w:r>
        <w:rPr>
          <w:b/>
          <w:bCs/>
        </w:rPr>
        <w:t xml:space="preserve">The tool rail</w:t>
      </w:r>
      <w:r>
        <w:t xml:space="preserve"> </w:t>
      </w:r>
      <w:r>
        <w:t xml:space="preserve">is five controls, always in the same order, on every viewport:</w:t>
      </w:r>
      <w:r>
        <w:t xml:space="preserve"> </w:t>
      </w:r>
      <w:r>
        <w:rPr>
          <w:b/>
          <w:bCs/>
        </w:rPr>
        <w:t xml:space="preserve">Layers · Places · Flower plot · Table · Report</w:t>
      </w:r>
      <w:r>
        <w:t xml:space="preserve">. In the Species lens the Flower control fades in</w:t>
      </w:r>
      <w:r>
        <w:t xml:space="preserve"> </w:t>
      </w:r>
      <w:r>
        <w:t xml:space="preserve">place — it has no meaning for a single species — but stays visible with a tooltip explaining why.</w:t>
      </w:r>
    </w:p>
    <w:p>
      <w:pPr>
        <w:pStyle w:val="BodyText"/>
      </w:pPr>
      <w:r>
        <w:rPr>
          <w:b/>
          <w:bCs/>
        </w:rPr>
        <w:t xml:space="preserve">The panel</w:t>
      </w:r>
      <w:r>
        <w:t xml:space="preserve"> </w:t>
      </w:r>
      <w:r>
        <w:t xml:space="preserve">that a rail tool opens is one dockable surface: dock left, right or bottom; resize</w:t>
      </w:r>
      <w:r>
        <w:t xml:space="preserve"> </w:t>
      </w:r>
      <w:r>
        <w:t xml:space="preserve">by dragging its map-facing edge or with arrow keys; maximize to the whole stage; or collapse to a</w:t>
      </w:r>
      <w:r>
        <w:t xml:space="preserve"> </w:t>
      </w:r>
      <w:r>
        <w:t xml:space="preserve">small labelled pill (clicking any rail tool re-opens it). Its dock/size/collapsed state is chrome,</w:t>
      </w:r>
      <w:r>
        <w:t xml:space="preserve"> </w:t>
      </w:r>
      <w:r>
        <w:t xml:space="preserve">remembered per viewport, never written into the shareable URL.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in a corner</w:t>
      </w:r>
      <w:r>
        <w:t xml:space="preserve"> </w:t>
      </w:r>
      <w:r>
        <w:t xml:space="preserve">clear of the panel, on whichever side it is docked, and hides while the panel is maximized; on a</w:t>
      </w:r>
      <w:r>
        <w:t xml:space="preserve"> </w:t>
      </w:r>
      <w:r>
        <w:t xml:space="preserve">phone it is a compact</w:t>
      </w:r>
      <w:r>
        <w:t xml:space="preserve"> </w:t>
      </w:r>
      <w:r>
        <w:rPr>
          <w:b/>
          <w:bCs/>
        </w:rPr>
        <w:t xml:space="preserve">Legend</w:t>
      </w:r>
      <w:r>
        <w:t xml:space="preserve"> </w:t>
      </w:r>
      <w:r>
        <w:t xml:space="preserve">chip above the sheet that opens the full legend, moving into the</w:t>
      </w:r>
      <w:r>
        <w:t xml:space="preserve"> </w:t>
      </w:r>
      <w:r>
        <w:t xml:space="preserve">sheet’s own header at full height.</w:t>
      </w:r>
    </w:p>
    <w:bookmarkEnd w:id="623"/>
    <w:bookmarkStart w:id="628" w:name="sec-atlas-scores"/>
    <w:p>
      <w:pPr>
        <w:pStyle w:val="Heading2"/>
      </w:pPr>
      <w:r>
        <w:t xml:space="preserve">A.4 Scores lens</w:t>
      </w:r>
    </w:p>
    <w:p>
      <w:pPr>
        <w:pStyle w:val="FirstParagraph"/>
      </w:pPr>
      <w:r>
        <w:t xml:space="preserve">The Scores lens shows the composite, extinction-risk-weighted score for every 0.05° cell (or,</w:t>
      </w:r>
      <w:r>
        <w:t xml:space="preserve"> </w:t>
      </w:r>
      <w:r>
        <w:t xml:space="preserve">aggregated, every Program Area) of U.S. waters. Opening</w:t>
      </w:r>
      <w:r>
        <w:t xml:space="preserve"> </w:t>
      </w:r>
      <w:r>
        <w:rPr>
          <w:b/>
          <w:bCs/>
        </w:rPr>
        <w:t xml:space="preserve">Layers</w:t>
      </w:r>
      <w:r>
        <w:t xml:space="preserve"> </w:t>
      </w:r>
      <w:r>
        <w:t xml:space="preserve">(</w:t>
      </w:r>
      <w:hyperlink w:anchor="fig-atlas-layers">
        <w:r>
          <w:rPr>
            <w:rStyle w:val="Hyperlink"/>
          </w:rPr>
          <w:t xml:space="preserve">Figure B.4</w:t>
        </w:r>
      </w:hyperlink>
      <w:r>
        <w:t xml:space="preserve">) expands the</w:t>
      </w:r>
      <w:r>
        <w:t xml:space="preserve"> </w:t>
      </w:r>
      <w:r>
        <w:rPr>
          <w:b/>
          <w:bCs/>
        </w:rPr>
        <w:t xml:space="preserve">Data</w:t>
      </w:r>
      <w:r>
        <w:t xml:space="preserve"> </w:t>
      </w:r>
      <w:r>
        <w:t xml:space="preserve">row into this lens’s own controls — study area, spatial unit, the score layer, color</w:t>
      </w:r>
      <w:r>
        <w:t xml:space="preserve"> </w:t>
      </w:r>
      <w:r>
        <w:t xml:space="preserve">palette, a</w:t>
      </w:r>
      <w:r>
        <w:t xml:space="preserve"> </w:t>
      </w:r>
      <w:r>
        <w:rPr>
          <w:b/>
          <w:bCs/>
        </w:rPr>
        <w:t xml:space="preserve">Sphere</w:t>
      </w:r>
      <w:r>
        <w:t xml:space="preserve"> </w:t>
      </w:r>
      <w:r>
        <w:t xml:space="preserve">switch (globe vs. flat projection), and a</w:t>
      </w:r>
      <w:r>
        <w:t xml:space="preserve"> </w:t>
      </w:r>
      <w:r>
        <w:rPr>
          <w:b/>
          <w:bCs/>
        </w:rPr>
        <w:t xml:space="preserve">Cells outside Program Areas</w:t>
      </w:r>
      <w:r>
        <w:t xml:space="preserve"> </w:t>
      </w:r>
      <w:r>
        <w:t xml:space="preserve">switch where the release publishes that overlay — above the rest of the</w:t>
      </w:r>
      <w:r>
        <w:t xml:space="preserve"> </w:t>
      </w:r>
      <w:r>
        <w:rPr>
          <w:b/>
          <w:bCs/>
        </w:rPr>
        <w:t xml:space="preserve">layer stack</w:t>
      </w:r>
      <w:r>
        <w:t xml:space="preserve">, listed</w:t>
      </w:r>
      <w:r>
        <w:t xml:space="preserve"> </w:t>
      </w:r>
      <w:r>
        <w:t xml:space="preserve">top to bottom:</w:t>
      </w:r>
      <w:r>
        <w:t xml:space="preserve"> </w:t>
      </w:r>
      <w:r>
        <w:rPr>
          <w:b/>
          <w:bCs/>
        </w:rPr>
        <w:t xml:space="preserve">Selection</w:t>
      </w:r>
      <w:r>
        <w:t xml:space="preserve"> </w:t>
      </w:r>
      <w:r>
        <w:t xml:space="preserve">(pinned at the top),</w:t>
      </w:r>
      <w:r>
        <w:t xml:space="preserve"> </w:t>
      </w:r>
      <w:r>
        <w:rPr>
          <w:b/>
          <w:bCs/>
        </w:rPr>
        <w:t xml:space="preserve">Zone outlines</w:t>
      </w:r>
      <w:r>
        <w:t xml:space="preserve">,</w:t>
      </w:r>
      <w:r>
        <w:t xml:space="preserve"> </w:t>
      </w:r>
      <w:r>
        <w:rPr>
          <w:b/>
          <w:bCs/>
        </w:rPr>
        <w:t xml:space="preserve">Data</w:t>
      </w:r>
      <w:r>
        <w:t xml:space="preserve">,</w:t>
      </w:r>
      <w:r>
        <w:t xml:space="preserve"> </w:t>
      </w:r>
      <w:r>
        <w:rPr>
          <w:b/>
          <w:bCs/>
        </w:rPr>
        <w:t xml:space="preserve">Place labels</w:t>
      </w:r>
      <w:r>
        <w:t xml:space="preserve">,</w:t>
      </w:r>
      <w:r>
        <w:t xml:space="preserve"> </w:t>
      </w:r>
      <w:r>
        <w:rPr>
          <w:b/>
          <w:bCs/>
        </w:rPr>
        <w:t xml:space="preserve">Roads &amp; buildings</w:t>
      </w:r>
      <w:r>
        <w:t xml:space="preserve">,</w:t>
      </w:r>
      <w:r>
        <w:t xml:space="preserve"> </w:t>
      </w:r>
      <w:r>
        <w:rPr>
          <w:b/>
          <w:bCs/>
        </w:rPr>
        <w:t xml:space="preserve">Boundaries</w:t>
      </w:r>
      <w:r>
        <w:t xml:space="preserve">,</w:t>
      </w:r>
      <w:r>
        <w:t xml:space="preserve"> </w:t>
      </w:r>
      <w:r>
        <w:rPr>
          <w:b/>
          <w:bCs/>
        </w:rPr>
        <w:t xml:space="preserve">Bathymetry</w:t>
      </w:r>
      <w:r>
        <w:t xml:space="preserve"> </w:t>
      </w:r>
      <w:r>
        <w:t xml:space="preserve">(present but disabled until a relief layer is</w:t>
      </w:r>
      <w:r>
        <w:t xml:space="preserve"> </w:t>
      </w:r>
      <w:r>
        <w:t xml:space="preserve">published) and</w:t>
      </w:r>
      <w:r>
        <w:t xml:space="preserve"> </w:t>
      </w:r>
      <w:r>
        <w:rPr>
          <w:b/>
          <w:bCs/>
        </w:rPr>
        <w:t xml:space="preserve">Land &amp; water</w:t>
      </w:r>
      <w:r>
        <w:t xml:space="preserve"> </w:t>
      </w:r>
      <w:r>
        <w:t xml:space="preserve">at the bottom. Every row’s visibility and opacity can be changed,</w:t>
      </w:r>
      <w:r>
        <w:t xml:space="preserve"> </w:t>
      </w:r>
      <w:r>
        <w:t xml:space="preserve">and most can be reordered —</w:t>
      </w:r>
      <w:r>
        <w:t xml:space="preserve"> </w:t>
      </w:r>
      <w:r>
        <w:rPr>
          <w:b/>
          <w:bCs/>
        </w:rPr>
        <w:t xml:space="preserve">Data</w:t>
      </w:r>
      <w:r>
        <w:t xml:space="preserve"> </w:t>
      </w:r>
      <w:r>
        <w:t xml:space="preserve">can never move above</w:t>
      </w:r>
      <w:r>
        <w:t xml:space="preserve"> </w:t>
      </w:r>
      <w:r>
        <w:rPr>
          <w:b/>
          <w:bCs/>
        </w:rPr>
        <w:t xml:space="preserve">Zone outlines</w:t>
      </w:r>
      <w:r>
        <w:t xml:space="preserve">, so an opaque score</w:t>
      </w:r>
      <w:r>
        <w:t xml:space="preserve"> </w:t>
      </w:r>
      <w:r>
        <w:t xml:space="preserve">raster can never hide the boundaries it is measured against — and</w:t>
      </w:r>
      <w:r>
        <w:t xml:space="preserve"> </w:t>
      </w:r>
      <w:r>
        <w:rPr>
          <w:b/>
          <w:bCs/>
        </w:rPr>
        <w:t xml:space="preserve">Reset layers</w:t>
      </w:r>
      <w:r>
        <w:t xml:space="preserve"> </w:t>
      </w:r>
      <w:r>
        <w:t xml:space="preserve">restores the</w:t>
      </w:r>
      <w:r>
        <w:t xml:space="preserve"> </w:t>
      </w:r>
      <w:r>
        <w:t xml:space="preserve">default stack.</w:t>
      </w:r>
    </w:p>
    <w:tbl>
      <w:tblPr>
        <w:tblStyle w:val="Table"/>
        <w:tblW w:type="pct" w:w="5000"/>
        <w:tblLayout w:type="fixed"/>
        <w:tblLook w:firstRow="0" w:lastRow="0" w:firstColumn="0" w:lastColumn="0" w:noHBand="0" w:noVBand="0" w:val="0000"/>
      </w:tblPr>
      <w:tblGrid>
        <w:gridCol w:w="7920"/>
      </w:tblGrid>
      <w:tr>
        <w:tc>
          <w:tcPr/>
          <w:bookmarkStart w:id="627" w:name="fig-atlas-layers"/>
          <w:p>
            <w:pPr>
              <w:pStyle w:val="Compact"/>
              <w:jc w:val="center"/>
            </w:pPr>
            <w:r>
              <w:drawing>
                <wp:inline>
                  <wp:extent cx="4826000" cy="9245600"/>
                  <wp:effectExtent b="0" l="0" r="0" t="0"/>
                  <wp:docPr descr="" title="" id="625" name="Picture"/>
                  <a:graphic>
                    <a:graphicData uri="http://schemas.openxmlformats.org/drawingml/2006/picture">
                      <pic:pic>
                        <pic:nvPicPr>
                          <pic:cNvPr descr="images/atlas/desktop-layers.png" id="626" name="Picture"/>
                          <pic:cNvPicPr>
                            <a:picLocks noChangeArrowheads="1" noChangeAspect="1"/>
                          </pic:cNvPicPr>
                        </pic:nvPicPr>
                        <pic:blipFill>
                          <a:blip r:embed="rId624"/>
                          <a:stretch>
                            <a:fillRect/>
                          </a:stretch>
                        </pic:blipFill>
                        <pic:spPr bwMode="auto">
                          <a:xfrm>
                            <a:off x="0" y="0"/>
                            <a:ext cx="4826000" cy="924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B.4: The Layers panel docked, with Place labels moved above Data (one</w:t>
            </w:r>
            <w:r>
              <w:t xml:space="preserve"> </w:t>
            </w:r>
            <w:r>
              <w:t xml:space="preserve">“move up”</w:t>
            </w:r>
            <w:r>
              <w:t xml:space="preserve"> </w:t>
            </w:r>
            <w:r>
              <w:t xml:space="preserve">click) to show the reorder feature, and Data expanded to its study area, spatial units, layer and palette controls.</w:t>
            </w:r>
          </w:p>
          <w:bookmarkEnd w:id="627"/>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Flower plot</w:t>
      </w:r>
      <w:r>
        <w:t xml:space="preserve"> </w:t>
      </w:r>
      <w:r>
        <w:t xml:space="preserve">and</w:t>
      </w:r>
      <w:r>
        <w:t xml:space="preserve"> </w:t>
      </w:r>
      <w:r>
        <w:rPr>
          <w:b/>
          <w:bCs/>
        </w:rPr>
        <w:t xml:space="preserve">Table</w:t>
      </w:r>
      <w:r>
        <w:t xml:space="preserve"> </w:t>
      </w:r>
      <w:r>
        <w:t xml:space="preserve">tools then describe</w:t>
      </w:r>
      <w:r>
        <w:t xml:space="preserve"> </w:t>
      </w:r>
      <w:r>
        <w:t xml:space="preserve">(</w:t>
      </w:r>
      <w:hyperlink w:anchor="sec-atlas-flower-table">
        <w:r>
          <w:rPr>
            <w:rStyle w:val="Hyperlink"/>
          </w:rPr>
          <w:t xml:space="preserve">Section B.8</w:t>
        </w:r>
      </w:hyperlink>
      <w:r>
        <w:t xml:space="preserve">).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628"/>
    <w:bookmarkStart w:id="633" w:name="species-lens"/>
    <w:p>
      <w:pPr>
        <w:pStyle w:val="Heading2"/>
      </w:pPr>
      <w:r>
        <w:t xml:space="preserve">A.5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 and replaces the</w:t>
      </w:r>
      <w:r>
        <w:t xml:space="preserve"> </w:t>
      </w:r>
      <w:r>
        <w:rPr>
          <w:b/>
          <w:bCs/>
        </w:rPr>
        <w:t xml:space="preserve">Data</w:t>
      </w:r>
      <w:r>
        <w:t xml:space="preserve"> </w:t>
      </w:r>
      <w:r>
        <w:t xml:space="preserve">row’s contents</w:t>
      </w:r>
      <w:r>
        <w:t xml:space="preserve"> </w:t>
      </w:r>
      <w:r>
        <w:t xml:space="preserve">inside</w:t>
      </w:r>
      <w:r>
        <w:t xml:space="preserve"> </w:t>
      </w:r>
      <w:r>
        <w:rPr>
          <w:b/>
          <w:bCs/>
        </w:rPr>
        <w:t xml:space="preserve">Layers</w:t>
      </w:r>
      <w:r>
        <w:t xml:space="preserve"> </w:t>
      </w:r>
      <w:r>
        <w:t xml:space="preserve">with the species</w:t>
      </w:r>
      <w:r>
        <w:t xml:space="preserve"> </w:t>
      </w:r>
      <w:r>
        <w:rPr>
          <w:b/>
          <w:bCs/>
        </w:rPr>
        <w:t xml:space="preserve">card</w:t>
      </w:r>
      <w:r>
        <w:t xml:space="preserve">: the merged model as a filled pill marked</w:t>
      </w:r>
      <w:r>
        <w:t xml:space="preserve"> </w:t>
      </w:r>
      <w:r>
        <w:rPr>
          <w:b/>
          <w:bCs/>
        </w:rPr>
        <w:t xml:space="preserve">✓</w:t>
      </w:r>
      <w:r>
        <w:t xml:space="preserve"> </w:t>
      </w:r>
      <w:r>
        <w:t xml:space="preserve">with a</w:t>
      </w:r>
      <w:r>
        <w:t xml:space="preserve"> </w:t>
      </w:r>
      <w:r>
        <w:t xml:space="preserve">gold edge, plus one pill per contributing input dataset marked</w:t>
      </w:r>
      <w:r>
        <w:t xml:space="preserve"> </w:t>
      </w:r>
      <w:r>
        <w:rPr>
          <w:b/>
          <w:bCs/>
        </w:rPr>
        <w:t xml:space="preserve">▶</w:t>
      </w:r>
      <w:r>
        <w:t xml:space="preserve"> </w:t>
      </w:r>
      <w:r>
        <w:t xml:space="preserve">with a grey edge. An input’s</w:t>
      </w:r>
      <w:r>
        <w:t xml:space="preserve"> </w:t>
      </w:r>
      <w:r>
        <w:t xml:space="preserve">raster is found the same way the Species Shiny app finds it — through the release’s</w:t>
      </w:r>
      <w:r>
        <w:t xml:space="preserve"> </w:t>
      </w:r>
      <w:r>
        <w:rPr>
          <w:b/>
          <w:bCs/>
        </w:rPr>
        <w:t xml:space="preserve">model-asset</w:t>
      </w:r>
      <w:r>
        <w:rPr>
          <w:b/>
          <w:bCs/>
        </w:rPr>
        <w:t xml:space="preserve"> </w:t>
      </w:r>
      <w:r>
        <w:rPr>
          <w:b/>
          <w:bCs/>
        </w:rPr>
        <w:t xml:space="preserve">registry</w:t>
      </w:r>
      <w:r>
        <w:t xml:space="preserve">, looked up by model key — and an input whose registry row is missing renders as a</w:t>
      </w:r>
      <w:r>
        <w:t xml:space="preserve"> </w:t>
      </w:r>
      <w:r>
        <w:rPr>
          <w:b/>
          <w:bCs/>
        </w:rPr>
        <w:t xml:space="preserve">struck-through, non-interactive pill</w:t>
      </w:r>
      <w:r>
        <w:t xml:space="preserve">, never simply omitted. Where the selected input publishes</w:t>
      </w:r>
      <w:r>
        <w:t xml:space="preserve"> </w:t>
      </w:r>
      <w:r>
        <w:t xml:space="preserve">both, one</w:t>
      </w:r>
      <w:r>
        <w:t xml:space="preserve"> </w:t>
      </w:r>
      <w:r>
        <w:rPr>
          <w:b/>
          <w:bCs/>
        </w:rPr>
        <w:t xml:space="preserve">representation</w:t>
      </w:r>
      <w:r>
        <w:t xml:space="preserve"> </w:t>
      </w:r>
      <w:r>
        <w:t xml:space="preserve">toggle appears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w:t>
      </w:r>
      <w:r>
        <w:t xml:space="preserve"> </w:t>
      </w:r>
      <w:r>
        <w:t xml:space="preserve">ingested”</w:t>
      </w:r>
      <w:r>
        <w:t xml:space="preserve"> </w:t>
      </w:r>
      <w:r>
        <w:t xml:space="preserve">for a dataset already on the scoring grid). Selecting a species flies the map to that</w:t>
      </w:r>
      <w:r>
        <w:t xml:space="preserve"> </w:t>
      </w:r>
      <w:r>
        <w:t xml:space="preserve">model’s extent; clicking it then returns that cell’s modelled value, or</w:t>
      </w:r>
      <w:r>
        <w:t xml:space="preserve"> </w:t>
      </w:r>
      <w:r>
        <w:rPr>
          <w:i/>
          <w:iCs/>
        </w:rPr>
        <w:t xml:space="preserve">“No scored cell here”</w:t>
      </w:r>
      <w:r>
        <w:t xml:space="preserve"> </w:t>
      </w:r>
      <w:r>
        <w:t xml:space="preserve">outside the model’s range. The legend floats in a corner of the map (a legend chip on a phone),</w:t>
      </w:r>
      <w:r>
        <w:t xml:space="preserve"> </w:t>
      </w:r>
      <w:r>
        <w:t xml:space="preserve">titled with the species’ scientific name and its 1–100 range.</w:t>
      </w:r>
    </w:p>
    <w:tbl>
      <w:tblPr>
        <w:tblStyle w:val="Table"/>
        <w:tblW w:type="pct" w:w="5000"/>
        <w:tblLayout w:type="fixed"/>
        <w:tblLook w:firstRow="0" w:lastRow="0" w:firstColumn="0" w:lastColumn="0" w:noHBand="0" w:noVBand="0" w:val="0000"/>
      </w:tblPr>
      <w:tblGrid>
        <w:gridCol w:w="7920"/>
      </w:tblGrid>
      <w:tr>
        <w:tc>
          <w:tcPr/>
          <w:bookmarkStart w:id="632" w:name="fig-atlas-species"/>
          <w:p>
            <w:pPr>
              <w:pStyle w:val="Compact"/>
              <w:jc w:val="center"/>
            </w:pPr>
            <w:r>
              <w:drawing>
                <wp:inline>
                  <wp:extent cx="4826000" cy="9245600"/>
                  <wp:effectExtent b="0" l="0" r="0" t="0"/>
                  <wp:docPr descr="" title="" id="630" name="Picture"/>
                  <a:graphic>
                    <a:graphicData uri="http://schemas.openxmlformats.org/drawingml/2006/picture">
                      <pic:pic>
                        <pic:nvPicPr>
                          <pic:cNvPr descr="images/atlas/desktop-species.png" id="631" name="Picture"/>
                          <pic:cNvPicPr>
                            <a:picLocks noChangeArrowheads="1" noChangeAspect="1"/>
                          </pic:cNvPicPr>
                        </pic:nvPicPr>
                        <pic:blipFill>
                          <a:blip r:embed="rId629"/>
                          <a:stretch>
                            <a:fillRect/>
                          </a:stretch>
                        </pic:blipFill>
                        <pic:spPr bwMode="auto">
                          <a:xfrm>
                            <a:off x="0" y="0"/>
                            <a:ext cx="4826000" cy="924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B.5: The Species lens’ card for the leatherback turtle (</w:t>
            </w:r>
            <w:r>
              <w:rPr>
                <w:i/>
                <w:iCs/>
              </w:rPr>
              <w:t xml:space="preserve">Dermochelys coriacea</w:t>
            </w:r>
            <w:r>
              <w:t xml:space="preserve">): the merged model with every one of its six inputs struck through — as of this writing, a stale v7 app bundle rather than a genuinely missing registry row for all six (see Known Limitations).</w:t>
            </w:r>
          </w:p>
          <w:bookmarkEnd w:id="632"/>
        </w:tc>
      </w:tr>
    </w:tbl>
    <w:bookmarkEnd w:id="633"/>
    <w:bookmarkStart w:id="642" w:name="sec-atlas-places"/>
    <w:p>
      <w:pPr>
        <w:pStyle w:val="Heading2"/>
      </w:pPr>
      <w:r>
        <w:t xml:space="preserve">A.6 Places</w:t>
      </w:r>
    </w:p>
    <w:p>
      <w:pPr>
        <w:pStyle w:val="FirstParagraph"/>
      </w:pPr>
      <w:r>
        <w:rPr>
          <w:b/>
          <w:bCs/>
        </w:rPr>
        <w:t xml:space="preserve">Places</w:t>
      </w:r>
      <w:r>
        <w:t xml:space="preserve"> </w:t>
      </w:r>
      <w:r>
        <w:t xml:space="preserve">is the tool the two Shiny apps do not have: any area you outline gets the same scores</w:t>
      </w:r>
      <w:r>
        <w:t xml:space="preserve"> </w:t>
      </w:r>
      <w:r>
        <w:t xml:space="preserve">and species results the built-in Program Areas get. The empty state reads exactly:</w:t>
      </w:r>
      <w:r>
        <w:t xml:space="preserve"> </w:t>
      </w:r>
      <w:r>
        <w:rPr>
          <w:i/>
          <w:iCs/>
        </w:rPr>
        <w:t xml:space="preserve">“No places</w:t>
      </w:r>
      <w:r>
        <w:rPr>
          <w:i/>
          <w:iCs/>
        </w:rPr>
        <w:t xml:space="preserve"> </w:t>
      </w:r>
      <w:r>
        <w:rPr>
          <w:i/>
          <w:iCs/>
        </w:rPr>
        <w:t xml:space="preserve">yet. Choose a Program Area above, turn on pick mode and click one on the map, draw a shape, enter</w:t>
      </w:r>
      <w:r>
        <w:rPr>
          <w:i/>
          <w:iCs/>
        </w:rPr>
        <w:t xml:space="preserve"> </w:t>
      </w:r>
      <w:r>
        <w:rPr>
          <w:i/>
          <w:iCs/>
        </w:rPr>
        <w:t xml:space="preserve">coordinates, or drop a file on the map.”</w:t>
      </w:r>
    </w:p>
    <w:p>
      <w:pPr>
        <w:pStyle w:val="Compact"/>
        <w:numPr>
          <w:ilvl w:val="0"/>
          <w:numId w:val="1060"/>
        </w:numPr>
      </w:pPr>
      <w:r>
        <w:rPr>
          <w:b/>
          <w:bCs/>
        </w:rPr>
        <w:t xml:space="preserve">Pick a Program Area.</w:t>
      </w:r>
      <w:r>
        <w:t xml:space="preserve"> </w:t>
      </w:r>
      <w:r>
        <w:t xml:space="preserve">Turning on</w:t>
      </w:r>
      <w:r>
        <w:t xml:space="preserve"> </w:t>
      </w:r>
      <w:r>
        <w:rPr>
          <w:b/>
          <w:bCs/>
        </w:rPr>
        <w:t xml:space="preserve">pick mode</w:t>
      </w:r>
      <w:r>
        <w:t xml:space="preserve"> </w:t>
      </w:r>
      <w:r>
        <w:t xml:space="preserve">and clicking only highlights it — Ctrl/Cmd-click,</w:t>
      </w:r>
      <w:r>
        <w:t xml:space="preserve"> </w:t>
      </w:r>
      <w:r>
        <w:t xml:space="preserve">Shift-click or long-press to highlight several — and</w:t>
      </w:r>
      <w:r>
        <w:t xml:space="preserve"> </w:t>
      </w:r>
      <w:r>
        <w:rPr>
          <w:b/>
          <w:bCs/>
        </w:rPr>
        <w:t xml:space="preserve">“Add to places (n)”</w:t>
      </w:r>
      <w:r>
        <w:t xml:space="preserve"> </w:t>
      </w:r>
      <w:r>
        <w:t xml:space="preserve">is the button that</w:t>
      </w:r>
      <w:r>
        <w:t xml:space="preserve"> </w:t>
      </w:r>
      <w:r>
        <w:t xml:space="preserve">actually adds it; several picks become</w:t>
      </w:r>
      <w:r>
        <w:t xml:space="preserve"> </w:t>
      </w:r>
      <w:r>
        <w:rPr>
          <w:b/>
          <w:bCs/>
        </w:rPr>
        <w:t xml:space="preserve">one</w:t>
      </w:r>
      <w:r>
        <w:t xml:space="preserve"> </w:t>
      </w:r>
      <w:r>
        <w:t xml:space="preserve">place. Or use the panel’s own</w:t>
      </w:r>
      <w:r>
        <w:t xml:space="preserve"> </w:t>
      </w:r>
      <w:r>
        <w:rPr>
          <w:b/>
          <w:bCs/>
        </w:rPr>
        <w:t xml:space="preserve">Program Area</w:t>
      </w:r>
      <w:r>
        <w:rPr>
          <w:b/>
          <w:bCs/>
        </w:rPr>
        <w:t xml:space="preserve"> </w:t>
      </w:r>
      <w:r>
        <w:rPr>
          <w:b/>
          <w:bCs/>
        </w:rPr>
        <w:t xml:space="preserve">chooser</w:t>
      </w:r>
      <w:r>
        <w:t xml:space="preserve">, which needs no pointer and works on a phone.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in the Places panel, the Scores-lens search and the Zones table and report; from</w:t>
      </w:r>
      <w:r>
        <w:t xml:space="preserve"> </w:t>
      </w:r>
      <w:r>
        <w:t xml:space="preserve">0.10.59, everywhere — today the Scores-lens map tooltip, Flower title and Table header for a</w:t>
      </w:r>
      <w:r>
        <w:t xml:space="preserve"> </w:t>
      </w:r>
      <w:r>
        <w:t xml:space="preserve">clicked Program Area still show the bare key.</w:t>
      </w:r>
    </w:p>
    <w:p>
      <w:pPr>
        <w:pStyle w:val="Compact"/>
        <w:numPr>
          <w:ilvl w:val="0"/>
          <w:numId w:val="1060"/>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60"/>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60"/>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637" w:name="fig-atlas-places"/>
          <w:p>
            <w:pPr>
              <w:pStyle w:val="Compact"/>
              <w:jc w:val="center"/>
            </w:pPr>
            <w:r>
              <w:drawing>
                <wp:inline>
                  <wp:extent cx="5334000" cy="3333750"/>
                  <wp:effectExtent b="0" l="0" r="0" t="0"/>
                  <wp:docPr descr="" title="" id="635" name="Picture"/>
                  <a:graphic>
                    <a:graphicData uri="http://schemas.openxmlformats.org/drawingml/2006/picture">
                      <pic:pic>
                        <pic:nvPicPr>
                          <pic:cNvPr descr="images/atlas/desktop-places.png" id="636" name="Picture"/>
                          <pic:cNvPicPr>
                            <a:picLocks noChangeArrowheads="1" noChangeAspect="1"/>
                          </pic:cNvPicPr>
                        </pic:nvPicPr>
                        <pic:blipFill>
                          <a:blip r:embed="rId63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B.6: The Places panel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27.1 composite) whose coverage note reads</w:t>
            </w:r>
            <w:r>
              <w:t xml:space="preserve"> </w:t>
            </w:r>
            <w:r>
              <w:t xml:space="preserve">“100.0% of this place is inside the US study area (3,600 of 3,600 cells)”</w:t>
            </w:r>
            <w:r>
              <w:t xml:space="preserve">; the drop zone above the list names the accepted formats, GeoPackage included. Captured on 0.10.62.</w:t>
            </w:r>
          </w:p>
          <w:bookmarkEnd w:id="6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1" w:name="fig-atlas-coords"/>
          <w:p>
            <w:pPr>
              <w:pStyle w:val="Compact"/>
              <w:jc w:val="center"/>
            </w:pPr>
            <w:r>
              <w:drawing>
                <wp:inline>
                  <wp:extent cx="5334000" cy="4686300"/>
                  <wp:effectExtent b="0" l="0" r="0" t="0"/>
                  <wp:docPr descr="" title="" id="639" name="Picture"/>
                  <a:graphic>
                    <a:graphicData uri="http://schemas.openxmlformats.org/drawingml/2006/picture">
                      <pic:pic>
                        <pic:nvPicPr>
                          <pic:cNvPr descr="images/atlas/desktop-coordinate-dialog.png" id="640" name="Picture"/>
                          <pic:cNvPicPr>
                            <a:picLocks noChangeArrowheads="1" noChangeAspect="1"/>
                          </pic:cNvPicPr>
                        </pic:nvPicPr>
                        <pic:blipFill>
                          <a:blip r:embed="rId638"/>
                          <a:stretch>
                            <a:fillRect/>
                          </a:stretch>
                        </pic:blipFill>
                        <pic:spPr bwMode="auto">
                          <a:xfrm>
                            <a:off x="0" y="0"/>
                            <a:ext cx="5334000" cy="46863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B.7: The</w:t>
            </w:r>
            <w:r>
              <w:t xml:space="preserve"> </w:t>
            </w:r>
            <w:r>
              <w:t xml:space="preserve">“Enter coordinates”</w:t>
            </w:r>
            <w:r>
              <w:t xml:space="preserve"> </w:t>
            </w:r>
            <w:r>
              <w:t xml:space="preserve">dialog, showing a refusal for input that matches none of the three accepted shapes.</w:t>
            </w:r>
          </w:p>
          <w:bookmarkEnd w:id="641"/>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B.8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footer holds</w:t>
      </w:r>
      <w:r>
        <w:t xml:space="preserve"> </w:t>
      </w:r>
      <w:r>
        <w:rPr>
          <w:b/>
          <w:bCs/>
        </w:rPr>
        <w:t xml:space="preserve">Share</w:t>
      </w:r>
      <w:r>
        <w:t xml:space="preserve">,</w:t>
      </w:r>
      <w:r>
        <w:t xml:space="preserve"> </w:t>
      </w:r>
      <w:r>
        <w:rPr>
          <w:b/>
          <w:bCs/>
        </w:rPr>
        <w:t xml:space="preserve">Download places</w:t>
      </w:r>
      <w:r>
        <w:t xml:space="preserve"> </w:t>
      </w:r>
      <w:r>
        <w:t xml:space="preserve">(GeoJSON) and</w:t>
      </w:r>
      <w:r>
        <w:t xml:space="preserve"> </w:t>
      </w:r>
      <w:r>
        <w:rPr>
          <w:b/>
          <w:bCs/>
        </w:rPr>
        <w:t xml:space="preserve">Report</w:t>
      </w:r>
      <w:r>
        <w:t xml:space="preserve">, each 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bar to</w:t>
      </w:r>
      <w:r>
        <w:t xml:space="preserve"> </w:t>
      </w:r>
      <w:r>
        <w:t xml:space="preserve">the clipboard — no dialog, no summary, no length check.</w:t>
      </w:r>
      <w:r>
        <w:t xml:space="preserve"> </w:t>
      </w:r>
      <w:r>
        <w:rPr>
          <w:b/>
          <w:bCs/>
        </w:rPr>
        <w:t xml:space="preserve">Places › Share</w:t>
      </w:r>
      <w:r>
        <w:t xml:space="preserve"> </w:t>
      </w:r>
      <w:r>
        <w:t xml:space="preserve">opens the real dialog</w:t>
      </w:r>
      <w:r>
        <w:t xml:space="preserve"> </w:t>
      </w:r>
      <w:r>
        <w:t xml:space="preserve">described next, and is the one to use whenever places are involved.</w:t>
      </w:r>
    </w:p>
    <w:bookmarkEnd w:id="642"/>
    <w:bookmarkStart w:id="653" w:name="sec-atlas-place-links"/>
    <w:p>
      <w:pPr>
        <w:pStyle w:val="Heading2"/>
      </w:pPr>
      <w:r>
        <w:t xml:space="preserve">A.7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61"/>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61"/>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61"/>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Applications/quarto/share/formats/docx/note.png" id="64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Places › Share.</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B.9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648" w:name="fig-atlas-share"/>
          <w:p>
            <w:pPr>
              <w:pStyle w:val="Compact"/>
              <w:jc w:val="center"/>
            </w:pPr>
            <w:r>
              <w:drawing>
                <wp:inline>
                  <wp:extent cx="3378200" cy="2717800"/>
                  <wp:effectExtent b="0" l="0" r="0" t="0"/>
                  <wp:docPr descr="" title="" id="646" name="Picture"/>
                  <a:graphic>
                    <a:graphicData uri="http://schemas.openxmlformats.org/drawingml/2006/picture">
                      <pic:pic>
                        <pic:nvPicPr>
                          <pic:cNvPr descr="images/atlas/desktop-share-dialog.png" id="647" name="Picture"/>
                          <pic:cNvPicPr>
                            <a:picLocks noChangeArrowheads="1" noChangeAspect="1"/>
                          </pic:cNvPicPr>
                        </pic:nvPicPr>
                        <pic:blipFill>
                          <a:blip r:embed="rId645"/>
                          <a:stretch>
                            <a:fillRect/>
                          </a:stretch>
                        </pic:blipFill>
                        <pic:spPr bwMode="auto">
                          <a:xfrm>
                            <a:off x="0" y="0"/>
                            <a:ext cx="3378200" cy="2717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B.8: The Share dialog: what the link carries and its exact length.</w:t>
            </w:r>
          </w:p>
          <w:bookmarkEnd w:id="64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2" w:name="fig-atlas-share-ladder"/>
          <w:p>
            <w:pPr>
              <w:pStyle w:val="Compact"/>
              <w:jc w:val="center"/>
            </w:pPr>
            <w:r>
              <w:drawing>
                <wp:inline>
                  <wp:extent cx="5334000" cy="2514600"/>
                  <wp:effectExtent b="0" l="0" r="0" t="0"/>
                  <wp:docPr descr="" title="" id="650" name="Picture"/>
                  <a:graphic>
                    <a:graphicData uri="http://schemas.openxmlformats.org/drawingml/2006/picture">
                      <pic:pic>
                        <pic:nvPicPr>
                          <pic:cNvPr descr="images/atlas/desktop-share-ladder.png" id="651" name="Picture"/>
                          <pic:cNvPicPr>
                            <a:picLocks noChangeArrowheads="1" noChangeAspect="1"/>
                          </pic:cNvPicPr>
                        </pic:nvPicPr>
                        <pic:blipFill>
                          <a:blip r:embed="rId649"/>
                          <a:stretch>
                            <a:fillRect/>
                          </a:stretch>
                        </pic:blipFill>
                        <pic:spPr bwMode="auto">
                          <a:xfrm>
                            <a:off x="0" y="0"/>
                            <a:ext cx="5334000" cy="2514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B.9: The Share dialog’s simplification ladder for an oversized place: before/after vertex count, area change and cell count, with a</w:t>
            </w:r>
            <w:r>
              <w:t xml:space="preserve"> </w:t>
            </w:r>
            <w:r>
              <w:t xml:space="preserve">“Simplify and update the numbers”</w:t>
            </w:r>
            <w:r>
              <w:t xml:space="preserve"> </w:t>
            </w:r>
            <w:r>
              <w:t xml:space="preserve">button.</w:t>
            </w:r>
          </w:p>
          <w:bookmarkEnd w:id="652"/>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B.4</w:t>
        </w:r>
      </w:hyperlink>
      <w:r>
        <w:t xml:space="preserve">),</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 from its default.</w:t>
      </w:r>
    </w:p>
    <w:bookmarkEnd w:id="653"/>
    <w:bookmarkStart w:id="662" w:name="sec-atlas-flower-table"/>
    <w:p>
      <w:pPr>
        <w:pStyle w:val="Heading2"/>
      </w:pPr>
      <w:r>
        <w:t xml:space="preserve">A.8 Flower plot and Table</w:t>
      </w:r>
    </w:p>
    <w:p>
      <w:pPr>
        <w:pStyle w:val="FirstParagraph"/>
      </w:pPr>
      <w:r>
        <w:rPr>
          <w:b/>
          <w:bCs/>
        </w:rPr>
        <w:t xml:space="preserve">Flower plot</w:t>
      </w:r>
      <w:r>
        <w:t xml:space="preserve"> </w:t>
      </w:r>
      <w:r>
        <w:t xml:space="preserve">and</w:t>
      </w:r>
      <w:r>
        <w:t xml:space="preserve"> </w:t>
      </w:r>
      <w:r>
        <w:rPr>
          <w:b/>
          <w:bCs/>
        </w:rPr>
        <w:t xml:space="preserve">Table</w:t>
      </w:r>
      <w:r>
        <w:t xml:space="preserve"> </w:t>
      </w:r>
      <w:r>
        <w:t xml:space="preserve">are Scores-lens tools for a clicked cell or Program Area; in the</w:t>
      </w:r>
      <w:r>
        <w:t xml:space="preserve"> </w:t>
      </w:r>
      <w:r>
        <w:t xml:space="preserve">Species lens, Table is a placeholder, and a drawn Place’s flower and species table live in the</w:t>
      </w:r>
      <w:r>
        <w:t xml:space="preserve"> </w:t>
      </w:r>
      <w:r>
        <w:t xml:space="preserve">Places results panel instead (</w:t>
      </w:r>
      <w:hyperlink w:anchor="sec-atlas-places">
        <w:r>
          <w:rPr>
            <w:rStyle w:val="Hyperlink"/>
          </w:rPr>
          <w:t xml:space="preserve">Section B.6</w:t>
        </w:r>
      </w:hyperlink>
      <w:r>
        <w:t xml:space="preserve">), not here.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657" w:name="fig-atlas-flower"/>
          <w:p>
            <w:pPr>
              <w:pStyle w:val="Compact"/>
              <w:jc w:val="center"/>
            </w:pPr>
            <w:r>
              <w:drawing>
                <wp:inline>
                  <wp:extent cx="4826000" cy="9245600"/>
                  <wp:effectExtent b="0" l="0" r="0" t="0"/>
                  <wp:docPr descr="" title="" id="655" name="Picture"/>
                  <a:graphic>
                    <a:graphicData uri="http://schemas.openxmlformats.org/drawingml/2006/picture">
                      <pic:pic>
                        <pic:nvPicPr>
                          <pic:cNvPr descr="images/atlas/desktop-flower.png" id="656" name="Picture"/>
                          <pic:cNvPicPr>
                            <a:picLocks noChangeArrowheads="1" noChangeAspect="1"/>
                          </pic:cNvPicPr>
                        </pic:nvPicPr>
                        <pic:blipFill>
                          <a:blip r:embed="rId654"/>
                          <a:stretch>
                            <a:fillRect/>
                          </a:stretch>
                        </pic:blipFill>
                        <pic:spPr bwMode="auto">
                          <a:xfrm>
                            <a:off x="0" y="0"/>
                            <a:ext cx="4826000" cy="924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B.10: The Flower plot for a clicked cell in the Gulf of America: one petal per score component, and the values table with a Mean row below it.</w:t>
            </w:r>
          </w:p>
          <w:bookmarkEnd w:id="657"/>
        </w:tc>
      </w:tr>
    </w:tbl>
    <w:p>
      <w:pPr>
        <w:pStyle w:val="BodyText"/>
      </w:pPr>
      <w:r>
        <w:rPr>
          <w:b/>
          <w:bCs/>
        </w:rPr>
        <w:t xml:space="preserve">Table</w:t>
      </w:r>
      <w:r>
        <w:t xml:space="preserve"> </w:t>
      </w:r>
      <w:r>
        <w:t xml:space="preserve">opens three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661" w:name="fig-atlas-table"/>
          <w:p>
            <w:pPr>
              <w:pStyle w:val="Compact"/>
              <w:jc w:val="center"/>
            </w:pPr>
            <w:r>
              <w:drawing>
                <wp:inline>
                  <wp:extent cx="4826000" cy="9245600"/>
                  <wp:effectExtent b="0" l="0" r="0" t="0"/>
                  <wp:docPr descr="" title="" id="659" name="Picture"/>
                  <a:graphic>
                    <a:graphicData uri="http://schemas.openxmlformats.org/drawingml/2006/picture">
                      <pic:pic>
                        <pic:nvPicPr>
                          <pic:cNvPr descr="images/atlas/desktop-table.png" id="660" name="Picture"/>
                          <pic:cNvPicPr>
                            <a:picLocks noChangeArrowheads="1" noChangeAspect="1"/>
                          </pic:cNvPicPr>
                        </pic:nvPicPr>
                        <pic:blipFill>
                          <a:blip r:embed="rId658"/>
                          <a:stretch>
                            <a:fillRect/>
                          </a:stretch>
                        </pic:blipFill>
                        <pic:spPr bwMode="auto">
                          <a:xfrm>
                            <a:off x="0" y="0"/>
                            <a:ext cx="4826000" cy="924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B.11: The Table tool’s species tab.</w:t>
            </w:r>
          </w:p>
          <w:bookmarkEnd w:id="661"/>
        </w:tc>
      </w:tr>
    </w:tbl>
    <w:bookmarkEnd w:id="662"/>
    <w:bookmarkStart w:id="671" w:name="report"/>
    <w:p>
      <w:pPr>
        <w:pStyle w:val="Heading2"/>
      </w:pPr>
      <w:r>
        <w:t xml:space="preserve">A.9 Report</w:t>
      </w:r>
    </w:p>
    <w:p>
      <w:pPr>
        <w:pStyle w:val="FirstParagraph"/>
      </w:pPr>
      <w:r>
        <w:rPr>
          <w:b/>
          <w:bCs/>
        </w:rPr>
        <w:t xml:space="preserve">Report</w:t>
      </w:r>
      <w:r>
        <w:t xml:space="preserve"> </w:t>
      </w:r>
      <w:r>
        <w:t xml:space="preserve">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 it reports the</w:t>
      </w:r>
      <w:r>
        <w:t xml:space="preserve"> </w:t>
      </w:r>
      <w:r>
        <w:t xml:space="preserve">single selected Program Area; with neither, it shows a chooser. A row’s own</w:t>
      </w:r>
      <w:r>
        <w:t xml:space="preserve"> </w:t>
      </w:r>
      <w:r>
        <w:rPr>
          <w:b/>
          <w:bCs/>
        </w:rPr>
        <w:t xml:space="preserve">Open in report</w:t>
      </w:r>
      <w:r>
        <w:t xml:space="preserve"> </w:t>
      </w:r>
      <w:r>
        <w:t xml:space="preserve">reports just that row’s place. The document renders progressively as its data arrives:</w:t>
      </w:r>
    </w:p>
    <w:p>
      <w:pPr>
        <w:pStyle w:val="Compact"/>
        <w:numPr>
          <w:ilvl w:val="0"/>
          <w:numId w:val="1062"/>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62"/>
        </w:numPr>
      </w:pPr>
      <w:r>
        <w:t xml:space="preserve">an</w:t>
      </w:r>
      <w:r>
        <w:t xml:space="preserve"> </w:t>
      </w:r>
      <w:r>
        <w:rPr>
          <w:b/>
          <w:bCs/>
        </w:rPr>
        <w:t xml:space="preserve">introduction</w:t>
      </w:r>
      <w:r>
        <w:t xml:space="preserve">;</w:t>
      </w:r>
    </w:p>
    <w:p>
      <w:pPr>
        <w:pStyle w:val="Compact"/>
        <w:numPr>
          <w:ilvl w:val="0"/>
          <w:numId w:val="1062"/>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62"/>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62"/>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62"/>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62"/>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62"/>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62"/>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666" w:name="fig-atlas-report"/>
          <w:p>
            <w:pPr>
              <w:pStyle w:val="Compact"/>
              <w:jc w:val="center"/>
            </w:pPr>
            <w:r>
              <w:drawing>
                <wp:inline>
                  <wp:extent cx="5334000" cy="3333750"/>
                  <wp:effectExtent b="0" l="0" r="0" t="0"/>
                  <wp:docPr descr="" title="" id="664" name="Picture"/>
                  <a:graphic>
                    <a:graphicData uri="http://schemas.openxmlformats.org/drawingml/2006/picture">
                      <pic:pic>
                        <pic:nvPicPr>
                          <pic:cNvPr descr="images/atlas/desktop-report.png" id="665" name="Picture"/>
                          <pic:cNvPicPr>
                            <a:picLocks noChangeArrowheads="1" noChangeAspect="1"/>
                          </pic:cNvPicPr>
                        </pic:nvPicPr>
                        <pic:blipFill>
                          <a:blip r:embed="rId66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B.12: The report document’s header band and introduction: the MMA seal, a permalink and QR code, Parameters, and the start of the interactive map.</w:t>
            </w:r>
          </w:p>
          <w:bookmarkEnd w:id="6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0" w:name="fig-atlas-report-scores"/>
          <w:p>
            <w:pPr>
              <w:pStyle w:val="Compact"/>
              <w:jc w:val="center"/>
            </w:pPr>
            <w:r>
              <w:drawing>
                <wp:inline>
                  <wp:extent cx="5334000" cy="3333750"/>
                  <wp:effectExtent b="0" l="0" r="0" t="0"/>
                  <wp:docPr descr="" title="" id="668" name="Picture"/>
                  <a:graphic>
                    <a:graphicData uri="http://schemas.openxmlformats.org/drawingml/2006/picture">
                      <pic:pic>
                        <pic:nvPicPr>
                          <pic:cNvPr descr="images/atlas/desktop-report-scores.png" id="669" name="Picture"/>
                          <pic:cNvPicPr>
                            <a:picLocks noChangeArrowheads="1" noChangeAspect="1"/>
                          </pic:cNvPicPr>
                        </pic:nvPicPr>
                        <pic:blipFill>
                          <a:blip r:embed="rId66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B.13: The report’s Table of Scores and the start of the Summary of Species, for the same Program Area.</w:t>
            </w:r>
          </w:p>
          <w:bookmarkEnd w:id="670"/>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671"/>
    <w:bookmarkStart w:id="674" w:name="accessibility-and-performance-notes"/>
    <w:p>
      <w:pPr>
        <w:pStyle w:val="Heading2"/>
      </w:pPr>
      <w:r>
        <w:t xml:space="preserve">A.10 Accessibility and performance notes</w:t>
      </w:r>
    </w:p>
    <w:p>
      <w:pPr>
        <w:pStyle w:val="FirstParagraph"/>
      </w:pPr>
      <w:r>
        <w:t xml:space="preserve">The Atlas ships a written</w:t>
      </w:r>
      <w:r>
        <w:t xml:space="preserve"> </w:t>
      </w:r>
      <w:hyperlink r:id="rId672">
        <w:r>
          <w:rPr>
            <w:rStyle w:val="Hyperlink"/>
          </w:rPr>
          <w:t xml:space="preserve">WCAG 2.1 conformance note</w:t>
        </w:r>
      </w:hyperlink>
      <w:r>
        <w:t xml:space="preserve"> </w:t>
      </w:r>
      <w:r>
        <w:t xml:space="preserve">and a</w:t>
      </w:r>
      <w:r>
        <w:t xml:space="preserve"> </w:t>
      </w:r>
      <w:hyperlink r:id="rId673">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plus</w:t>
      </w:r>
      <w:r>
        <w:t xml:space="preserve"> </w:t>
      </w:r>
      <w:r>
        <w:rPr>
          <w:b/>
          <w:bCs/>
        </w:rPr>
        <w:t xml:space="preserve">~140 KB</w:t>
      </w:r>
      <w:r>
        <w:t xml:space="preserve"> </w:t>
      </w:r>
      <w:r>
        <w:t xml:space="preserve">for the MapLibre worker 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Both</w:t>
      </w:r>
      <w:r>
        <w:t xml:space="preserve"> </w:t>
      </w:r>
      <w:r>
        <w:t xml:space="preserve">budgets may have moved since; see the linked reports for current numbers.</w:t>
      </w:r>
    </w:p>
    <w:bookmarkEnd w:id="674"/>
    <w:bookmarkStart w:id="675" w:name="when-a-service-is-down"/>
    <w:p>
      <w:pPr>
        <w:pStyle w:val="Heading2"/>
      </w:pPr>
      <w:r>
        <w:t xml:space="preserve">A.11 When a service is down</w:t>
      </w:r>
    </w:p>
    <w:p>
      <w:pPr>
        <w:pStyle w:val="FirstParagraph"/>
      </w:pPr>
      <w:r>
        <w:t xml:space="preserve">Since 0.10.59,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top banner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2026-09-24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675"/>
    <w:bookmarkStart w:id="680" w:name="feedback-and-versions"/>
    <w:p>
      <w:pPr>
        <w:pStyle w:val="Heading2"/>
      </w:pPr>
      <w:r>
        <w:t xml:space="preserve">A.12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Shiny</w:t>
      </w:r>
      <w:r>
        <w:t xml:space="preserve"> </w:t>
      </w:r>
      <w:r>
        <w:rPr>
          <w:rStyle w:val="VerbatimChar"/>
        </w:rPr>
        <w:t xml:space="preserve">scores</w:t>
      </w:r>
      <w:r>
        <w:t xml:space="preserve">/</w:t>
      </w:r>
      <w:r>
        <w:rPr>
          <w:rStyle w:val="VerbatimChar"/>
        </w:rPr>
        <w:t xml:space="preserve">species</w:t>
      </w:r>
      <w:r>
        <w:t xml:space="preserve"> </w:t>
      </w:r>
      <w:r>
        <w:t xml:space="preserve">apps already write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offers</w:t>
      </w:r>
      <w:r>
        <w:t xml:space="preserve"> </w:t>
      </w:r>
      <w:r>
        <w:t xml:space="preserve">“Continue</w:t>
      </w:r>
      <w:r>
        <w:t xml:space="preserve"> </w:t>
      </w:r>
      <w:r>
        <w:t xml:space="preserve">on the preview host”</w:t>
      </w:r>
      <w:r>
        <w:t xml:space="preserve"> </w:t>
      </w:r>
      <w:r>
        <w:t xml:space="preserve">(from 0.10.59, that link goes straight to the Atlas there), an unrecognized</w:t>
      </w:r>
      <w:r>
        <w:t xml:space="preserve"> </w:t>
      </w:r>
      <w:r>
        <w:t xml:space="preserve">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679" w:name="fig-atlas-versions"/>
          <w:p>
            <w:pPr>
              <w:pStyle w:val="Compact"/>
              <w:jc w:val="center"/>
            </w:pPr>
            <w:r>
              <w:drawing>
                <wp:inline>
                  <wp:extent cx="5080000" cy="8153400"/>
                  <wp:effectExtent b="0" l="0" r="0" t="0"/>
                  <wp:docPr descr="" title="" id="677" name="Picture"/>
                  <a:graphic>
                    <a:graphicData uri="http://schemas.openxmlformats.org/drawingml/2006/picture">
                      <pic:pic>
                        <pic:nvPicPr>
                          <pic:cNvPr descr="images/atlas/desktop-version-picker.png" id="678" name="Picture"/>
                          <pic:cNvPicPr>
                            <a:picLocks noChangeArrowheads="1" noChangeAspect="1"/>
                          </pic:cNvPicPr>
                        </pic:nvPicPr>
                        <pic:blipFill>
                          <a:blip r:embed="rId676"/>
                          <a:stretch>
                            <a:fillRect/>
                          </a:stretch>
                        </pic:blipFill>
                        <pic:spPr bwMode="auto">
                          <a:xfrm>
                            <a:off x="0" y="0"/>
                            <a:ext cx="5080000" cy="8153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B.14: The release picker.</w:t>
            </w:r>
          </w:p>
          <w:bookmarkEnd w:id="679"/>
        </w:tc>
      </w:tr>
    </w:tbl>
    <w:bookmarkEnd w:id="680"/>
    <w:bookmarkStart w:id="681" w:name="known-limitations-as-of-0.10.59"/>
    <w:p>
      <w:pPr>
        <w:pStyle w:val="Heading2"/>
      </w:pPr>
      <w:r>
        <w:t xml:space="preserve">A.13 Known limitations (as of 0.10.59)</w:t>
      </w:r>
    </w:p>
    <w:p>
      <w:pPr>
        <w:pStyle w:val="Compact"/>
        <w:numPr>
          <w:ilvl w:val="0"/>
          <w:numId w:val="1063"/>
        </w:numPr>
      </w:pPr>
      <w:r>
        <w:t xml:space="preserve">For every release before v8 (v2–v7b), every input pill in the Species card still shows struck</w:t>
      </w:r>
      <w:r>
        <w:t xml:space="preserve"> </w:t>
      </w:r>
      <w:r>
        <w:t xml:space="preserve">through, the leatherback’s six included (</w:t>
      </w:r>
      <w:hyperlink w:anchor="fig-atlas-species">
        <w:r>
          <w:rPr>
            <w:rStyle w:val="Hyperlink"/>
          </w:rPr>
          <w:t xml:space="preserve">Figure B.5</w:t>
        </w:r>
      </w:hyperlink>
      <w:r>
        <w:t xml:space="preserve">) — as of this writing, the app</w:t>
      </w:r>
      <w:r>
        <w:t xml:space="preserve"> </w:t>
      </w:r>
      <w:r>
        <w:t xml:space="preserve">bundles that would resolve the model-asset registry lookup (see Species lens above) for 10,247 of</w:t>
      </w:r>
      <w:r>
        <w:t xml:space="preserve"> </w:t>
      </w:r>
      <w:r>
        <w:t xml:space="preserve">v7’s 12,120 inputs have not yet been republished; once they land, only 1,873 of its 2,619</w:t>
      </w:r>
      <w:r>
        <w:t xml:space="preserve"> </w:t>
      </w:r>
      <w:r>
        <w:rPr>
          <w:rStyle w:val="VerbatimChar"/>
        </w:rPr>
        <w:t xml:space="preserve">rng_iucn</w:t>
      </w:r>
      <w:r>
        <w:t xml:space="preserve"> </w:t>
      </w:r>
      <w:r>
        <w:t xml:space="preserve">range inputs, which have no model-asset registry row (struck through in the Species</w:t>
      </w:r>
      <w:r>
        <w:t xml:space="preserve"> </w:t>
      </w:r>
      <w:r>
        <w:t xml:space="preserve">Shiny app too), will still show this way.</w:t>
      </w:r>
    </w:p>
    <w:p>
      <w:pPr>
        <w:pStyle w:val="Compact"/>
        <w:numPr>
          <w:ilvl w:val="0"/>
          <w:numId w:val="1063"/>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63"/>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63"/>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63"/>
        </w:numPr>
      </w:pPr>
      <w:r>
        <w:t xml:space="preserve">The Atlas’s report is a print-first document built and exported entirely client-side</w:t>
      </w:r>
      <w:r>
        <w:t xml:space="preserve"> </w:t>
      </w:r>
      <w:r>
        <w:t xml:space="preserve">(HTML/ZIP/DOCX from the same source), not the Shiny apps’ own report.</w:t>
      </w:r>
    </w:p>
    <w:bookmarkEnd w:id="681"/>
    <w:bookmarkStart w:id="682" w:name="generating-screenshots"/>
    <w:p>
      <w:pPr>
        <w:pStyle w:val="Heading2"/>
      </w:pPr>
      <w:r>
        <w:t xml:space="preserve">A.14 Generating Screenshots</w:t>
      </w:r>
    </w:p>
    <w:p>
      <w:pPr>
        <w:pStyle w:val="FirstParagraph"/>
      </w:pPr>
      <w:r>
        <w:t xml:space="preserve">The atlas repository’s own</w:t>
      </w:r>
      <w:r>
        <w:t xml:space="preserve"> </w:t>
      </w:r>
      <w:r>
        <w:rPr>
          <w:rStyle w:val="VerbatimChar"/>
        </w:rPr>
        <w:t xml:space="preserve">scripts/eyes-shots.mjs</w:t>
      </w:r>
      <w:r>
        <w:t xml:space="preserve"> </w:t>
      </w:r>
      <w:r>
        <w:t xml:space="preserve">captures the standard states most of this</w:t>
      </w:r>
      <w:r>
        <w:t xml:space="preserve"> </w:t>
      </w:r>
      <w:r>
        <w:t xml:space="preserve">chapter’s figures come from (18 numbered shots per viewport, about 11 states, phone 390×844 at 2x</w:t>
      </w:r>
      <w:r>
        <w:t xml:space="preserve"> </w:t>
      </w:r>
      <w:r>
        <w:t xml:space="preserve">pixel density and desktop 1280×800, dark theme), run against a live or locally built app:</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ExtensionTok"/>
        </w:rPr>
        <w:t xml:space="preserve">node</w:t>
      </w:r>
      <w:r>
        <w:rPr>
          <w:rStyle w:val="NormalTok"/>
        </w:rPr>
        <w:t xml:space="preserve"> scripts/eyes-shots.mjs</w:t>
      </w:r>
    </w:p>
    <w:p>
      <w:pPr>
        <w:pStyle w:val="FirstParagraph"/>
      </w:pPr>
      <w:r>
        <w:t xml:space="preserve">A few figures here (the Share dialog and its simplification ladder, the Coordinate dialog’s</w:t>
      </w:r>
      <w:r>
        <w:t xml:space="preserve"> </w:t>
      </w:r>
      <w:r>
        <w:t xml:space="preserve">refusal state, the version picker, and one Report scroll position) are not among that script’s own</w:t>
      </w:r>
      <w:r>
        <w:t xml:space="preserve"> </w:t>
      </w:r>
      <w:r>
        <w:t xml:space="preserve">states; they were captured by hand from the same live build, driving the app to the specific state</w:t>
      </w:r>
      <w:r>
        <w:t xml:space="preserve"> </w:t>
      </w:r>
      <w:r>
        <w:t xml:space="preserve">each caption describes.</w:t>
      </w:r>
    </w:p>
    <w:bookmarkEnd w:id="682"/>
    <w:bookmarkStart w:id="684" w:name="source-code"/>
    <w:p>
      <w:pPr>
        <w:pStyle w:val="Heading2"/>
      </w:pPr>
      <w:r>
        <w:t xml:space="preserve">A.15 Source Code</w:t>
      </w:r>
    </w:p>
    <w:p>
      <w:pPr>
        <w:pStyle w:val="FirstParagraph"/>
      </w:pPr>
      <w:hyperlink r:id="rId683">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w:t>
      </w:r>
      <w:r>
        <w:t xml:space="preserve"> </w:t>
      </w:r>
      <w:hyperlink r:id="rId607">
        <w:r>
          <w:rPr>
            <w:rStyle w:val="Hyperlink"/>
          </w:rPr>
          <w:t xml:space="preserve">Scores</w:t>
        </w:r>
      </w:hyperlink>
      <w:r>
        <w:t xml:space="preserve"> </w:t>
      </w:r>
      <w:r>
        <w:t xml:space="preserve">and</w:t>
      </w:r>
      <w:r>
        <w:t xml:space="preserve"> </w:t>
      </w:r>
      <w:hyperlink r:id="rId608">
        <w:r>
          <w:rPr>
            <w:rStyle w:val="Hyperlink"/>
          </w:rPr>
          <w:t xml:space="preserve">Species</w:t>
        </w:r>
      </w:hyperlink>
      <w:r>
        <w:t xml:space="preserve"> </w:t>
      </w:r>
      <w:r>
        <w:t xml:space="preserve">apps follow.</w:t>
      </w:r>
    </w:p>
    <w:bookmarkEnd w:id="684"/>
    <w:bookmarkEnd w:id="685"/>
    <w:bookmarkStart w:id="686" w:name="X4eaadc67ee6ed443c6bf2bdc119d4ee4ef457d6"/>
    <w:p>
      <w:pPr>
        <w:pStyle w:val="Heading1"/>
      </w:pPr>
      <w:r>
        <w:t xml:space="preserve">Appendix B — Scores — mapper of aggregate sensitivity scores</w:t>
      </w:r>
    </w:p>
    <w:bookmarkEnd w:id="686"/>
    <w:bookmarkStart w:id="705" w:name="sec-app-scores"/>
    <w:p>
      <w:pPr>
        <w:pStyle w:val="Heading1"/>
      </w:pPr>
      <w:r>
        <w:t xml:space="preserve">Appendix B — Scores</w:t>
      </w:r>
    </w:p>
    <w:bookmarkStart w:id="695" w:name="overview-2"/>
    <w:p>
      <w:pPr>
        <w:pStyle w:val="Heading2"/>
      </w:pPr>
      <w:r>
        <w:t xml:space="preserve">B.1 Overview</w:t>
      </w:r>
    </w:p>
    <w:p>
      <w:pPr>
        <w:pStyle w:val="FirstParagraph"/>
      </w:pPr>
      <w:r>
        <w:t xml:space="preserve">The</w:t>
      </w:r>
      <w:r>
        <w:t xml:space="preserve"> </w:t>
      </w:r>
      <w:r>
        <w:rPr>
          <w:b/>
          <w:bCs/>
        </w:rPr>
        <w:t xml:space="preserve">Scores</w:t>
      </w:r>
      <w:r>
        <w:t xml:space="preserve"> </w:t>
      </w:r>
      <w:r>
        <w:t xml:space="preserve">application (</w:t>
      </w:r>
      <w:hyperlink r:id="rId21">
        <w:r>
          <w:rPr>
            <w:rStyle w:val="Hyperlink"/>
          </w:rPr>
          <w:t xml:space="preserve">preview.marinesensitivity.org/v7b/scores/</w:t>
        </w:r>
      </w:hyperlink>
      <w:r>
        <w:t xml:space="preserve">) is the primary interactive tool for exploring composite marine sensitivity scores. It renders</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shows v3 — defaulting to the promoted release when none is given; an older</w:t>
      </w:r>
      <w:r>
        <w:t xml:space="preserve"> </w:t>
      </w:r>
      <w:r>
        <w:rPr>
          <w:rStyle w:val="VerbatimChar"/>
        </w:rPr>
        <w:t xml:space="preserve">?ver=v3</w:t>
      </w:r>
      <w:r>
        <w:t xml:space="preserve"> </w:t>
      </w:r>
      <w:r>
        <w:t xml:space="preserve">deep link still resolves, 301’d to the equivalent path. It enables users to visualize extinction risk weighted species presence at multiple spatial resolutions, with integrated flower plot and treemap summaries.</w:t>
      </w:r>
    </w:p>
    <w:p>
      <w:pPr>
        <w:pStyle w:val="BodyText"/>
      </w:pPr>
      <w:hyperlink w:anchor="fig-scores-map">
        <w:r>
          <w:rPr>
            <w:rStyle w:val="Hyperlink"/>
          </w:rPr>
          <w:t xml:space="preserve">Figure D.1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90" w:name="fig-scores-map"/>
          <w:p>
            <w:pPr>
              <w:pStyle w:val="Compact"/>
              <w:jc w:val="center"/>
            </w:pPr>
            <w:r>
              <w:drawing>
                <wp:inline>
                  <wp:extent cx="5334000" cy="3018971"/>
                  <wp:effectExtent b="0" l="0" r="0" t="0"/>
                  <wp:docPr descr="" title="" id="688" name="Picture"/>
                  <a:graphic>
                    <a:graphicData uri="http://schemas.openxmlformats.org/drawingml/2006/picture">
                      <pic:pic>
                        <pic:nvPicPr>
                          <pic:cNvPr descr="figures/apps/scores-map.png" id="689" name="Picture"/>
                          <pic:cNvPicPr>
                            <a:picLocks noChangeArrowheads="1" noChangeAspect="1"/>
                          </pic:cNvPicPr>
                        </pic:nvPicPr>
                        <pic:blipFill>
                          <a:blip r:embed="rId687"/>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90"/>
        </w:tc>
      </w:tr>
    </w:tbl>
    <w:p>
      <w:pPr>
        <w:pStyle w:val="BodyText"/>
      </w:pPr>
      <w:hyperlink w:anchor="fig-scores-flower">
        <w:r>
          <w:rPr>
            <w:rStyle w:val="Hyperlink"/>
          </w:rPr>
          <w:t xml:space="preserve">Figure D.2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94" w:name="fig-scores-flower"/>
          <w:p>
            <w:pPr>
              <w:pStyle w:val="Compact"/>
              <w:jc w:val="center"/>
            </w:pPr>
            <w:r>
              <w:drawing>
                <wp:inline>
                  <wp:extent cx="5334000" cy="3018971"/>
                  <wp:effectExtent b="0" l="0" r="0" t="0"/>
                  <wp:docPr descr="" title="" id="692" name="Picture"/>
                  <a:graphic>
                    <a:graphicData uri="http://schemas.openxmlformats.org/drawingml/2006/picture">
                      <pic:pic>
                        <pic:nvPicPr>
                          <pic:cNvPr descr="figures/apps/scores-flower.png" id="693" name="Picture"/>
                          <pic:cNvPicPr>
                            <a:picLocks noChangeArrowheads="1" noChangeAspect="1"/>
                          </pic:cNvPicPr>
                        </pic:nvPicPr>
                        <pic:blipFill>
                          <a:blip r:embed="rId69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D.2: The Scores application showing the flower plot panel for Southern California. Petal length represents each category’s rescaled sensitivity score; petal width represents its weight. The center value (29) is the weighted mean across all categories.</w:t>
            </w:r>
          </w:p>
          <w:bookmarkEnd w:id="694"/>
        </w:tc>
      </w:tr>
    </w:tbl>
    <w:bookmarkEnd w:id="695"/>
    <w:bookmarkStart w:id="701" w:name="features"/>
    <w:p>
      <w:pPr>
        <w:pStyle w:val="Heading2"/>
      </w:pPr>
      <w:r>
        <w:t xml:space="preserve">B.2 Features</w:t>
      </w:r>
    </w:p>
    <w:bookmarkStart w:id="696" w:name="map-display"/>
    <w:p>
      <w:pPr>
        <w:pStyle w:val="Heading3"/>
      </w:pPr>
      <w:r>
        <w:t xml:space="preserve">B.2.1 Map Display</w:t>
      </w:r>
    </w:p>
    <w:p>
      <w:pPr>
        <w:pStyle w:val="Compact"/>
        <w:numPr>
          <w:ilvl w:val="0"/>
          <w:numId w:val="1064"/>
        </w:numPr>
      </w:pPr>
      <w:r>
        <w:rPr>
          <w:b/>
          <w:bCs/>
        </w:rPr>
        <w:t xml:space="preserve">Cell-level view</w:t>
      </w:r>
      <w:r>
        <w:t xml:space="preserve">: 0.05° grid cells colored by sensitivity score for the selected metric</w:t>
      </w:r>
    </w:p>
    <w:p>
      <w:pPr>
        <w:pStyle w:val="Compact"/>
        <w:numPr>
          <w:ilvl w:val="0"/>
          <w:numId w:val="1064"/>
        </w:numPr>
      </w:pPr>
      <w:r>
        <w:rPr>
          <w:b/>
          <w:bCs/>
        </w:rPr>
        <w:t xml:space="preserve">Program area view</w:t>
      </w:r>
      <w:r>
        <w:t xml:space="preserve">: aggregated scores by BOEM Program Area, with boundaries overlaid</w:t>
      </w:r>
    </w:p>
    <w:p>
      <w:pPr>
        <w:pStyle w:val="Compact"/>
        <w:numPr>
          <w:ilvl w:val="0"/>
          <w:numId w:val="1064"/>
        </w:numPr>
      </w:pPr>
      <w:r>
        <w:rPr>
          <w:b/>
          <w:bCs/>
        </w:rPr>
        <w:t xml:space="preserve">Base maps</w:t>
      </w:r>
      <w:r>
        <w:t xml:space="preserve">: multiple MapBox base layers (satellite, streets, light, dark)</w:t>
      </w:r>
    </w:p>
    <w:p>
      <w:pPr>
        <w:pStyle w:val="Compact"/>
        <w:numPr>
          <w:ilvl w:val="0"/>
          <w:numId w:val="1064"/>
        </w:numPr>
      </w:pPr>
      <w:r>
        <w:rPr>
          <w:b/>
          <w:bCs/>
        </w:rPr>
        <w:t xml:space="preserve">Study area selection</w:t>
      </w:r>
      <w:r>
        <w:t xml:space="preserve">: click a program area to focus the view and update summary panels</w:t>
      </w:r>
    </w:p>
    <w:bookmarkEnd w:id="696"/>
    <w:bookmarkStart w:id="697" w:name="sensitivity-metrics"/>
    <w:p>
      <w:pPr>
        <w:pStyle w:val="Heading3"/>
      </w:pPr>
      <w:r>
        <w:t xml:space="preserve">B.2.2 Sensitivity Metrics</w:t>
      </w:r>
    </w:p>
    <w:p>
      <w:pPr>
        <w:pStyle w:val="FirstParagraph"/>
      </w:pPr>
      <w:r>
        <w:t xml:space="preserve">The map can display any of the following layers:</w:t>
      </w:r>
    </w:p>
    <w:p>
      <w:pPr>
        <w:pStyle w:val="Compact"/>
        <w:numPr>
          <w:ilvl w:val="0"/>
          <w:numId w:val="1065"/>
        </w:numPr>
      </w:pPr>
      <w:r>
        <w:t xml:space="preserve">Composite extinction risk (weighted sum across all species categories)</w:t>
      </w:r>
    </w:p>
    <w:p>
      <w:pPr>
        <w:pStyle w:val="Compact"/>
        <w:numPr>
          <w:ilvl w:val="0"/>
          <w:numId w:val="1065"/>
        </w:numPr>
      </w:pPr>
      <w:r>
        <w:t xml:space="preserve">Individual category scores, one per scored species category in the release being viewed</w:t>
      </w:r>
    </w:p>
    <w:p>
      <w:pPr>
        <w:pStyle w:val="Compact"/>
        <w:numPr>
          <w:ilvl w:val="0"/>
          <w:numId w:val="1065"/>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7"/>
    <w:bookmarkStart w:id="698" w:name="flower-plot-1"/>
    <w:p>
      <w:pPr>
        <w:pStyle w:val="Heading3"/>
      </w:pPr>
      <w:r>
        <w:t xml:space="preserve">B.2.3 Flower Plot</w:t>
      </w:r>
    </w:p>
    <w:p>
      <w:pPr>
        <w:pStyle w:val="FirstParagraph"/>
      </w:pPr>
      <w:r>
        <w:t xml:space="preserve">Selecting a program area displays a flower plot summarizing the sensitivity profile:</w:t>
      </w:r>
    </w:p>
    <w:p>
      <w:pPr>
        <w:pStyle w:val="Compact"/>
        <w:numPr>
          <w:ilvl w:val="0"/>
          <w:numId w:val="1066"/>
        </w:numPr>
      </w:pPr>
      <w:r>
        <w:t xml:space="preserve">Each petal represents a species category</w:t>
      </w:r>
    </w:p>
    <w:p>
      <w:pPr>
        <w:pStyle w:val="Compact"/>
        <w:numPr>
          <w:ilvl w:val="0"/>
          <w:numId w:val="1066"/>
        </w:numPr>
      </w:pPr>
      <w:r>
        <w:t xml:space="preserve">Petal length = rescaled sensitivity score (0–100)</w:t>
      </w:r>
    </w:p>
    <w:p>
      <w:pPr>
        <w:pStyle w:val="Compact"/>
        <w:numPr>
          <w:ilvl w:val="0"/>
          <w:numId w:val="1066"/>
        </w:numPr>
      </w:pPr>
      <w:r>
        <w:t xml:space="preserve">Petal width = category weight</w:t>
      </w:r>
    </w:p>
    <w:p>
      <w:pPr>
        <w:pStyle w:val="Compact"/>
        <w:numPr>
          <w:ilvl w:val="0"/>
          <w:numId w:val="1066"/>
        </w:numPr>
      </w:pPr>
      <w:r>
        <w:t xml:space="preserve">Center value = weighted mean across categories</w:t>
      </w:r>
    </w:p>
    <w:bookmarkEnd w:id="698"/>
    <w:bookmarkStart w:id="699" w:name="species-table"/>
    <w:p>
      <w:pPr>
        <w:pStyle w:val="Heading3"/>
      </w:pPr>
      <w:r>
        <w:t xml:space="preserve">B.2.4 Species Table</w:t>
      </w:r>
    </w:p>
    <w:p>
      <w:pPr>
        <w:pStyle w:val="FirstParagraph"/>
      </w:pPr>
      <w:r>
        <w:t xml:space="preserve">A sortable table of all valid species present in the selected area, showing:</w:t>
      </w:r>
    </w:p>
    <w:p>
      <w:pPr>
        <w:pStyle w:val="Compact"/>
        <w:numPr>
          <w:ilvl w:val="0"/>
          <w:numId w:val="1067"/>
        </w:numPr>
      </w:pPr>
      <w:r>
        <w:t xml:space="preserve">Scientific and common name</w:t>
      </w:r>
    </w:p>
    <w:p>
      <w:pPr>
        <w:pStyle w:val="Compact"/>
        <w:numPr>
          <w:ilvl w:val="0"/>
          <w:numId w:val="1067"/>
        </w:numPr>
      </w:pPr>
      <w:r>
        <w:t xml:space="preserve">Species category</w:t>
      </w:r>
    </w:p>
    <w:p>
      <w:pPr>
        <w:pStyle w:val="Compact"/>
        <w:numPr>
          <w:ilvl w:val="0"/>
          <w:numId w:val="1067"/>
        </w:numPr>
      </w:pPr>
      <w:r>
        <w:t xml:space="preserve">ESA listing, IUCN Red List status</w:t>
      </w:r>
    </w:p>
    <w:p>
      <w:pPr>
        <w:pStyle w:val="Compact"/>
        <w:numPr>
          <w:ilvl w:val="0"/>
          <w:numId w:val="1067"/>
        </w:numPr>
      </w:pPr>
      <w:r>
        <w:t xml:space="preserve">MMPA/MBTA protection flags</w:t>
      </w:r>
    </w:p>
    <w:p>
      <w:pPr>
        <w:pStyle w:val="Compact"/>
        <w:numPr>
          <w:ilvl w:val="0"/>
          <w:numId w:val="1067"/>
        </w:numPr>
      </w:pPr>
      <w:r>
        <w:t xml:space="preserve">Extinction risk score</w:t>
      </w:r>
    </w:p>
    <w:bookmarkEnd w:id="699"/>
    <w:bookmarkStart w:id="700" w:name="data-export"/>
    <w:p>
      <w:pPr>
        <w:pStyle w:val="Heading3"/>
      </w:pPr>
      <w:r>
        <w:t xml:space="preserve">B.2.5 Data Export</w:t>
      </w:r>
    </w:p>
    <w:p>
      <w:pPr>
        <w:pStyle w:val="FirstParagraph"/>
      </w:pPr>
      <w:r>
        <w:t xml:space="preserve">Users can download CSV files of scores and species lists for the selected program area or custom area of interest.</w:t>
      </w:r>
    </w:p>
    <w:bookmarkEnd w:id="700"/>
    <w:bookmarkEnd w:id="701"/>
    <w:bookmarkStart w:id="702" w:name="generating-screenshots-1"/>
    <w:p>
      <w:pPr>
        <w:pStyle w:val="Heading2"/>
      </w:pPr>
      <w:r>
        <w:t xml:space="preserve">B.3 Generating Screenshots</w:t>
      </w:r>
    </w:p>
    <w:bookmarkEnd w:id="702"/>
    <w:bookmarkStart w:id="704" w:name="source-code-1"/>
    <w:p>
      <w:pPr>
        <w:pStyle w:val="Heading2"/>
      </w:pPr>
      <w:r>
        <w:t xml:space="preserve">B.4 Source Code</w:t>
      </w:r>
    </w:p>
    <w:p>
      <w:pPr>
        <w:pStyle w:val="FirstParagraph"/>
      </w:pPr>
      <w:hyperlink r:id="rId703">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are retired and their URLs 301 to the equivalent</w:t>
      </w:r>
      <w:r>
        <w:t xml:space="preserve"> </w:t>
      </w:r>
      <w:r>
        <w:rPr>
          <w:rStyle w:val="VerbatimChar"/>
        </w:rPr>
        <w:t xml:space="preserve">/v{n}/scores/</w:t>
      </w:r>
      <w:r>
        <w:t xml:space="preserve"> </w:t>
      </w:r>
      <w:r>
        <w:t xml:space="preserve">path (an older</w:t>
      </w:r>
      <w:r>
        <w:t xml:space="preserve"> </w:t>
      </w:r>
      <w:r>
        <w:rPr>
          <w:rStyle w:val="VerbatimChar"/>
        </w:rPr>
        <w:t xml:space="preserve">?ver=</w:t>
      </w:r>
      <w:r>
        <w:t xml:space="preserve"> </w:t>
      </w:r>
      <w:r>
        <w:t xml:space="preserve">deep link 301s the same way).</w:t>
      </w:r>
    </w:p>
    <w:bookmarkEnd w:id="704"/>
    <w:bookmarkEnd w:id="705"/>
    <w:bookmarkStart w:id="706" w:name="Xfe80caef9827b01f03a068b47e47bed21825025"/>
    <w:p>
      <w:pPr>
        <w:pStyle w:val="Heading1"/>
      </w:pPr>
      <w:r>
        <w:t xml:space="preserve">Appendix C — Species — mapper of individual species distributions</w:t>
      </w:r>
    </w:p>
    <w:bookmarkEnd w:id="706"/>
    <w:bookmarkStart w:id="720" w:name="sec-app-species"/>
    <w:p>
      <w:pPr>
        <w:pStyle w:val="Heading1"/>
      </w:pPr>
      <w:r>
        <w:t xml:space="preserve">Appendix C — Species</w:t>
      </w:r>
    </w:p>
    <w:bookmarkStart w:id="711" w:name="overview-3"/>
    <w:p>
      <w:pPr>
        <w:pStyle w:val="Heading2"/>
      </w:pPr>
      <w:r>
        <w:t xml:space="preserve">C.1 Overview</w:t>
      </w:r>
    </w:p>
    <w:p>
      <w:pPr>
        <w:pStyle w:val="FirstParagraph"/>
      </w:pPr>
      <w:r>
        <w:t xml:space="preserve">The</w:t>
      </w:r>
      <w:r>
        <w:t xml:space="preserve"> </w:t>
      </w:r>
      <w:r>
        <w:rPr>
          <w:b/>
          <w:bCs/>
        </w:rPr>
        <w:t xml:space="preserve">Species</w:t>
      </w:r>
      <w:r>
        <w:t xml:space="preserve"> </w:t>
      </w:r>
      <w:r>
        <w:t xml:space="preserve">application (</w:t>
      </w:r>
      <w:hyperlink r:id="rId22">
        <w:r>
          <w:rPr>
            <w:rStyle w:val="Hyperlink"/>
          </w:rPr>
          <w:t xml:space="preserve">preview.marinesensitivity.org/v7b/species/</w:t>
        </w:r>
      </w:hyperlink>
      <w:r>
        <w:t xml:space="preserve">) enables exploration of individual species distribution models. Like the Scores app it renders</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shows v3; an older</w:t>
      </w:r>
      <w:r>
        <w:t xml:space="preserve"> </w:t>
      </w:r>
      <w:r>
        <w:rPr>
          <w:rStyle w:val="VerbatimChar"/>
        </w:rPr>
        <w:t xml:space="preserve">?ver=v3</w:t>
      </w:r>
      <w:r>
        <w:t xml:space="preserve"> </w:t>
      </w:r>
      <w:r>
        <w:t xml:space="preserve">deep link still resolves, 301’d to the equivalent path. Users can view merged and source-level models, compare masked vs. unmasked distributions, and access detailed species regulatory status information.</w:t>
      </w:r>
    </w:p>
    <w:p>
      <w:pPr>
        <w:pStyle w:val="BodyText"/>
      </w:pPr>
      <w:hyperlink w:anchor="fig-species-blue-whale">
        <w:r>
          <w:rPr>
            <w:rStyle w:val="Hyperlink"/>
          </w:rPr>
          <w:t xml:space="preserve">Figure F.1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10" w:name="fig-species-blue-whale"/>
          <w:p>
            <w:pPr>
              <w:pStyle w:val="Compact"/>
              <w:jc w:val="center"/>
            </w:pPr>
            <w:r>
              <w:drawing>
                <wp:inline>
                  <wp:extent cx="5334000" cy="3018971"/>
                  <wp:effectExtent b="0" l="0" r="0" t="0"/>
                  <wp:docPr descr="" title="" id="708" name="Picture"/>
                  <a:graphic>
                    <a:graphicData uri="http://schemas.openxmlformats.org/drawingml/2006/picture">
                      <pic:pic>
                        <pic:nvPicPr>
                          <pic:cNvPr descr="figures/apps/species-blue-whale.png" id="709" name="Picture"/>
                          <pic:cNvPicPr>
                            <a:picLocks noChangeArrowheads="1" noChangeAspect="1"/>
                          </pic:cNvPicPr>
                        </pic:nvPicPr>
                        <pic:blipFill>
                          <a:blip r:embed="rId707"/>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F.1: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10"/>
        </w:tc>
      </w:tr>
    </w:tbl>
    <w:bookmarkEnd w:id="711"/>
    <w:bookmarkStart w:id="716" w:name="features-1"/>
    <w:p>
      <w:pPr>
        <w:pStyle w:val="Heading2"/>
      </w:pPr>
      <w:r>
        <w:t xml:space="preserve">C.2 Features</w:t>
      </w:r>
    </w:p>
    <w:bookmarkStart w:id="712" w:name="species-selection"/>
    <w:p>
      <w:pPr>
        <w:pStyle w:val="Heading3"/>
      </w:pPr>
      <w:r>
        <w:t xml:space="preserve">C.2.1 Species Selection</w:t>
      </w:r>
    </w:p>
    <w:p>
      <w:pPr>
        <w:pStyle w:val="Compact"/>
        <w:numPr>
          <w:ilvl w:val="0"/>
          <w:numId w:val="1068"/>
        </w:numPr>
      </w:pPr>
      <w:r>
        <w:rPr>
          <w:b/>
          <w:bCs/>
        </w:rPr>
        <w:t xml:space="preserve">Search</w:t>
      </w:r>
      <w:r>
        <w:t xml:space="preserve">: find species by common name or scientific name</w:t>
      </w:r>
    </w:p>
    <w:p>
      <w:pPr>
        <w:pStyle w:val="Compact"/>
        <w:numPr>
          <w:ilvl w:val="0"/>
          <w:numId w:val="1068"/>
        </w:numPr>
      </w:pPr>
      <w:r>
        <w:rPr>
          <w:b/>
          <w:bCs/>
        </w:rPr>
        <w:t xml:space="preserve">Category filter</w:t>
      </w:r>
      <w:r>
        <w:t xml:space="preserve">: narrow results by species category, as defined in the release being viewed</w:t>
      </w:r>
    </w:p>
    <w:p>
      <w:pPr>
        <w:pStyle w:val="Compact"/>
        <w:numPr>
          <w:ilvl w:val="0"/>
          <w:numId w:val="1068"/>
        </w:numPr>
      </w:pPr>
      <w:r>
        <w:rPr>
          <w:b/>
          <w:bCs/>
        </w:rPr>
        <w:t xml:space="preserve">Alphabetical browsing</w:t>
      </w:r>
      <w:r>
        <w:t xml:space="preserve">: scroll through species lists within each category</w:t>
      </w:r>
    </w:p>
    <w:bookmarkEnd w:id="712"/>
    <w:bookmarkStart w:id="713" w:name="model-display"/>
    <w:p>
      <w:pPr>
        <w:pStyle w:val="Heading3"/>
      </w:pPr>
      <w:r>
        <w:t xml:space="preserve">C.2.2 Model Display</w:t>
      </w:r>
    </w:p>
    <w:p>
      <w:pPr>
        <w:pStyle w:val="Compact"/>
        <w:numPr>
          <w:ilvl w:val="0"/>
          <w:numId w:val="1069"/>
        </w:numPr>
      </w:pPr>
      <w:r>
        <w:rPr>
          <w:b/>
          <w:bCs/>
        </w:rPr>
        <w:t xml:space="preserve">Merged model</w:t>
      </w:r>
      <w:r>
        <w:t xml:space="preserve">: the final merged distribution showing MAX values across all source datasets, with masking and spatial floors applied</w:t>
      </w:r>
    </w:p>
    <w:p>
      <w:pPr>
        <w:pStyle w:val="Compact"/>
        <w:numPr>
          <w:ilvl w:val="0"/>
          <w:numId w:val="1069"/>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9"/>
        </w:numPr>
      </w:pPr>
      <w:r>
        <w:rPr>
          <w:b/>
          <w:bCs/>
        </w:rPr>
        <w:t xml:space="preserve">IUCN masking toggle</w:t>
      </w:r>
      <w:r>
        <w:t xml:space="preserve">: compare the unmasked AquaMaps SDM with the masked merged model to visualize the effect of range constraints</w:t>
      </w:r>
    </w:p>
    <w:bookmarkEnd w:id="713"/>
    <w:bookmarkStart w:id="714" w:name="species-info-panel"/>
    <w:p>
      <w:pPr>
        <w:pStyle w:val="Heading3"/>
      </w:pPr>
      <w:r>
        <w:t xml:space="preserve">C.2.3 Species Info Panel</w:t>
      </w:r>
    </w:p>
    <w:p>
      <w:pPr>
        <w:pStyle w:val="FirstParagraph"/>
      </w:pPr>
      <w:r>
        <w:t xml:space="preserve">Detailed information for the selected species:</w:t>
      </w:r>
    </w:p>
    <w:p>
      <w:pPr>
        <w:pStyle w:val="Compact"/>
        <w:numPr>
          <w:ilvl w:val="0"/>
          <w:numId w:val="1070"/>
        </w:numPr>
      </w:pPr>
      <w:r>
        <w:t xml:space="preserve">Scientific name and common name</w:t>
      </w:r>
    </w:p>
    <w:p>
      <w:pPr>
        <w:pStyle w:val="Compact"/>
        <w:numPr>
          <w:ilvl w:val="0"/>
          <w:numId w:val="1070"/>
        </w:numPr>
      </w:pPr>
      <w:r>
        <w:t xml:space="preserve">Species category (bird, fish, mammal, etc.)</w:t>
      </w:r>
    </w:p>
    <w:p>
      <w:pPr>
        <w:pStyle w:val="Compact"/>
        <w:numPr>
          <w:ilvl w:val="0"/>
          <w:numId w:val="1070"/>
        </w:numPr>
      </w:pPr>
      <w:r>
        <w:t xml:space="preserve">ESA listing status (Endangered, Threatened, or not listed)</w:t>
      </w:r>
    </w:p>
    <w:p>
      <w:pPr>
        <w:pStyle w:val="Compact"/>
        <w:numPr>
          <w:ilvl w:val="0"/>
          <w:numId w:val="1070"/>
        </w:numPr>
      </w:pPr>
      <w:r>
        <w:t xml:space="preserve">IUCN Red List category</w:t>
      </w:r>
    </w:p>
    <w:p>
      <w:pPr>
        <w:pStyle w:val="Compact"/>
        <w:numPr>
          <w:ilvl w:val="0"/>
          <w:numId w:val="1070"/>
        </w:numPr>
      </w:pPr>
      <w:r>
        <w:t xml:space="preserve">MMPA protection flag</w:t>
      </w:r>
    </w:p>
    <w:p>
      <w:pPr>
        <w:pStyle w:val="Compact"/>
        <w:numPr>
          <w:ilvl w:val="0"/>
          <w:numId w:val="1070"/>
        </w:numPr>
      </w:pPr>
      <w:r>
        <w:t xml:space="preserve">MBTA protection flag</w:t>
      </w:r>
    </w:p>
    <w:p>
      <w:pPr>
        <w:pStyle w:val="Compact"/>
        <w:numPr>
          <w:ilvl w:val="0"/>
          <w:numId w:val="1070"/>
        </w:numPr>
      </w:pPr>
      <w:r>
        <w:t xml:space="preserve">Computed extinction risk score (1–100)</w:t>
      </w:r>
    </w:p>
    <w:p>
      <w:pPr>
        <w:pStyle w:val="Compact"/>
        <w:numPr>
          <w:ilvl w:val="0"/>
          <w:numId w:val="1070"/>
        </w:numPr>
      </w:pPr>
      <w:r>
        <w:t xml:space="preserve">Number of source datasets contributing to the merged model</w:t>
      </w:r>
    </w:p>
    <w:bookmarkEnd w:id="714"/>
    <w:bookmarkStart w:id="715" w:name="deep-linking"/>
    <w:p>
      <w:pPr>
        <w:pStyle w:val="Heading3"/>
      </w:pPr>
      <w:r>
        <w:t xml:space="preserve">C.2.4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5"/>
    <w:bookmarkEnd w:id="716"/>
    <w:bookmarkStart w:id="717" w:name="generating-screenshots-2"/>
    <w:p>
      <w:pPr>
        <w:pStyle w:val="Heading2"/>
      </w:pPr>
      <w:r>
        <w:t xml:space="preserve">C.3 Generating Screenshots</w:t>
      </w:r>
    </w:p>
    <w:bookmarkEnd w:id="717"/>
    <w:bookmarkStart w:id="719" w:name="source-code-2"/>
    <w:p>
      <w:pPr>
        <w:pStyle w:val="Heading2"/>
      </w:pPr>
      <w:r>
        <w:t xml:space="preserve">C.4 Source Code</w:t>
      </w:r>
    </w:p>
    <w:p>
      <w:pPr>
        <w:pStyle w:val="FirstParagraph"/>
      </w:pPr>
      <w:hyperlink r:id="rId718">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19"/>
    <w:bookmarkEnd w:id="720"/>
    <w:bookmarkStart w:id="726"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1"/>
        </w:numPr>
      </w:pPr>
      <w:hyperlink r:id="rId721">
        <w:r>
          <w:rPr>
            <w:rStyle w:val="Hyperlink"/>
          </w:rPr>
          <w:t xml:space="preserve"> </w:t>
        </w:r>
        <w:r>
          <w:rPr>
            <w:rStyle w:val="Hyperlink"/>
          </w:rPr>
          <w:t xml:space="preserve">website</w:t>
        </w:r>
      </w:hyperlink>
    </w:p>
    <w:p>
      <w:pPr>
        <w:numPr>
          <w:ilvl w:val="0"/>
          <w:numId w:val="1071"/>
        </w:numPr>
      </w:pPr>
      <w:hyperlink r:id="rId722">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724" name="Picture"/>
            <a:graphic>
              <a:graphicData uri="http://schemas.openxmlformats.org/drawingml/2006/picture">
                <pic:pic>
                  <pic:nvPicPr>
                    <pic:cNvPr descr="figures/apps/aoi.png" id="725" name="Picture"/>
                    <pic:cNvPicPr>
                      <a:picLocks noChangeArrowheads="1" noChangeAspect="1"/>
                    </pic:cNvPicPr>
                  </pic:nvPicPr>
                  <pic:blipFill>
                    <a:blip r:embed="rId723"/>
                    <a:stretch>
                      <a:fillRect/>
                    </a:stretch>
                  </pic:blipFill>
                  <pic:spPr bwMode="auto">
                    <a:xfrm>
                      <a:off x="0" y="0"/>
                      <a:ext cx="5334000" cy="2988079"/>
                    </a:xfrm>
                    <a:prstGeom prst="rect">
                      <a:avLst/>
                    </a:prstGeom>
                    <a:noFill/>
                    <a:ln w="9525">
                      <a:noFill/>
                      <a:headEnd/>
                      <a:tailEnd/>
                    </a:ln>
                  </pic:spPr>
                </pic:pic>
              </a:graphicData>
            </a:graphic>
          </wp:inline>
        </w:drawing>
      </w:r>
    </w:p>
    <w:bookmarkEnd w:id="726"/>
    <w:bookmarkStart w:id="732"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2"/>
        </w:numPr>
      </w:pPr>
      <w:hyperlink r:id="rId727">
        <w:r>
          <w:rPr>
            <w:rStyle w:val="Hyperlink"/>
          </w:rPr>
          <w:t xml:space="preserve"> </w:t>
        </w:r>
        <w:r>
          <w:rPr>
            <w:rStyle w:val="Hyperlink"/>
          </w:rPr>
          <w:t xml:space="preserve">website</w:t>
        </w:r>
      </w:hyperlink>
    </w:p>
    <w:p>
      <w:pPr>
        <w:numPr>
          <w:ilvl w:val="0"/>
          <w:numId w:val="1072"/>
        </w:numPr>
      </w:pPr>
      <w:hyperlink r:id="rId728">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730" name="Picture"/>
            <a:graphic>
              <a:graphicData uri="http://schemas.openxmlformats.org/drawingml/2006/picture">
                <pic:pic>
                  <pic:nvPicPr>
                    <pic:cNvPr descr="figures/apps/bird_hotspots.png" id="731" name="Picture"/>
                    <pic:cNvPicPr>
                      <a:picLocks noChangeArrowheads="1" noChangeAspect="1"/>
                    </pic:cNvPicPr>
                  </pic:nvPicPr>
                  <pic:blipFill>
                    <a:blip r:embed="rId729"/>
                    <a:stretch>
                      <a:fillRect/>
                    </a:stretch>
                  </pic:blipFill>
                  <pic:spPr bwMode="auto">
                    <a:xfrm>
                      <a:off x="0" y="0"/>
                      <a:ext cx="5334000" cy="2948423"/>
                    </a:xfrm>
                    <a:prstGeom prst="rect">
                      <a:avLst/>
                    </a:prstGeom>
                    <a:noFill/>
                    <a:ln w="9525">
                      <a:noFill/>
                      <a:headEnd/>
                      <a:tailEnd/>
                    </a:ln>
                  </pic:spPr>
                </pic:pic>
              </a:graphicData>
            </a:graphic>
          </wp:inline>
        </w:drawing>
      </w:r>
    </w:p>
    <w:bookmarkEnd w:id="732"/>
    <w:bookmarkStart w:id="738" w:name="regional-map"/>
    <w:p>
      <w:pPr>
        <w:pStyle w:val="Heading1"/>
      </w:pPr>
      <w:r>
        <w:t xml:space="preserve">Regional Map</w:t>
      </w:r>
    </w:p>
    <w:p>
      <w:pPr>
        <w:pStyle w:val="FirstParagraph"/>
      </w:pPr>
      <w:r>
        <w:t xml:space="preserve">Basic interactive map of BOEM regions.</w:t>
      </w:r>
    </w:p>
    <w:p>
      <w:pPr>
        <w:numPr>
          <w:ilvl w:val="0"/>
          <w:numId w:val="1073"/>
        </w:numPr>
      </w:pPr>
      <w:hyperlink r:id="rId733">
        <w:r>
          <w:rPr>
            <w:rStyle w:val="Hyperlink"/>
          </w:rPr>
          <w:t xml:space="preserve"> </w:t>
        </w:r>
        <w:r>
          <w:rPr>
            <w:rStyle w:val="Hyperlink"/>
          </w:rPr>
          <w:t xml:space="preserve">website</w:t>
        </w:r>
      </w:hyperlink>
    </w:p>
    <w:p>
      <w:pPr>
        <w:numPr>
          <w:ilvl w:val="0"/>
          <w:numId w:val="1073"/>
        </w:numPr>
      </w:pPr>
      <w:hyperlink r:id="rId734">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736" name="Picture"/>
            <a:graphic>
              <a:graphicData uri="http://schemas.openxmlformats.org/drawingml/2006/picture">
                <pic:pic>
                  <pic:nvPicPr>
                    <pic:cNvPr descr="figures/apps/map.png" id="737" name="Picture"/>
                    <pic:cNvPicPr>
                      <a:picLocks noChangeArrowheads="1" noChangeAspect="1"/>
                    </pic:cNvPicPr>
                  </pic:nvPicPr>
                  <pic:blipFill>
                    <a:blip r:embed="rId735"/>
                    <a:stretch>
                      <a:fillRect/>
                    </a:stretch>
                  </pic:blipFill>
                  <pic:spPr bwMode="auto">
                    <a:xfrm>
                      <a:off x="0" y="0"/>
                      <a:ext cx="5334000" cy="3012314"/>
                    </a:xfrm>
                    <a:prstGeom prst="rect">
                      <a:avLst/>
                    </a:prstGeom>
                    <a:noFill/>
                    <a:ln w="9525">
                      <a:noFill/>
                      <a:headEnd/>
                      <a:tailEnd/>
                    </a:ln>
                  </pic:spPr>
                </pic:pic>
              </a:graphicData>
            </a:graphic>
          </wp:inline>
        </w:drawing>
      </w:r>
    </w:p>
    <w:bookmarkEnd w:id="738"/>
    <w:bookmarkStart w:id="743"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4"/>
        </w:numPr>
      </w:pPr>
      <w:hyperlink r:id="rId739">
        <w:r>
          <w:rPr>
            <w:rStyle w:val="Hyperlink"/>
          </w:rPr>
          <w:t xml:space="preserve"> </w:t>
        </w:r>
        <w:r>
          <w:rPr>
            <w:rStyle w:val="Hyperlink"/>
          </w:rPr>
          <w:t xml:space="preserve">website</w:t>
        </w:r>
      </w:hyperlink>
    </w:p>
    <w:p>
      <w:pPr>
        <w:numPr>
          <w:ilvl w:val="0"/>
          <w:numId w:val="1074"/>
        </w:numPr>
      </w:pPr>
      <w:hyperlink r:id="rId703">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741" name="Picture"/>
            <a:graphic>
              <a:graphicData uri="http://schemas.openxmlformats.org/drawingml/2006/picture">
                <pic:pic>
                  <pic:nvPicPr>
                    <pic:cNvPr descr="figures/apps/scores_0.png" id="742" name="Picture"/>
                    <pic:cNvPicPr>
                      <a:picLocks noChangeArrowheads="1" noChangeAspect="1"/>
                    </pic:cNvPicPr>
                  </pic:nvPicPr>
                  <pic:blipFill>
                    <a:blip r:embed="rId740"/>
                    <a:stretch>
                      <a:fillRect/>
                    </a:stretch>
                  </pic:blipFill>
                  <pic:spPr bwMode="auto">
                    <a:xfrm>
                      <a:off x="0" y="0"/>
                      <a:ext cx="5334000" cy="3018971"/>
                    </a:xfrm>
                    <a:prstGeom prst="rect">
                      <a:avLst/>
                    </a:prstGeom>
                    <a:noFill/>
                    <a:ln w="9525">
                      <a:noFill/>
                      <a:headEnd/>
                      <a:tailEnd/>
                    </a:ln>
                  </pic:spPr>
                </pic:pic>
              </a:graphicData>
            </a:graphic>
          </wp:inline>
        </w:drawing>
      </w:r>
    </w:p>
    <w:bookmarkEnd w:id="743"/>
    <w:bookmarkStart w:id="749"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5"/>
        </w:numPr>
      </w:pPr>
      <w:hyperlink r:id="rId744">
        <w:r>
          <w:rPr>
            <w:rStyle w:val="Hyperlink"/>
          </w:rPr>
          <w:t xml:space="preserve"> </w:t>
        </w:r>
        <w:r>
          <w:rPr>
            <w:rStyle w:val="Hyperlink"/>
          </w:rPr>
          <w:t xml:space="preserve">website</w:t>
        </w:r>
      </w:hyperlink>
    </w:p>
    <w:p>
      <w:pPr>
        <w:numPr>
          <w:ilvl w:val="0"/>
          <w:numId w:val="1075"/>
        </w:numPr>
      </w:pPr>
      <w:hyperlink r:id="rId745">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747" name="Picture"/>
            <a:graphic>
              <a:graphicData uri="http://schemas.openxmlformats.org/drawingml/2006/picture">
                <pic:pic>
                  <pic:nvPicPr>
                    <pic:cNvPr descr="figures/apps/sdm.png" id="748" name="Picture"/>
                    <pic:cNvPicPr>
                      <a:picLocks noChangeArrowheads="1" noChangeAspect="1"/>
                    </pic:cNvPicPr>
                  </pic:nvPicPr>
                  <pic:blipFill>
                    <a:blip r:embed="rId746"/>
                    <a:stretch>
                      <a:fillRect/>
                    </a:stretch>
                  </pic:blipFill>
                  <pic:spPr bwMode="auto">
                    <a:xfrm>
                      <a:off x="0" y="0"/>
                      <a:ext cx="5334000" cy="2983171"/>
                    </a:xfrm>
                    <a:prstGeom prst="rect">
                      <a:avLst/>
                    </a:prstGeom>
                    <a:noFill/>
                    <a:ln w="9525">
                      <a:noFill/>
                      <a:headEnd/>
                      <a:tailEnd/>
                    </a:ln>
                  </pic:spPr>
                </pic:pic>
              </a:graphicData>
            </a:graphic>
          </wp:inline>
        </w:drawing>
      </w:r>
    </w:p>
    <w:bookmarkEnd w:id="749"/>
    <w:bookmarkStart w:id="755"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6"/>
        </w:numPr>
      </w:pPr>
      <w:hyperlink r:id="rId750">
        <w:r>
          <w:rPr>
            <w:rStyle w:val="Hyperlink"/>
          </w:rPr>
          <w:t xml:space="preserve"> </w:t>
        </w:r>
        <w:r>
          <w:rPr>
            <w:rStyle w:val="Hyperlink"/>
          </w:rPr>
          <w:t xml:space="preserve">website</w:t>
        </w:r>
      </w:hyperlink>
    </w:p>
    <w:p>
      <w:pPr>
        <w:numPr>
          <w:ilvl w:val="0"/>
          <w:numId w:val="1076"/>
        </w:numPr>
      </w:pPr>
      <w:hyperlink r:id="rId751">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753" name="Picture"/>
            <a:graphic>
              <a:graphicData uri="http://schemas.openxmlformats.org/drawingml/2006/picture">
                <pic:pic>
                  <pic:nvPicPr>
                    <pic:cNvPr descr="figures/apps/sdm-cog.png" id="754" name="Picture"/>
                    <pic:cNvPicPr>
                      <a:picLocks noChangeArrowheads="1" noChangeAspect="1"/>
                    </pic:cNvPicPr>
                  </pic:nvPicPr>
                  <pic:blipFill>
                    <a:blip r:embed="rId752"/>
                    <a:stretch>
                      <a:fillRect/>
                    </a:stretch>
                  </pic:blipFill>
                  <pic:spPr bwMode="auto">
                    <a:xfrm>
                      <a:off x="0" y="0"/>
                      <a:ext cx="5334000" cy="2951752"/>
                    </a:xfrm>
                    <a:prstGeom prst="rect">
                      <a:avLst/>
                    </a:prstGeom>
                    <a:noFill/>
                    <a:ln w="9525">
                      <a:noFill/>
                      <a:headEnd/>
                      <a:tailEnd/>
                    </a:ln>
                  </pic:spPr>
                </pic:pic>
              </a:graphicData>
            </a:graphic>
          </wp:inline>
        </w:drawing>
      </w:r>
    </w:p>
    <w:bookmarkEnd w:id="755"/>
    <w:bookmarkStart w:id="761"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7"/>
        </w:numPr>
      </w:pPr>
      <w:hyperlink r:id="rId756">
        <w:r>
          <w:rPr>
            <w:rStyle w:val="Hyperlink"/>
          </w:rPr>
          <w:t xml:space="preserve"> </w:t>
        </w:r>
        <w:r>
          <w:rPr>
            <w:rStyle w:val="Hyperlink"/>
          </w:rPr>
          <w:t xml:space="preserve">website</w:t>
        </w:r>
      </w:hyperlink>
    </w:p>
    <w:p>
      <w:pPr>
        <w:numPr>
          <w:ilvl w:val="0"/>
          <w:numId w:val="1077"/>
        </w:numPr>
      </w:pPr>
      <w:hyperlink r:id="rId757">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759" name="Picture"/>
            <a:graphic>
              <a:graphicData uri="http://schemas.openxmlformats.org/drawingml/2006/picture">
                <pic:pic>
                  <pic:nvPicPr>
                    <pic:cNvPr descr="figures/apps/vmap.png" id="760" name="Picture"/>
                    <pic:cNvPicPr>
                      <a:picLocks noChangeArrowheads="1" noChangeAspect="1"/>
                    </pic:cNvPicPr>
                  </pic:nvPicPr>
                  <pic:blipFill>
                    <a:blip r:embed="rId758"/>
                    <a:stretch>
                      <a:fillRect/>
                    </a:stretch>
                  </pic:blipFill>
                  <pic:spPr bwMode="auto">
                    <a:xfrm>
                      <a:off x="0" y="0"/>
                      <a:ext cx="5334000" cy="2955021"/>
                    </a:xfrm>
                    <a:prstGeom prst="rect">
                      <a:avLst/>
                    </a:prstGeom>
                    <a:noFill/>
                    <a:ln w="9525">
                      <a:noFill/>
                      <a:headEnd/>
                      <a:tailEnd/>
                    </a:ln>
                  </pic:spPr>
                </pic:pic>
              </a:graphicData>
            </a:graphic>
          </wp:inline>
        </w:drawing>
      </w:r>
    </w:p>
    <w:bookmarkEnd w:id="7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13" Target="media/rId13.png" /><Relationship Type="http://schemas.openxmlformats.org/officeDocument/2006/relationships/image" Id="rId112" Target="media/rId112.png" /><Relationship Type="http://schemas.openxmlformats.org/officeDocument/2006/relationships/image" Id="rId52" Target="media/rId52.png" /><Relationship Type="http://schemas.openxmlformats.org/officeDocument/2006/relationships/image" Id="rId414" Target="media/rId414.png" /><Relationship Type="http://schemas.openxmlformats.org/officeDocument/2006/relationships/image" Id="rId450" Target="media/rId450.png" /><Relationship Type="http://schemas.openxmlformats.org/officeDocument/2006/relationships/image" Id="rId474" Target="media/rId474.png" /><Relationship Type="http://schemas.openxmlformats.org/officeDocument/2006/relationships/image" Id="rId479" Target="media/rId479.png" /><Relationship Type="http://schemas.openxmlformats.org/officeDocument/2006/relationships/image" Id="rId484" Target="media/rId484.png" /><Relationship Type="http://schemas.openxmlformats.org/officeDocument/2006/relationships/image" Id="rId489" Target="media/rId489.png" /><Relationship Type="http://schemas.openxmlformats.org/officeDocument/2006/relationships/image" Id="rId494" Target="media/rId494.png" /><Relationship Type="http://schemas.openxmlformats.org/officeDocument/2006/relationships/image" Id="rId499" Target="media/rId499.png" /><Relationship Type="http://schemas.openxmlformats.org/officeDocument/2006/relationships/image" Id="rId504" Target="media/rId504.png" /><Relationship Type="http://schemas.openxmlformats.org/officeDocument/2006/relationships/image" Id="rId509" Target="media/rId509.png" /><Relationship Type="http://schemas.openxmlformats.org/officeDocument/2006/relationships/image" Id="rId514" Target="media/rId514.png" /><Relationship Type="http://schemas.openxmlformats.org/officeDocument/2006/relationships/image" Id="rId519" Target="media/rId519.png" /><Relationship Type="http://schemas.openxmlformats.org/officeDocument/2006/relationships/image" Id="rId524" Target="media/rId524.png" /><Relationship Type="http://schemas.openxmlformats.org/officeDocument/2006/relationships/image" Id="rId530" Target="media/rId530.png" /><Relationship Type="http://schemas.openxmlformats.org/officeDocument/2006/relationships/image" Id="rId535" Target="media/rId535.png" /><Relationship Type="http://schemas.openxmlformats.org/officeDocument/2006/relationships/image" Id="rId540" Target="media/rId540.png" /><Relationship Type="http://schemas.openxmlformats.org/officeDocument/2006/relationships/image" Id="rId545" Target="media/rId545.png" /><Relationship Type="http://schemas.openxmlformats.org/officeDocument/2006/relationships/image" Id="rId550" Target="media/rId550.png" /><Relationship Type="http://schemas.openxmlformats.org/officeDocument/2006/relationships/image" Id="rId723" Target="media/rId723.png" /><Relationship Type="http://schemas.openxmlformats.org/officeDocument/2006/relationships/image" Id="rId729" Target="media/rId729.png" /><Relationship Type="http://schemas.openxmlformats.org/officeDocument/2006/relationships/image" Id="rId735" Target="media/rId735.png" /><Relationship Type="http://schemas.openxmlformats.org/officeDocument/2006/relationships/image" Id="rId691" Target="media/rId691.png" /><Relationship Type="http://schemas.openxmlformats.org/officeDocument/2006/relationships/image" Id="rId687" Target="media/rId687.png" /><Relationship Type="http://schemas.openxmlformats.org/officeDocument/2006/relationships/image" Id="rId740" Target="media/rId740.png" /><Relationship Type="http://schemas.openxmlformats.org/officeDocument/2006/relationships/image" Id="rId752" Target="media/rId752.png" /><Relationship Type="http://schemas.openxmlformats.org/officeDocument/2006/relationships/image" Id="rId746" Target="media/rId746.png" /><Relationship Type="http://schemas.openxmlformats.org/officeDocument/2006/relationships/image" Id="rId707" Target="media/rId707.png" /><Relationship Type="http://schemas.openxmlformats.org/officeDocument/2006/relationships/image" Id="rId758" Target="media/rId758.png" /><Relationship Type="http://schemas.openxmlformats.org/officeDocument/2006/relationships/image" Id="rId266" Target="media/rId266.png" /><Relationship Type="http://schemas.openxmlformats.org/officeDocument/2006/relationships/image" Id="rId288" Target="media/rId288.png" /><Relationship Type="http://schemas.openxmlformats.org/officeDocument/2006/relationships/image" Id="rId334" Target="media/rId334.png" /><Relationship Type="http://schemas.openxmlformats.org/officeDocument/2006/relationships/image" Id="rId121" Target="media/rId121.png" /><Relationship Type="http://schemas.openxmlformats.org/officeDocument/2006/relationships/image" Id="rId16" Target="media/rId16.sv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370" Target="media/rId370.png" /><Relationship Type="http://schemas.openxmlformats.org/officeDocument/2006/relationships/image" Id="rId271" Target="media/rId271.png" /><Relationship Type="http://schemas.openxmlformats.org/officeDocument/2006/relationships/image" Id="rId275" Target="media/rId275.png" /><Relationship Type="http://schemas.openxmlformats.org/officeDocument/2006/relationships/image" Id="rId166" Target="media/rId166.jpg" /><Relationship Type="http://schemas.openxmlformats.org/officeDocument/2006/relationships/image" Id="rId638" Target="media/rId638.png" /><Relationship Type="http://schemas.openxmlformats.org/officeDocument/2006/relationships/image" Id="rId654" Target="media/rId654.png" /><Relationship Type="http://schemas.openxmlformats.org/officeDocument/2006/relationships/image" Id="rId624" Target="media/rId624.png" /><Relationship Type="http://schemas.openxmlformats.org/officeDocument/2006/relationships/image" Id="rId609" Target="media/rId609.png" /><Relationship Type="http://schemas.openxmlformats.org/officeDocument/2006/relationships/image" Id="rId634" Target="media/rId634.png" /><Relationship Type="http://schemas.openxmlformats.org/officeDocument/2006/relationships/image" Id="rId667" Target="media/rId667.png" /><Relationship Type="http://schemas.openxmlformats.org/officeDocument/2006/relationships/image" Id="rId663" Target="media/rId663.png" /><Relationship Type="http://schemas.openxmlformats.org/officeDocument/2006/relationships/image" Id="rId645" Target="media/rId645.png" /><Relationship Type="http://schemas.openxmlformats.org/officeDocument/2006/relationships/image" Id="rId649" Target="media/rId649.png" /><Relationship Type="http://schemas.openxmlformats.org/officeDocument/2006/relationships/image" Id="rId629" Target="media/rId629.png" /><Relationship Type="http://schemas.openxmlformats.org/officeDocument/2006/relationships/image" Id="rId658" Target="media/rId658.png" /><Relationship Type="http://schemas.openxmlformats.org/officeDocument/2006/relationships/image" Id="rId676" Target="media/rId676.png" /><Relationship Type="http://schemas.openxmlformats.org/officeDocument/2006/relationships/image" Id="rId613" Target="media/rId613.png" /><Relationship Type="http://schemas.openxmlformats.org/officeDocument/2006/relationships/image" Id="rId617" Target="media/rId617.png" /><Relationship Type="http://schemas.openxmlformats.org/officeDocument/2006/relationships/image" Id="rId9" Target="media/rId9.svg" /><Relationship Type="http://schemas.openxmlformats.org/officeDocument/2006/relationships/image" Id="rId39" Target="media/rId39.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5" Target="media/rId45.png" /><Relationship Type="http://schemas.openxmlformats.org/officeDocument/2006/relationships/image" Id="rId219" Target="media/rId219.png" /><Relationship Type="http://schemas.openxmlformats.org/officeDocument/2006/relationships/image" Id="rId308" Target="media/rId308.png" /><Relationship Type="http://schemas.openxmlformats.org/officeDocument/2006/relationships/image" Id="rId300" Target="media/rId300.png" /><Relationship Type="http://schemas.openxmlformats.org/officeDocument/2006/relationships/image" Id="rId325" Target="media/rId325.png" /><Relationship Type="http://schemas.openxmlformats.org/officeDocument/2006/relationships/image" Id="rId320" Target="media/rId320.png" /><Relationship Type="http://schemas.openxmlformats.org/officeDocument/2006/relationships/image" Id="rId314" Target="media/rId314.png" /><Relationship Type="http://schemas.openxmlformats.org/officeDocument/2006/relationships/hyperlink" Id="rId604" Target="MarineBON.org" TargetMode="External" /><Relationship Type="http://schemas.openxmlformats.org/officeDocument/2006/relationships/hyperlink" Id="rId470" Target="apps/scores.qmd" TargetMode="External" /><Relationship Type="http://schemas.openxmlformats.org/officeDocument/2006/relationships/hyperlink" Id="rId471" Target="apps/species.qmd" TargetMode="External" /><Relationship Type="http://schemas.openxmlformats.org/officeDocument/2006/relationships/hyperlink" Id="rId150" Target="http://datazone.birdlife.org/species/requestdis" TargetMode="External" /><Relationship Type="http://schemas.openxmlformats.org/officeDocument/2006/relationships/hyperlink" Id="rId165" Target="http://sites.science.oregonstate.edu/ocean.productivity" TargetMode="External" /><Relationship Type="http://schemas.openxmlformats.org/officeDocument/2006/relationships/hyperlink" Id="rId569" Target="https://CRAN.R-project.org/package=shiny" TargetMode="External" /><Relationship Type="http://schemas.openxmlformats.org/officeDocument/2006/relationships/hyperlink" Id="rId363" Target="https://account.squarespace.com/domains" TargetMode="External" /><Relationship Type="http://schemas.openxmlformats.org/officeDocument/2006/relationships/hyperlink" Id="rId376" Target="https://api.marinesensitivity.org" TargetMode="External" /><Relationship Type="http://schemas.openxmlformats.org/officeDocument/2006/relationships/hyperlink" Id="rId368" Target="https://app.marinesensitivity.org" TargetMode="External" /><Relationship Type="http://schemas.openxmlformats.org/officeDocument/2006/relationships/hyperlink" Id="rId84" Target="https://app.marinesensitivity.org/v3/scores/" TargetMode="External" /><Relationship Type="http://schemas.openxmlformats.org/officeDocument/2006/relationships/hyperlink" Id="rId85" Target="https://app.marinesensitivity.org/v3/species/" TargetMode="External" /><Relationship Type="http://schemas.openxmlformats.org/officeDocument/2006/relationships/hyperlink" Id="rId36" Target="https://boem.gov" TargetMode="External" /><Relationship Type="http://schemas.openxmlformats.org/officeDocument/2006/relationships/hyperlink" Id="rId427" Target="https://books.ropensci.org/targets/" TargetMode="External" /><Relationship Type="http://schemas.openxmlformats.org/officeDocument/2006/relationships/hyperlink" Id="rId345" Target="https://caddyserver.com" TargetMode="External" /><Relationship Type="http://schemas.openxmlformats.org/officeDocument/2006/relationships/hyperlink" Id="rId297" Target="https://developmentseed.org/titiler/" TargetMode="External" /><Relationship Type="http://schemas.openxmlformats.org/officeDocument/2006/relationships/hyperlink" Id="rId352" Target="https://docs.aws.amazon.com/AWSEC2/latest/UserGuide/ebs-using-volumes.html" TargetMode="External" /><Relationship Type="http://schemas.openxmlformats.org/officeDocument/2006/relationships/hyperlink" Id="rId350" Target="https://docs.aws.amazon.com/AWSEC2/latest/UserGuide/set-hostname.html" TargetMode="External" /><Relationship Type="http://schemas.openxmlformats.org/officeDocument/2006/relationships/hyperlink" Id="rId359" Target="https://docs.aws.amazon.com/AWSEC2/latest/UserGuide/snapshot-ami-policy.html#create-snap-policy" TargetMode="External" /><Relationship Type="http://schemas.openxmlformats.org/officeDocument/2006/relationships/hyperlink" Id="rId364" Target="https://docs.github.com/en/pages/configuring-a-custom-domain-for-your-github-pages-site/managing-a-custom-domain-for-your-github-pages-site" TargetMode="External" /><Relationship Type="http://schemas.openxmlformats.org/officeDocument/2006/relationships/hyperlink" Id="rId588" Target="https://doi.org/10.1002/ece3.70030" TargetMode="External" /><Relationship Type="http://schemas.openxmlformats.org/officeDocument/2006/relationships/hyperlink" Id="rId573" Target="https://doi.org/10.1038/nature11397" TargetMode="External" /><Relationship Type="http://schemas.openxmlformats.org/officeDocument/2006/relationships/hyperlink" Id="rId584" Target="https://doi.org/10.1038/s41559-017-0160" TargetMode="External" /><Relationship Type="http://schemas.openxmlformats.org/officeDocument/2006/relationships/hyperlink" Id="rId586" Target="https://doi.org/10.1038/s41559-021-01432-0" TargetMode="External" /><Relationship Type="http://schemas.openxmlformats.org/officeDocument/2006/relationships/hyperlink" Id="rId600" Target="https://doi.org/10.1038/sdata.2016.18" TargetMode="External" /><Relationship Type="http://schemas.openxmlformats.org/officeDocument/2006/relationships/hyperlink" Id="rId571" Target="https://doi.org/10.1080/09640568.2014.973483" TargetMode="External" /><Relationship Type="http://schemas.openxmlformats.org/officeDocument/2006/relationships/hyperlink" Id="rId575" Target="https://doi.org/10.1111/j.1523-1739.2007.00752.x" TargetMode="External" /><Relationship Type="http://schemas.openxmlformats.org/officeDocument/2006/relationships/hyperlink" Id="rId567" Target="https://doi.org/10.1371/journal.pbio.0020383" TargetMode="External" /><Relationship Type="http://schemas.openxmlformats.org/officeDocument/2006/relationships/hyperlink" Id="rId565" Target="https://doi.org/10.1371/journal.pone.0000140" TargetMode="External" /><Relationship Type="http://schemas.openxmlformats.org/officeDocument/2006/relationships/hyperlink" Id="rId590" Target="https://doi.org/10.1371/journal.pone.0003700" TargetMode="External" /><Relationship Type="http://schemas.openxmlformats.org/officeDocument/2006/relationships/hyperlink" Id="rId582" Target="https://doi.org/10.1371/journal.pone.0019653" TargetMode="External" /><Relationship Type="http://schemas.openxmlformats.org/officeDocument/2006/relationships/hyperlink" Id="rId577" Target="https://doi.org/10.1371/journal.pone.0146756" TargetMode="External" /><Relationship Type="http://schemas.openxmlformats.org/officeDocument/2006/relationships/hyperlink" Id="rId598" Target="https://doi.org/10.3354/esr01243" TargetMode="External" /><Relationship Type="http://schemas.openxmlformats.org/officeDocument/2006/relationships/hyperlink" Id="rId563" Target="https://doi.org/10.4319/lo.1997.42.1.0001" TargetMode="External" /><Relationship Type="http://schemas.openxmlformats.org/officeDocument/2006/relationships/hyperlink" Id="rId356" Target="https://drive.google.com/open?id=17B3djETDU8SVwGvJdZ3rp7TKtX8w0cfl&amp;usp=drive_fs" TargetMode="External" /><Relationship Type="http://schemas.openxmlformats.org/officeDocument/2006/relationships/hyperlink" Id="rId295" Target="https://duckdb.org" TargetMode="External" /><Relationship Type="http://schemas.openxmlformats.org/officeDocument/2006/relationships/hyperlink" Id="rId145" Target="https://ecos.fws.gov/docs/crithab/crithab_all/crithab_all_layers.zip" TargetMode="External" /><Relationship Type="http://schemas.openxmlformats.org/officeDocument/2006/relationships/hyperlink" Id="rId148" Target="https://ecos.fws.gov/docs/species/shapefiles/usfws_complete_species_current_range.zip" TargetMode="External" /><Relationship Type="http://schemas.openxmlformats.org/officeDocument/2006/relationships/hyperlink" Id="rId144" Target="https://ecos.fws.gov/ecp/report/table/critical-habitat.html" TargetMode="External" /><Relationship Type="http://schemas.openxmlformats.org/officeDocument/2006/relationships/hyperlink" Id="rId147" Target="https://ecos.fws.gov/ecp/species-reports" TargetMode="External" /><Relationship Type="http://schemas.openxmlformats.org/officeDocument/2006/relationships/hyperlink" Id="rId374" Target="https://file.marinesensitivity.org" TargetMode="External" /><Relationship Type="http://schemas.openxmlformats.org/officeDocument/2006/relationships/hyperlink" Id="rId318" Target="https://github.com/CrunchyData/pg_tileserv" TargetMode="External" /><Relationship Type="http://schemas.openxmlformats.org/officeDocument/2006/relationships/hyperlink" Id="rId298" Target="https://github.com/MarineSensitivities/msens" TargetMode="External" /><Relationship Type="http://schemas.openxmlformats.org/officeDocument/2006/relationships/hyperlink" Id="rId331" Target="https://github.com/MarineSensitivity" TargetMode="External" /><Relationship Type="http://schemas.openxmlformats.org/officeDocument/2006/relationships/hyperlink" Id="rId449" Target="https://github.com/MarineSensitivity/api/blob/main/plumber.R" TargetMode="External" /><Relationship Type="http://schemas.openxmlformats.org/officeDocument/2006/relationships/hyperlink" Id="rId722" Target="https://github.com/MarineSensitivity/apps/tree/main/aoi" TargetMode="External" /><Relationship Type="http://schemas.openxmlformats.org/officeDocument/2006/relationships/hyperlink" Id="rId728" Target="https://github.com/MarineSensitivity/apps/tree/main/bird_hotspots" TargetMode="External" /><Relationship Type="http://schemas.openxmlformats.org/officeDocument/2006/relationships/hyperlink" Id="rId734"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745" Target="https://github.com/MarineSensitivity/apps/tree/main/sdm" TargetMode="External" /><Relationship Type="http://schemas.openxmlformats.org/officeDocument/2006/relationships/hyperlink" Id="rId751" Target="https://github.com/MarineSensitivity/apps/tree/main/sdm-cog" TargetMode="External" /><Relationship Type="http://schemas.openxmlformats.org/officeDocument/2006/relationships/hyperlink" Id="rId718" Target="https://github.com/MarineSensitivity/apps/tree/main/species" TargetMode="External" /><Relationship Type="http://schemas.openxmlformats.org/officeDocument/2006/relationships/hyperlink" Id="rId757" Target="https://github.com/MarineSensitivity/apps/tree/main/vmap" TargetMode="External" /><Relationship Type="http://schemas.openxmlformats.org/officeDocument/2006/relationships/hyperlink" Id="rId683" Target="https://github.com/MarineSensitivity/atlas" TargetMode="External" /><Relationship Type="http://schemas.openxmlformats.org/officeDocument/2006/relationships/hyperlink" Id="rId672" Target="https://github.com/MarineSensitivity/atlas/blob/main/docs/accessibility.md" TargetMode="External" /><Relationship Type="http://schemas.openxmlformats.org/officeDocument/2006/relationships/hyperlink" Id="rId673" Target="https://github.com/MarineSensitivity/atlas/blob/main/docs/performance.md" TargetMode="External" /><Relationship Type="http://schemas.openxmlformats.org/officeDocument/2006/relationships/hyperlink" Id="rId458" Target="https://github.com/MarineSensitivity/msens" TargetMode="External" /><Relationship Type="http://schemas.openxmlformats.org/officeDocument/2006/relationships/hyperlink" Id="rId366" Target="https://github.com/MarineSensitivity/server/blob/main/caddy/Caddyfile" TargetMode="External" /><Relationship Type="http://schemas.openxmlformats.org/officeDocument/2006/relationships/hyperlink" Id="rId344" Target="https://github.com/MarineSensitivity/server/blob/main/docker-compose.yml" TargetMode="External" /><Relationship Type="http://schemas.openxmlformats.org/officeDocument/2006/relationships/hyperlink" Id="rId439" Target="https://github.com/MarineSensitivity/server/blob/main/titiler/factory.py" TargetMode="External" /><Relationship Type="http://schemas.openxmlformats.org/officeDocument/2006/relationships/hyperlink" Id="rId346" Target="https://github.com/MarineSensitivity/server/wiki/Server-Setup" TargetMode="External" /><Relationship Type="http://schemas.openxmlformats.org/officeDocument/2006/relationships/hyperlink" Id="rId426" Target="https://github.com/MarineSensitivity/workflows" TargetMode="External" /><Relationship Type="http://schemas.openxmlformats.org/officeDocument/2006/relationships/hyperlink" Id="rId313" Target="https://github.com/mapbox/tippecanoe" TargetMode="External" /><Relationship Type="http://schemas.openxmlformats.org/officeDocument/2006/relationships/hyperlink" Id="rId307" Target="https://guide.cloudnativegeo.org/" TargetMode="External" /><Relationship Type="http://schemas.openxmlformats.org/officeDocument/2006/relationships/hyperlink" Id="rId340" Target="https://marinesensitivity.org/" TargetMode="External" /><Relationship Type="http://schemas.openxmlformats.org/officeDocument/2006/relationships/hyperlink" Id="rId341" Target="https://marinesensitivity.org/docs" TargetMode="External" /><Relationship Type="http://schemas.openxmlformats.org/officeDocument/2006/relationships/hyperlink" Id="rId26" Target="https://marinesensitivity.org/docs/" TargetMode="External" /><Relationship Type="http://schemas.openxmlformats.org/officeDocument/2006/relationships/hyperlink" Id="rId557" Target="https://marinesensitivity.org/faq/" TargetMode="External" /><Relationship Type="http://schemas.openxmlformats.org/officeDocument/2006/relationships/hyperlink" Id="rId342" Target="https://marinesensitivity.org/msens" TargetMode="External" /><Relationship Type="http://schemas.openxmlformats.org/officeDocument/2006/relationships/hyperlink" Id="rId441" Target="https://marinesensitivity.org/msens/reference/cell_stats.html" TargetMode="External" /><Relationship Type="http://schemas.openxmlformats.org/officeDocument/2006/relationships/hyperlink" Id="rId440" Target="https://marinesensitivity.org/msens/reference/cell_tile_url.html" TargetMode="External" /><Relationship Type="http://schemas.openxmlformats.org/officeDocument/2006/relationships/hyperlink" Id="rId285" Target="https://marinesensitivity.org/workflows/" TargetMode="External" /><Relationship Type="http://schemas.openxmlformats.org/officeDocument/2006/relationships/hyperlink" Id="rId355" Target="https://medium.com/@srijaanaparthy/step-by-step-guide-to-install-docker-on-ubuntu-in-aws-a39746e5a63d" TargetMode="External" /><Relationship Type="http://schemas.openxmlformats.org/officeDocument/2006/relationships/hyperlink" Id="rId141" Target="https://noaa.maps.arcgis.com/home/item.html?id=f66c1e33f91d480db7d1b1c1336223c3" TargetMode="External" /><Relationship Type="http://schemas.openxmlformats.org/officeDocument/2006/relationships/hyperlink" Id="rId595" Target="https://noaa.maps.arcgis.com/home/search.html?searchTerm=turtle+dps" TargetMode="External" /><Relationship Type="http://schemas.openxmlformats.org/officeDocument/2006/relationships/hyperlink" Id="rId385" Target="https://posit.co/products/open-source/rstudio-server/" TargetMode="External" /><Relationship Type="http://schemas.openxmlformats.org/officeDocument/2006/relationships/hyperlink" Id="rId463" Target="https://preview.marinesensitivity.org/v7b/atlas/" TargetMode="External" /><Relationship Type="http://schemas.openxmlformats.org/officeDocument/2006/relationships/hyperlink" Id="rId21" Target="https://preview.marinesensitivity.org/v7b/scores/" TargetMode="External" /><Relationship Type="http://schemas.openxmlformats.org/officeDocument/2006/relationships/hyperlink" Id="rId22" Target="https://preview.marinesensitivity.org/v7b/species/" TargetMode="External" /><Relationship Type="http://schemas.openxmlformats.org/officeDocument/2006/relationships/hyperlink" Id="rId299" Target="https://protomaps.com/docs/pmtiles/" TargetMode="External" /><Relationship Type="http://schemas.openxmlformats.org/officeDocument/2006/relationships/hyperlink" Id="rId425" Target="https://quarto.org" TargetMode="External" /><Relationship Type="http://schemas.openxmlformats.org/officeDocument/2006/relationships/hyperlink" Id="rId134" Target="https://raquamaps.github.io/aquamapsdata" TargetMode="External" /><Relationship Type="http://schemas.openxmlformats.org/officeDocument/2006/relationships/hyperlink" Id="rId135" Target="https://raquamaps.github.io/aquamapsdata/articles/intro.html#data-scope-and-content-1" TargetMode="External" /><Relationship Type="http://schemas.openxmlformats.org/officeDocument/2006/relationships/hyperlink" Id="rId306" Target="https://rstudio.github.io/leaflet/articles/raster.html#large-raster-warning" TargetMode="External" /><Relationship Type="http://schemas.openxmlformats.org/officeDocument/2006/relationships/hyperlink" Id="rId381" Target="https://rstudio.marinesensitivity.org" TargetMode="External" /><Relationship Type="http://schemas.openxmlformats.org/officeDocument/2006/relationships/hyperlink" Id="rId369" Target="https://shiny.marinesensitivity.org" TargetMode="External" /><Relationship Type="http://schemas.openxmlformats.org/officeDocument/2006/relationships/hyperlink" Id="rId721" Target="https://shiny.marinesensitivity.org/aoi/" TargetMode="External" /><Relationship Type="http://schemas.openxmlformats.org/officeDocument/2006/relationships/hyperlink" Id="rId727" Target="https://shiny.marinesensitivity.org/bird_hotspots/" TargetMode="External" /><Relationship Type="http://schemas.openxmlformats.org/officeDocument/2006/relationships/hyperlink" Id="rId733" Target="https://shiny.marinesensitivity.org/map/" TargetMode="External" /><Relationship Type="http://schemas.openxmlformats.org/officeDocument/2006/relationships/hyperlink" Id="rId739" Target="https://shiny.marinesensitivity.org/scores/" TargetMode="External" /><Relationship Type="http://schemas.openxmlformats.org/officeDocument/2006/relationships/hyperlink" Id="rId750" Target="https://shiny.marinesensitivity.org/sdm-cog/" TargetMode="External" /><Relationship Type="http://schemas.openxmlformats.org/officeDocument/2006/relationships/hyperlink" Id="rId744" Target="https://shiny.marinesensitivity.org/sdm/" TargetMode="External" /><Relationship Type="http://schemas.openxmlformats.org/officeDocument/2006/relationships/hyperlink" Id="rId756" Target="https://shiny.marinesensitivity.org/vmap/" TargetMode="External" /><Relationship Type="http://schemas.openxmlformats.org/officeDocument/2006/relationships/hyperlink" Id="rId304" Target="https://shiny.posit.co" TargetMode="External" /><Relationship Type="http://schemas.openxmlformats.org/officeDocument/2006/relationships/hyperlink" Id="rId373" Target="https://shiny.posit.co/" TargetMode="External" /><Relationship Type="http://schemas.openxmlformats.org/officeDocument/2006/relationships/hyperlink" Id="rId454" Target="https://stacspec.org" TargetMode="External" /><Relationship Type="http://schemas.openxmlformats.org/officeDocument/2006/relationships/hyperlink" Id="rId375" Target="https://titiler.marinesensitivity.org" TargetMode="External" /><Relationship Type="http://schemas.openxmlformats.org/officeDocument/2006/relationships/hyperlink" Id="rId347" Target="https://us-east-1.console.aws.amazon.com/ec2/home?region=us-east-1#Addresses:" TargetMode="External" /><Relationship Type="http://schemas.openxmlformats.org/officeDocument/2006/relationships/hyperlink" Id="rId443" Target="https://varnish-cache.org" TargetMode="External" /><Relationship Type="http://schemas.openxmlformats.org/officeDocument/2006/relationships/hyperlink" Id="rId29" Target="https://www.aquamaps.org" TargetMode="External" /><Relationship Type="http://schemas.openxmlformats.org/officeDocument/2006/relationships/hyperlink" Id="rId30" Target="https://www.birdlife.org" TargetMode="External" /><Relationship Type="http://schemas.openxmlformats.org/officeDocument/2006/relationships/hyperlink" Id="rId28" Target="https://www.boem.gov/environment/environmental-studies/environmental-studies-information" TargetMode="External" /><Relationship Type="http://schemas.openxmlformats.org/officeDocument/2006/relationships/hyperlink" Id="rId592" Target="https://www.boem.gov/sites/default/files/environmental-stewardship/Environmental-Studies/Pacific-Region/Studies/BOEM-2018-031-Vol1.pdf" TargetMode="External" /><Relationship Type="http://schemas.openxmlformats.org/officeDocument/2006/relationships/hyperlink" Id="rId343" Target="https://www.docker.com/" TargetMode="External" /><Relationship Type="http://schemas.openxmlformats.org/officeDocument/2006/relationships/hyperlink" Id="rId32" Target="https://www.fisheries.noaa.gov" TargetMode="External" /><Relationship Type="http://schemas.openxmlformats.org/officeDocument/2006/relationships/hyperlink" Id="rId142" Target="https://www.fisheries.noaa.gov/inport/item/65207" TargetMode="External" /><Relationship Type="http://schemas.openxmlformats.org/officeDocument/2006/relationships/hyperlink" Id="rId140" Target="https://www.fisheries.noaa.gov/resource/map/national-esa-critical-habitat-mapper" TargetMode="External" /><Relationship Type="http://schemas.openxmlformats.org/officeDocument/2006/relationships/hyperlink" Id="rId138" Target="https://www.fisheries.noaa.gov/s3/2021-09/shapefile_Rices_whale_core_distribution_area_Jun19_SERO.zip" TargetMode="External" /><Relationship Type="http://schemas.openxmlformats.org/officeDocument/2006/relationships/hyperlink" Id="rId137" Target="https://www.fisheries.noaa.gov/species/rices-whale" TargetMode="External" /><Relationship Type="http://schemas.openxmlformats.org/officeDocument/2006/relationships/hyperlink" Id="rId194" Target="https://www.fisheries.noaa.gov/topic/laws-policies#marine-mammal-protection-act" TargetMode="External" /><Relationship Type="http://schemas.openxmlformats.org/officeDocument/2006/relationships/hyperlink" Id="rId33" Target="https://www.fws.gov" TargetMode="External" /><Relationship Type="http://schemas.openxmlformats.org/officeDocument/2006/relationships/hyperlink" Id="rId192" Target="https://www.fws.gov/law/endangered-species-act" TargetMode="External" /><Relationship Type="http://schemas.openxmlformats.org/officeDocument/2006/relationships/hyperlink" Id="rId196" Target="https://www.fws.gov/law/migratory-bird-treaty-act-1918" TargetMode="External" /><Relationship Type="http://schemas.openxmlformats.org/officeDocument/2006/relationships/hyperlink" Id="rId174" Target="https://www.gbif.org" TargetMode="External" /><Relationship Type="http://schemas.openxmlformats.org/officeDocument/2006/relationships/hyperlink" Id="rId175" Target="https://www.itis.gov" TargetMode="External" /><Relationship Type="http://schemas.openxmlformats.org/officeDocument/2006/relationships/hyperlink" Id="rId31" Target="https://www.iucnredlist.org" TargetMode="External" /><Relationship Type="http://schemas.openxmlformats.org/officeDocument/2006/relationships/hyperlink" Id="rId152" Target="https://www.iucnredlist.org/resources/spatial-data-download" TargetMode="External" /><Relationship Type="http://schemas.openxmlformats.org/officeDocument/2006/relationships/hyperlink" Id="rId173" Target="https://www.marinespecies.org" TargetMode="External" /><Relationship Type="http://schemas.openxmlformats.org/officeDocument/2006/relationships/hyperlink" Id="rId296" Target="https://www.rplumber.io" TargetMode="External" /><Relationship Type="http://schemas.openxmlformats.org/officeDocument/2006/relationships/hyperlink" Id="rId435" Target="https://www.rplumber.io/" TargetMode="External" /><Relationship Type="http://schemas.openxmlformats.org/officeDocument/2006/relationships/hyperlink" Id="rId154" Target="https://www.seaturtlestatus.org/online-map-data" TargetMode="External" /><Relationship Type="http://schemas.openxmlformats.org/officeDocument/2006/relationships/hyperlink" Id="rId38" Target="https://www.whitehouse.gov/presidential-actions/2025/01/restoring-gold-standard-science-in-the-federal-government/" TargetMode="External" /><Relationship Type="http://schemas.openxmlformats.org/officeDocument/2006/relationships/hyperlink" Id="rId37" Target="releases.qmd" TargetMode="External" /><Relationship Type="http://schemas.openxmlformats.org/officeDocument/2006/relationships/hyperlink" Id="rId607" Target="scores.qmd" TargetMode="External" /><Relationship Type="http://schemas.openxmlformats.org/officeDocument/2006/relationships/hyperlink" Id="rId23" Target="scoring-walkthrough.qmd" TargetMode="External" /><Relationship Type="http://schemas.openxmlformats.org/officeDocument/2006/relationships/hyperlink" Id="rId608" Target="species.qmd" TargetMode="External" /></Relationships>
</file>

<file path=word/_rels/footnotes.xml.rels><?xml version="1.0" encoding="UTF-8"?><Relationships xmlns="http://schemas.openxmlformats.org/package/2006/relationships"><Relationship Type="http://schemas.openxmlformats.org/officeDocument/2006/relationships/hyperlink" Id="rId604" Target="MarineBON.org" TargetMode="External" /><Relationship Type="http://schemas.openxmlformats.org/officeDocument/2006/relationships/hyperlink" Id="rId470" Target="apps/scores.qmd" TargetMode="External" /><Relationship Type="http://schemas.openxmlformats.org/officeDocument/2006/relationships/hyperlink" Id="rId471" Target="apps/species.qmd" TargetMode="External" /><Relationship Type="http://schemas.openxmlformats.org/officeDocument/2006/relationships/hyperlink" Id="rId150" Target="http://datazone.birdlife.org/species/requestdis" TargetMode="External" /><Relationship Type="http://schemas.openxmlformats.org/officeDocument/2006/relationships/hyperlink" Id="rId165" Target="http://sites.science.oregonstate.edu/ocean.productivity" TargetMode="External" /><Relationship Type="http://schemas.openxmlformats.org/officeDocument/2006/relationships/hyperlink" Id="rId569" Target="https://CRAN.R-project.org/package=shiny" TargetMode="External" /><Relationship Type="http://schemas.openxmlformats.org/officeDocument/2006/relationships/hyperlink" Id="rId363" Target="https://account.squarespace.com/domains" TargetMode="External" /><Relationship Type="http://schemas.openxmlformats.org/officeDocument/2006/relationships/hyperlink" Id="rId376" Target="https://api.marinesensitivity.org" TargetMode="External" /><Relationship Type="http://schemas.openxmlformats.org/officeDocument/2006/relationships/hyperlink" Id="rId368" Target="https://app.marinesensitivity.org" TargetMode="External" /><Relationship Type="http://schemas.openxmlformats.org/officeDocument/2006/relationships/hyperlink" Id="rId84" Target="https://app.marinesensitivity.org/v3/scores/" TargetMode="External" /><Relationship Type="http://schemas.openxmlformats.org/officeDocument/2006/relationships/hyperlink" Id="rId85" Target="https://app.marinesensitivity.org/v3/species/" TargetMode="External" /><Relationship Type="http://schemas.openxmlformats.org/officeDocument/2006/relationships/hyperlink" Id="rId36" Target="https://boem.gov" TargetMode="External" /><Relationship Type="http://schemas.openxmlformats.org/officeDocument/2006/relationships/hyperlink" Id="rId427" Target="https://books.ropensci.org/targets/" TargetMode="External" /><Relationship Type="http://schemas.openxmlformats.org/officeDocument/2006/relationships/hyperlink" Id="rId345" Target="https://caddyserver.com" TargetMode="External" /><Relationship Type="http://schemas.openxmlformats.org/officeDocument/2006/relationships/hyperlink" Id="rId297" Target="https://developmentseed.org/titiler/" TargetMode="External" /><Relationship Type="http://schemas.openxmlformats.org/officeDocument/2006/relationships/hyperlink" Id="rId352" Target="https://docs.aws.amazon.com/AWSEC2/latest/UserGuide/ebs-using-volumes.html" TargetMode="External" /><Relationship Type="http://schemas.openxmlformats.org/officeDocument/2006/relationships/hyperlink" Id="rId350" Target="https://docs.aws.amazon.com/AWSEC2/latest/UserGuide/set-hostname.html" TargetMode="External" /><Relationship Type="http://schemas.openxmlformats.org/officeDocument/2006/relationships/hyperlink" Id="rId359" Target="https://docs.aws.amazon.com/AWSEC2/latest/UserGuide/snapshot-ami-policy.html#create-snap-policy" TargetMode="External" /><Relationship Type="http://schemas.openxmlformats.org/officeDocument/2006/relationships/hyperlink" Id="rId364" Target="https://docs.github.com/en/pages/configuring-a-custom-domain-for-your-github-pages-site/managing-a-custom-domain-for-your-github-pages-site" TargetMode="External" /><Relationship Type="http://schemas.openxmlformats.org/officeDocument/2006/relationships/hyperlink" Id="rId588" Target="https://doi.org/10.1002/ece3.70030" TargetMode="External" /><Relationship Type="http://schemas.openxmlformats.org/officeDocument/2006/relationships/hyperlink" Id="rId573" Target="https://doi.org/10.1038/nature11397" TargetMode="External" /><Relationship Type="http://schemas.openxmlformats.org/officeDocument/2006/relationships/hyperlink" Id="rId584" Target="https://doi.org/10.1038/s41559-017-0160" TargetMode="External" /><Relationship Type="http://schemas.openxmlformats.org/officeDocument/2006/relationships/hyperlink" Id="rId586" Target="https://doi.org/10.1038/s41559-021-01432-0" TargetMode="External" /><Relationship Type="http://schemas.openxmlformats.org/officeDocument/2006/relationships/hyperlink" Id="rId600" Target="https://doi.org/10.1038/sdata.2016.18" TargetMode="External" /><Relationship Type="http://schemas.openxmlformats.org/officeDocument/2006/relationships/hyperlink" Id="rId571" Target="https://doi.org/10.1080/09640568.2014.973483" TargetMode="External" /><Relationship Type="http://schemas.openxmlformats.org/officeDocument/2006/relationships/hyperlink" Id="rId575" Target="https://doi.org/10.1111/j.1523-1739.2007.00752.x" TargetMode="External" /><Relationship Type="http://schemas.openxmlformats.org/officeDocument/2006/relationships/hyperlink" Id="rId567" Target="https://doi.org/10.1371/journal.pbio.0020383" TargetMode="External" /><Relationship Type="http://schemas.openxmlformats.org/officeDocument/2006/relationships/hyperlink" Id="rId565" Target="https://doi.org/10.1371/journal.pone.0000140" TargetMode="External" /><Relationship Type="http://schemas.openxmlformats.org/officeDocument/2006/relationships/hyperlink" Id="rId590" Target="https://doi.org/10.1371/journal.pone.0003700" TargetMode="External" /><Relationship Type="http://schemas.openxmlformats.org/officeDocument/2006/relationships/hyperlink" Id="rId582" Target="https://doi.org/10.1371/journal.pone.0019653" TargetMode="External" /><Relationship Type="http://schemas.openxmlformats.org/officeDocument/2006/relationships/hyperlink" Id="rId577" Target="https://doi.org/10.1371/journal.pone.0146756" TargetMode="External" /><Relationship Type="http://schemas.openxmlformats.org/officeDocument/2006/relationships/hyperlink" Id="rId598" Target="https://doi.org/10.3354/esr01243" TargetMode="External" /><Relationship Type="http://schemas.openxmlformats.org/officeDocument/2006/relationships/hyperlink" Id="rId563" Target="https://doi.org/10.4319/lo.1997.42.1.0001" TargetMode="External" /><Relationship Type="http://schemas.openxmlformats.org/officeDocument/2006/relationships/hyperlink" Id="rId356" Target="https://drive.google.com/open?id=17B3djETDU8SVwGvJdZ3rp7TKtX8w0cfl&amp;usp=drive_fs" TargetMode="External" /><Relationship Type="http://schemas.openxmlformats.org/officeDocument/2006/relationships/hyperlink" Id="rId295" Target="https://duckdb.org" TargetMode="External" /><Relationship Type="http://schemas.openxmlformats.org/officeDocument/2006/relationships/hyperlink" Id="rId145" Target="https://ecos.fws.gov/docs/crithab/crithab_all/crithab_all_layers.zip" TargetMode="External" /><Relationship Type="http://schemas.openxmlformats.org/officeDocument/2006/relationships/hyperlink" Id="rId148" Target="https://ecos.fws.gov/docs/species/shapefiles/usfws_complete_species_current_range.zip" TargetMode="External" /><Relationship Type="http://schemas.openxmlformats.org/officeDocument/2006/relationships/hyperlink" Id="rId144" Target="https://ecos.fws.gov/ecp/report/table/critical-habitat.html" TargetMode="External" /><Relationship Type="http://schemas.openxmlformats.org/officeDocument/2006/relationships/hyperlink" Id="rId147" Target="https://ecos.fws.gov/ecp/species-reports" TargetMode="External" /><Relationship Type="http://schemas.openxmlformats.org/officeDocument/2006/relationships/hyperlink" Id="rId374" Target="https://file.marinesensitivity.org" TargetMode="External" /><Relationship Type="http://schemas.openxmlformats.org/officeDocument/2006/relationships/hyperlink" Id="rId318" Target="https://github.com/CrunchyData/pg_tileserv" TargetMode="External" /><Relationship Type="http://schemas.openxmlformats.org/officeDocument/2006/relationships/hyperlink" Id="rId298" Target="https://github.com/MarineSensitivities/msens" TargetMode="External" /><Relationship Type="http://schemas.openxmlformats.org/officeDocument/2006/relationships/hyperlink" Id="rId331" Target="https://github.com/MarineSensitivity" TargetMode="External" /><Relationship Type="http://schemas.openxmlformats.org/officeDocument/2006/relationships/hyperlink" Id="rId449" Target="https://github.com/MarineSensitivity/api/blob/main/plumber.R" TargetMode="External" /><Relationship Type="http://schemas.openxmlformats.org/officeDocument/2006/relationships/hyperlink" Id="rId722" Target="https://github.com/MarineSensitivity/apps/tree/main/aoi" TargetMode="External" /><Relationship Type="http://schemas.openxmlformats.org/officeDocument/2006/relationships/hyperlink" Id="rId728" Target="https://github.com/MarineSensitivity/apps/tree/main/bird_hotspots" TargetMode="External" /><Relationship Type="http://schemas.openxmlformats.org/officeDocument/2006/relationships/hyperlink" Id="rId734"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745" Target="https://github.com/MarineSensitivity/apps/tree/main/sdm" TargetMode="External" /><Relationship Type="http://schemas.openxmlformats.org/officeDocument/2006/relationships/hyperlink" Id="rId751" Target="https://github.com/MarineSensitivity/apps/tree/main/sdm-cog" TargetMode="External" /><Relationship Type="http://schemas.openxmlformats.org/officeDocument/2006/relationships/hyperlink" Id="rId718" Target="https://github.com/MarineSensitivity/apps/tree/main/species" TargetMode="External" /><Relationship Type="http://schemas.openxmlformats.org/officeDocument/2006/relationships/hyperlink" Id="rId757" Target="https://github.com/MarineSensitivity/apps/tree/main/vmap" TargetMode="External" /><Relationship Type="http://schemas.openxmlformats.org/officeDocument/2006/relationships/hyperlink" Id="rId683" Target="https://github.com/MarineSensitivity/atlas" TargetMode="External" /><Relationship Type="http://schemas.openxmlformats.org/officeDocument/2006/relationships/hyperlink" Id="rId672" Target="https://github.com/MarineSensitivity/atlas/blob/main/docs/accessibility.md" TargetMode="External" /><Relationship Type="http://schemas.openxmlformats.org/officeDocument/2006/relationships/hyperlink" Id="rId673" Target="https://github.com/MarineSensitivity/atlas/blob/main/docs/performance.md" TargetMode="External" /><Relationship Type="http://schemas.openxmlformats.org/officeDocument/2006/relationships/hyperlink" Id="rId458" Target="https://github.com/MarineSensitivity/msens" TargetMode="External" /><Relationship Type="http://schemas.openxmlformats.org/officeDocument/2006/relationships/hyperlink" Id="rId366" Target="https://github.com/MarineSensitivity/server/blob/main/caddy/Caddyfile" TargetMode="External" /><Relationship Type="http://schemas.openxmlformats.org/officeDocument/2006/relationships/hyperlink" Id="rId344" Target="https://github.com/MarineSensitivity/server/blob/main/docker-compose.yml" TargetMode="External" /><Relationship Type="http://schemas.openxmlformats.org/officeDocument/2006/relationships/hyperlink" Id="rId439" Target="https://github.com/MarineSensitivity/server/blob/main/titiler/factory.py" TargetMode="External" /><Relationship Type="http://schemas.openxmlformats.org/officeDocument/2006/relationships/hyperlink" Id="rId346" Target="https://github.com/MarineSensitivity/server/wiki/Server-Setup" TargetMode="External" /><Relationship Type="http://schemas.openxmlformats.org/officeDocument/2006/relationships/hyperlink" Id="rId426" Target="https://github.com/MarineSensitivity/workflows" TargetMode="External" /><Relationship Type="http://schemas.openxmlformats.org/officeDocument/2006/relationships/hyperlink" Id="rId313" Target="https://github.com/mapbox/tippecanoe" TargetMode="External" /><Relationship Type="http://schemas.openxmlformats.org/officeDocument/2006/relationships/hyperlink" Id="rId307" Target="https://guide.cloudnativegeo.org/" TargetMode="External" /><Relationship Type="http://schemas.openxmlformats.org/officeDocument/2006/relationships/hyperlink" Id="rId340" Target="https://marinesensitivity.org/" TargetMode="External" /><Relationship Type="http://schemas.openxmlformats.org/officeDocument/2006/relationships/hyperlink" Id="rId341" Target="https://marinesensitivity.org/docs" TargetMode="External" /><Relationship Type="http://schemas.openxmlformats.org/officeDocument/2006/relationships/hyperlink" Id="rId26" Target="https://marinesensitivity.org/docs/" TargetMode="External" /><Relationship Type="http://schemas.openxmlformats.org/officeDocument/2006/relationships/hyperlink" Id="rId557" Target="https://marinesensitivity.org/faq/" TargetMode="External" /><Relationship Type="http://schemas.openxmlformats.org/officeDocument/2006/relationships/hyperlink" Id="rId342" Target="https://marinesensitivity.org/msens" TargetMode="External" /><Relationship Type="http://schemas.openxmlformats.org/officeDocument/2006/relationships/hyperlink" Id="rId441" Target="https://marinesensitivity.org/msens/reference/cell_stats.html" TargetMode="External" /><Relationship Type="http://schemas.openxmlformats.org/officeDocument/2006/relationships/hyperlink" Id="rId440" Target="https://marinesensitivity.org/msens/reference/cell_tile_url.html" TargetMode="External" /><Relationship Type="http://schemas.openxmlformats.org/officeDocument/2006/relationships/hyperlink" Id="rId285" Target="https://marinesensitivity.org/workflows/" TargetMode="External" /><Relationship Type="http://schemas.openxmlformats.org/officeDocument/2006/relationships/hyperlink" Id="rId355" Target="https://medium.com/@srijaanaparthy/step-by-step-guide-to-install-docker-on-ubuntu-in-aws-a39746e5a63d" TargetMode="External" /><Relationship Type="http://schemas.openxmlformats.org/officeDocument/2006/relationships/hyperlink" Id="rId141" Target="https://noaa.maps.arcgis.com/home/item.html?id=f66c1e33f91d480db7d1b1c1336223c3" TargetMode="External" /><Relationship Type="http://schemas.openxmlformats.org/officeDocument/2006/relationships/hyperlink" Id="rId595" Target="https://noaa.maps.arcgis.com/home/search.html?searchTerm=turtle+dps" TargetMode="External" /><Relationship Type="http://schemas.openxmlformats.org/officeDocument/2006/relationships/hyperlink" Id="rId385" Target="https://posit.co/products/open-source/rstudio-server/" TargetMode="External" /><Relationship Type="http://schemas.openxmlformats.org/officeDocument/2006/relationships/hyperlink" Id="rId463" Target="https://preview.marinesensitivity.org/v7b/atlas/" TargetMode="External" /><Relationship Type="http://schemas.openxmlformats.org/officeDocument/2006/relationships/hyperlink" Id="rId21" Target="https://preview.marinesensitivity.org/v7b/scores/" TargetMode="External" /><Relationship Type="http://schemas.openxmlformats.org/officeDocument/2006/relationships/hyperlink" Id="rId22" Target="https://preview.marinesensitivity.org/v7b/species/" TargetMode="External" /><Relationship Type="http://schemas.openxmlformats.org/officeDocument/2006/relationships/hyperlink" Id="rId299" Target="https://protomaps.com/docs/pmtiles/" TargetMode="External" /><Relationship Type="http://schemas.openxmlformats.org/officeDocument/2006/relationships/hyperlink" Id="rId425" Target="https://quarto.org" TargetMode="External" /><Relationship Type="http://schemas.openxmlformats.org/officeDocument/2006/relationships/hyperlink" Id="rId134" Target="https://raquamaps.github.io/aquamapsdata" TargetMode="External" /><Relationship Type="http://schemas.openxmlformats.org/officeDocument/2006/relationships/hyperlink" Id="rId135" Target="https://raquamaps.github.io/aquamapsdata/articles/intro.html#data-scope-and-content-1" TargetMode="External" /><Relationship Type="http://schemas.openxmlformats.org/officeDocument/2006/relationships/hyperlink" Id="rId306" Target="https://rstudio.github.io/leaflet/articles/raster.html#large-raster-warning" TargetMode="External" /><Relationship Type="http://schemas.openxmlformats.org/officeDocument/2006/relationships/hyperlink" Id="rId381" Target="https://rstudio.marinesensitivity.org" TargetMode="External" /><Relationship Type="http://schemas.openxmlformats.org/officeDocument/2006/relationships/hyperlink" Id="rId369" Target="https://shiny.marinesensitivity.org" TargetMode="External" /><Relationship Type="http://schemas.openxmlformats.org/officeDocument/2006/relationships/hyperlink" Id="rId721" Target="https://shiny.marinesensitivity.org/aoi/" TargetMode="External" /><Relationship Type="http://schemas.openxmlformats.org/officeDocument/2006/relationships/hyperlink" Id="rId727" Target="https://shiny.marinesensitivity.org/bird_hotspots/" TargetMode="External" /><Relationship Type="http://schemas.openxmlformats.org/officeDocument/2006/relationships/hyperlink" Id="rId733" Target="https://shiny.marinesensitivity.org/map/" TargetMode="External" /><Relationship Type="http://schemas.openxmlformats.org/officeDocument/2006/relationships/hyperlink" Id="rId739" Target="https://shiny.marinesensitivity.org/scores/" TargetMode="External" /><Relationship Type="http://schemas.openxmlformats.org/officeDocument/2006/relationships/hyperlink" Id="rId750" Target="https://shiny.marinesensitivity.org/sdm-cog/" TargetMode="External" /><Relationship Type="http://schemas.openxmlformats.org/officeDocument/2006/relationships/hyperlink" Id="rId744" Target="https://shiny.marinesensitivity.org/sdm/" TargetMode="External" /><Relationship Type="http://schemas.openxmlformats.org/officeDocument/2006/relationships/hyperlink" Id="rId756" Target="https://shiny.marinesensitivity.org/vmap/" TargetMode="External" /><Relationship Type="http://schemas.openxmlformats.org/officeDocument/2006/relationships/hyperlink" Id="rId304" Target="https://shiny.posit.co" TargetMode="External" /><Relationship Type="http://schemas.openxmlformats.org/officeDocument/2006/relationships/hyperlink" Id="rId373" Target="https://shiny.posit.co/" TargetMode="External" /><Relationship Type="http://schemas.openxmlformats.org/officeDocument/2006/relationships/hyperlink" Id="rId454" Target="https://stacspec.org" TargetMode="External" /><Relationship Type="http://schemas.openxmlformats.org/officeDocument/2006/relationships/hyperlink" Id="rId375" Target="https://titiler.marinesensitivity.org" TargetMode="External" /><Relationship Type="http://schemas.openxmlformats.org/officeDocument/2006/relationships/hyperlink" Id="rId347" Target="https://us-east-1.console.aws.amazon.com/ec2/home?region=us-east-1#Addresses:" TargetMode="External" /><Relationship Type="http://schemas.openxmlformats.org/officeDocument/2006/relationships/hyperlink" Id="rId443" Target="https://varnish-cache.org" TargetMode="External" /><Relationship Type="http://schemas.openxmlformats.org/officeDocument/2006/relationships/hyperlink" Id="rId29" Target="https://www.aquamaps.org" TargetMode="External" /><Relationship Type="http://schemas.openxmlformats.org/officeDocument/2006/relationships/hyperlink" Id="rId30" Target="https://www.birdlife.org" TargetMode="External" /><Relationship Type="http://schemas.openxmlformats.org/officeDocument/2006/relationships/hyperlink" Id="rId28" Target="https://www.boem.gov/environment/environmental-studies/environmental-studies-information" TargetMode="External" /><Relationship Type="http://schemas.openxmlformats.org/officeDocument/2006/relationships/hyperlink" Id="rId592" Target="https://www.boem.gov/sites/default/files/environmental-stewardship/Environmental-Studies/Pacific-Region/Studies/BOEM-2018-031-Vol1.pdf" TargetMode="External" /><Relationship Type="http://schemas.openxmlformats.org/officeDocument/2006/relationships/hyperlink" Id="rId343" Target="https://www.docker.com/" TargetMode="External" /><Relationship Type="http://schemas.openxmlformats.org/officeDocument/2006/relationships/hyperlink" Id="rId32" Target="https://www.fisheries.noaa.gov" TargetMode="External" /><Relationship Type="http://schemas.openxmlformats.org/officeDocument/2006/relationships/hyperlink" Id="rId142" Target="https://www.fisheries.noaa.gov/inport/item/65207" TargetMode="External" /><Relationship Type="http://schemas.openxmlformats.org/officeDocument/2006/relationships/hyperlink" Id="rId140" Target="https://www.fisheries.noaa.gov/resource/map/national-esa-critical-habitat-mapper" TargetMode="External" /><Relationship Type="http://schemas.openxmlformats.org/officeDocument/2006/relationships/hyperlink" Id="rId138" Target="https://www.fisheries.noaa.gov/s3/2021-09/shapefile_Rices_whale_core_distribution_area_Jun19_SERO.zip" TargetMode="External" /><Relationship Type="http://schemas.openxmlformats.org/officeDocument/2006/relationships/hyperlink" Id="rId137" Target="https://www.fisheries.noaa.gov/species/rices-whale" TargetMode="External" /><Relationship Type="http://schemas.openxmlformats.org/officeDocument/2006/relationships/hyperlink" Id="rId194" Target="https://www.fisheries.noaa.gov/topic/laws-policies#marine-mammal-protection-act" TargetMode="External" /><Relationship Type="http://schemas.openxmlformats.org/officeDocument/2006/relationships/hyperlink" Id="rId33" Target="https://www.fws.gov" TargetMode="External" /><Relationship Type="http://schemas.openxmlformats.org/officeDocument/2006/relationships/hyperlink" Id="rId192" Target="https://www.fws.gov/law/endangered-species-act" TargetMode="External" /><Relationship Type="http://schemas.openxmlformats.org/officeDocument/2006/relationships/hyperlink" Id="rId196" Target="https://www.fws.gov/law/migratory-bird-treaty-act-1918" TargetMode="External" /><Relationship Type="http://schemas.openxmlformats.org/officeDocument/2006/relationships/hyperlink" Id="rId174" Target="https://www.gbif.org" TargetMode="External" /><Relationship Type="http://schemas.openxmlformats.org/officeDocument/2006/relationships/hyperlink" Id="rId175" Target="https://www.itis.gov" TargetMode="External" /><Relationship Type="http://schemas.openxmlformats.org/officeDocument/2006/relationships/hyperlink" Id="rId31" Target="https://www.iucnredlist.org" TargetMode="External" /><Relationship Type="http://schemas.openxmlformats.org/officeDocument/2006/relationships/hyperlink" Id="rId152" Target="https://www.iucnredlist.org/resources/spatial-data-download" TargetMode="External" /><Relationship Type="http://schemas.openxmlformats.org/officeDocument/2006/relationships/hyperlink" Id="rId173" Target="https://www.marinespecies.org" TargetMode="External" /><Relationship Type="http://schemas.openxmlformats.org/officeDocument/2006/relationships/hyperlink" Id="rId296" Target="https://www.rplumber.io" TargetMode="External" /><Relationship Type="http://schemas.openxmlformats.org/officeDocument/2006/relationships/hyperlink" Id="rId435" Target="https://www.rplumber.io/" TargetMode="External" /><Relationship Type="http://schemas.openxmlformats.org/officeDocument/2006/relationships/hyperlink" Id="rId154" Target="https://www.seaturtlestatus.org/online-map-data" TargetMode="External" /><Relationship Type="http://schemas.openxmlformats.org/officeDocument/2006/relationships/hyperlink" Id="rId38" Target="https://www.whitehouse.gov/presidential-actions/2025/01/restoring-gold-standard-science-in-the-federal-government/" TargetMode="External" /><Relationship Type="http://schemas.openxmlformats.org/officeDocument/2006/relationships/hyperlink" Id="rId37" Target="releases.qmd" TargetMode="External" /><Relationship Type="http://schemas.openxmlformats.org/officeDocument/2006/relationships/hyperlink" Id="rId607" Target="scores.qmd" TargetMode="External" /><Relationship Type="http://schemas.openxmlformats.org/officeDocument/2006/relationships/hyperlink" Id="rId23" Target="scoring-walkthrough.qmd" TargetMode="External" /><Relationship Type="http://schemas.openxmlformats.org/officeDocument/2006/relationships/hyperlink" Id="rId608"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2026-10-14T11:03:03Z</dcterms:created>
  <dcterms:modified xsi:type="dcterms:W3CDTF">2026-10-14T11:03:03Z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2026-10-14</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