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13.png" ContentType="image/png"/>
  <Override PartName="/word/media/rId113.png" ContentType="image/png"/>
  <Override PartName="/word/media/rId54.png" ContentType="image/png"/>
  <Override PartName="/word/media/rId414.png" ContentType="image/png"/>
  <Override PartName="/word/media/rId450.png" ContentType="image/png"/>
  <Override PartName="/word/media/rId725.png" ContentType="image/png"/>
  <Override PartName="/word/media/rId730.png" ContentType="image/png"/>
  <Override PartName="/word/media/rId735.png" ContentType="image/png"/>
  <Override PartName="/word/media/rId740.png" ContentType="image/png"/>
  <Override PartName="/word/media/rId745.png" ContentType="image/png"/>
  <Override PartName="/word/media/rId750.png" ContentType="image/png"/>
  <Override PartName="/word/media/rId755.png" ContentType="image/png"/>
  <Override PartName="/word/media/rId760.png" ContentType="image/png"/>
  <Override PartName="/word/media/rId765.png" ContentType="image/png"/>
  <Override PartName="/word/media/rId770.png" ContentType="image/png"/>
  <Override PartName="/word/media/rId775.png" ContentType="image/png"/>
  <Override PartName="/word/media/rId781.png" ContentType="image/png"/>
  <Override PartName="/word/media/rId786.png" ContentType="image/png"/>
  <Override PartName="/word/media/rId791.png" ContentType="image/png"/>
  <Override PartName="/word/media/rId796.png" ContentType="image/png"/>
  <Override PartName="/word/media/rId801.png" ContentType="image/png"/>
  <Override PartName="/word/media/rId810.png" ContentType="image/png"/>
  <Override PartName="/word/media/rId816.png" ContentType="image/png"/>
  <Override PartName="/word/media/rId822.png" ContentType="image/png"/>
  <Override PartName="/word/media/rId689.png" ContentType="image/png"/>
  <Override PartName="/word/media/rId685.png" ContentType="image/png"/>
  <Override PartName="/word/media/rId827.png" ContentType="image/png"/>
  <Override PartName="/word/media/rId839.png" ContentType="image/png"/>
  <Override PartName="/word/media/rId833.png" ContentType="image/png"/>
  <Override PartName="/word/media/rId707.png" ContentType="image/png"/>
  <Override PartName="/word/media/rId845.png" ContentType="image/png"/>
  <Override PartName="/word/media/rId554.png" ContentType="image/png"/>
  <Override PartName="/word/media/rId559.png" ContentType="image/png"/>
  <Override PartName="/word/media/rId564.png" ContentType="image/png"/>
  <Override PartName="/word/media/rId569.png" ContentType="image/png"/>
  <Override PartName="/word/media/rId575.png" ContentType="image/png"/>
  <Override PartName="/word/media/rId580.png" ContentType="image/png"/>
  <Override PartName="/word/media/rId586.png" ContentType="image/png"/>
  <Override PartName="/word/media/rId592.png" ContentType="image/png"/>
  <Override PartName="/word/media/rId598.png" ContentType="image/png"/>
  <Override PartName="/word/media/rId604.png" ContentType="image/png"/>
  <Override PartName="/word/media/rId610.png" ContentType="image/png"/>
  <Override PartName="/word/media/rId616.png" ContentType="image/png"/>
  <Override PartName="/word/media/rId621.png" ContentType="image/png"/>
  <Override PartName="/word/media/rId626.png" ContentType="image/png"/>
  <Override PartName="/word/media/rId267.png" ContentType="image/png"/>
  <Override PartName="/word/media/rId289.png" ContentType="image/png"/>
  <Override PartName="/word/media/rId335.png" ContentType="image/png"/>
  <Override PartName="/word/media/rId122.png" ContentType="image/png"/>
  <Override PartName="/word/media/rId16.svg" ContentType="image/svg+xml"/>
  <Override PartName="/word/media/rId377.png" ContentType="image/png"/>
  <Override PartName="/word/media/rId382.png" ContentType="image/png"/>
  <Override PartName="/word/media/rId370.png" ContentType="image/png"/>
  <Override PartName="/word/media/rId272.png" ContentType="image/png"/>
  <Override PartName="/word/media/rId276.png" ContentType="image/png"/>
  <Override PartName="/word/media/rId167.jpg" ContentType="image/jpeg"/>
  <Override PartName="/word/media/rId503.png" ContentType="image/png"/>
  <Override PartName="/word/media/rId519.png" ContentType="image/png"/>
  <Override PartName="/word/media/rId489.png" ContentType="image/png"/>
  <Override PartName="/word/media/rId474.png" ContentType="image/png"/>
  <Override PartName="/word/media/rId499.png" ContentType="image/png"/>
  <Override PartName="/word/media/rId532.png" ContentType="image/png"/>
  <Override PartName="/word/media/rId528.png" ContentType="image/png"/>
  <Override PartName="/word/media/rId510.png" ContentType="image/png"/>
  <Override PartName="/word/media/rId514.png" ContentType="image/png"/>
  <Override PartName="/word/media/rId494.png" ContentType="image/png"/>
  <Override PartName="/word/media/rId523.png" ContentType="image/png"/>
  <Override PartName="/word/media/rId541.png" ContentType="image/png"/>
  <Override PartName="/word/media/rId478.png" ContentType="image/png"/>
  <Override PartName="/word/media/rId482.png" ContentType="image/png"/>
  <Override PartName="/word/media/rId9.svg" ContentType="image/svg+xml"/>
  <Override PartName="/word/media/rId41.png" ContentType="image/png"/>
  <Override PartName="/word/media/rId12.png" ContentType="image/png"/>
  <Override PartName="/word/media/rId19.png" ContentType="image/png"/>
  <Override PartName="/word/media/rId47.png" ContentType="image/png"/>
  <Override PartName="/word/media/rId220.png" ContentType="image/png"/>
  <Override PartName="/word/media/rId309.png" ContentType="image/png"/>
  <Override PartName="/word/media/rId301.png" ContentType="image/png"/>
  <Override PartName="/word/media/rId326.png" ContentType="image/png"/>
  <Override PartName="/word/media/rId321.png" ContentType="image/png"/>
  <Override PartName="/word/media/rId3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16,153 species distribution models with extinction risk assessments across US waters (9,230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6"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Compact"/>
        <w:numPr>
          <w:ilvl w:val="0"/>
          <w:numId w:val="1001"/>
        </w:numPr>
      </w:pPr>
      <w:hyperlink r:id="rId23">
        <w:r>
          <w:rPr>
            <w:rStyle w:val="Hyperlink"/>
          </w:rPr>
          <w:t xml:space="preserve">Your</w:t>
        </w:r>
        <w:r>
          <w:rPr>
            <w:rStyle w:val="Hyperlink"/>
          </w:rPr>
          <w:t xml:space="preserve"> </w:t>
        </w:r>
        <w:r>
          <w:rPr>
            <w:rStyle w:val="Hyperlink"/>
            <w:b/>
            <w:bCs/>
          </w:rPr>
          <w:t xml:space="preserve">area</w:t>
        </w:r>
      </w:hyperlink>
      <w:r>
        <w:t xml:space="preserve"> </w:t>
      </w:r>
      <w:r>
        <w:t xml:space="preserve">— outline any place in the Atlas (Places) for the same scores and a downloadable report</w:t>
      </w:r>
    </w:p>
    <w:p>
      <w:pPr>
        <w:pStyle w:val="FirstParagraph"/>
      </w:pPr>
      <w:r>
        <w:t xml:space="preserve">All three are the</w:t>
      </w:r>
      <w:r>
        <w:t xml:space="preserve"> </w:t>
      </w:r>
      <w:hyperlink r:id="rId24">
        <w:r>
          <w:rPr>
            <w:rStyle w:val="Hyperlink"/>
          </w:rPr>
          <w:t xml:space="preserve">Atlas</w:t>
        </w:r>
      </w:hyperlink>
      <w:r>
        <w:t xml:space="preserve">, which renders</w:t>
      </w:r>
      <w:r>
        <w:t xml:space="preserve"> </w:t>
      </w:r>
      <w:r>
        <w:rPr>
          <w:b/>
          <w:bCs/>
        </w:rPr>
        <w:t xml:space="preserve">any published release</w:t>
      </w:r>
      <w:r>
        <w:t xml:space="preserve">: 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one (a restricted pre-release is reached only on the review host, at</w:t>
      </w:r>
      <w:r>
        <w:t xml:space="preserve"> </w:t>
      </w:r>
      <w:r>
        <w:rPr>
          <w:rStyle w:val="VerbatimChar"/>
        </w:rPr>
        <w:t xml:space="preserve">/{version}/atlas/</w:t>
      </w:r>
      <w:r>
        <w:t xml:space="preserve">). Links to the former Scores and Species Shiny apps redirect to it.</w:t>
      </w:r>
    </w:p>
    <w:p>
      <w:pPr>
        <w:pStyle w:val="Compact"/>
        <w:numPr>
          <w:ilvl w:val="0"/>
          <w:numId w:val="1002"/>
        </w:numPr>
      </w:pPr>
      <w:hyperlink r:id="rId25">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6"/>
    <w:bookmarkStart w:id="27"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7"/>
    <w:bookmarkStart w:id="29"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8">
        <w:r>
          <w:rPr>
            <w:rStyle w:val="Hyperlink"/>
          </w:rPr>
          <w:t xml:space="preserve">https://marinesensitivity.org/docs/</w:t>
        </w:r>
      </w:hyperlink>
    </w:p>
    <w:bookmarkEnd w:id="29"/>
    <w:bookmarkStart w:id="36" w:name="acknowledgments"/>
    <w:p>
      <w:pPr>
        <w:pStyle w:val="Heading3"/>
      </w:pPr>
      <w:r>
        <w:t xml:space="preserve">Acknowledgments</w:t>
      </w:r>
    </w:p>
    <w:p>
      <w:pPr>
        <w:pStyle w:val="FirstParagraph"/>
      </w:pPr>
      <w:r>
        <w:t xml:space="preserve">This work is funded by the</w:t>
      </w:r>
      <w:r>
        <w:t xml:space="preserve"> </w:t>
      </w:r>
      <w:hyperlink r:id="rId30">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31">
        <w:r>
          <w:rPr>
            <w:rStyle w:val="Hyperlink"/>
          </w:rPr>
          <w:t xml:space="preserve">AquaMaps</w:t>
        </w:r>
      </w:hyperlink>
      <w:r>
        <w:t xml:space="preserve">,</w:t>
      </w:r>
      <w:r>
        <w:t xml:space="preserve"> </w:t>
      </w:r>
      <w:hyperlink r:id="rId32">
        <w:r>
          <w:rPr>
            <w:rStyle w:val="Hyperlink"/>
          </w:rPr>
          <w:t xml:space="preserve">BirdLife International</w:t>
        </w:r>
      </w:hyperlink>
      <w:r>
        <w:t xml:space="preserve">,</w:t>
      </w:r>
      <w:r>
        <w:t xml:space="preserve"> </w:t>
      </w:r>
      <w:hyperlink r:id="rId33">
        <w:r>
          <w:rPr>
            <w:rStyle w:val="Hyperlink"/>
          </w:rPr>
          <w:t xml:space="preserve">IUCN Red List</w:t>
        </w:r>
      </w:hyperlink>
      <w:r>
        <w:t xml:space="preserve">,</w:t>
      </w:r>
      <w:r>
        <w:t xml:space="preserve"> </w:t>
      </w:r>
      <w:hyperlink r:id="rId34">
        <w:r>
          <w:rPr>
            <w:rStyle w:val="Hyperlink"/>
          </w:rPr>
          <w:t xml:space="preserve">NOAA Fisheries</w:t>
        </w:r>
      </w:hyperlink>
      <w:r>
        <w:t xml:space="preserve">, and</w:t>
      </w:r>
      <w:r>
        <w:t xml:space="preserve"> </w:t>
      </w:r>
      <w:hyperlink r:id="rId35">
        <w:r>
          <w:rPr>
            <w:rStyle w:val="Hyperlink"/>
          </w:rPr>
          <w:t xml:space="preserve">U.S. Fish &amp; Wildlife Service</w:t>
        </w:r>
      </w:hyperlink>
      <w:r>
        <w:t xml:space="preserve">.</w:t>
      </w:r>
    </w:p>
    <w:bookmarkEnd w:id="36"/>
    <w:bookmarkEnd w:id="37"/>
    <w:bookmarkStart w:id="50"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8">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v7b</w:t>
      </w:r>
      <w:r>
        <w:t xml:space="preserve">, which integrates</w:t>
      </w:r>
      <w:r>
        <w:t xml:space="preserve"> </w:t>
      </w:r>
      <w:r>
        <w:rPr>
          <w:b/>
          <w:bCs/>
        </w:rPr>
        <w:t xml:space="preserve">16,153 valid marine species</w:t>
      </w:r>
      <w:r>
        <w:t xml:space="preserve"> </w:t>
      </w:r>
      <w:r>
        <w:t xml:space="preserve">across</w:t>
      </w:r>
      <w:r>
        <w:t xml:space="preserve"> </w:t>
      </w:r>
      <w:r>
        <w:rPr>
          <w:b/>
          <w:bCs/>
        </w:rPr>
        <w:t xml:space="preserve">8 source datasets</w:t>
      </w:r>
      <w:r>
        <w:t xml:space="preserve"> </w:t>
      </w:r>
      <w:r>
        <w:t xml:space="preserve">on a 0.05° grid (~4 km cells) covering the US Exclusive Economic Zone study area; of these,</w:t>
      </w:r>
      <w:r>
        <w:t xml:space="preserve"> </w:t>
      </w:r>
      <w:r>
        <w:rPr>
          <w:b/>
          <w:bCs/>
        </w:rPr>
        <w:t xml:space="preserve">9,230</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9">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40">
        <w:r>
          <w:rPr>
            <w:rStyle w:val="Hyperlink"/>
          </w:rPr>
          <w:t xml:space="preserve">Executive Order 14303</w:t>
        </w:r>
      </w:hyperlink>
      <w:r>
        <w:t xml:space="preserve">, we aim to provide a transparent and reproducible process that can be regularly updated as new data and methods become available.</w:t>
      </w:r>
    </w:p>
    <w:bookmarkStart w:id="49"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8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4" w:name="fig-process"/>
          <w:p>
            <w:pPr>
              <w:jc w:val="center"/>
            </w:pPr>
            <w:r>
              <w:drawing>
                <wp:inline>
                  <wp:extent cx="5334000" cy="1315720"/>
                  <wp:effectExtent b="0" l="0" r="0" t="0"/>
                  <wp:docPr descr="" title="" id="42" name="Picture"/>
                  <a:graphic>
                    <a:graphicData uri="http://schemas.openxmlformats.org/drawingml/2006/picture">
                      <pic:pic>
                        <pic:nvPicPr>
                          <pic:cNvPr descr="intro_files/figure-docx/mermaid-figure-2.png" id="43" name="Picture"/>
                          <pic:cNvPicPr>
                            <a:picLocks noChangeArrowheads="1" noChangeAspect="1"/>
                          </pic:cNvPicPr>
                        </pic:nvPicPr>
                        <pic:blipFill>
                          <a:blip r:embed="rId41"/>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4"/>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8" w:name="fig-overview"/>
          <w:p>
            <w:pPr>
              <w:pStyle w:val="Compact"/>
              <w:jc w:val="center"/>
            </w:pPr>
            <w:r>
              <w:drawing>
                <wp:inline>
                  <wp:extent cx="5334000" cy="3030681"/>
                  <wp:effectExtent b="0" l="0" r="0" t="0"/>
                  <wp:docPr descr="" title="" id="45" name="Picture"/>
                  <a:graphic>
                    <a:graphicData uri="http://schemas.openxmlformats.org/drawingml/2006/picture">
                      <pic:pic>
                        <pic:nvPicPr>
                          <pic:cNvPr descr="figures/overview-methods.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8"/>
        </w:tc>
      </w:tr>
    </w:tbl>
    <w:bookmarkEnd w:id="49"/>
    <w:bookmarkEnd w:id="50"/>
    <w:bookmarkStart w:id="88"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v7b</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v7b — v7.1: turtle core habitat + coverage floor</w:t>
            </w:r>
          </w:p>
        </w:tc>
      </w:tr>
      <w:tr>
        <w:trPr>
          <w:cantSplit/>
        </w:trPr>
        <w:tc>
          <w:tcPr>
            <w:tcMar>
              <w:top w:w="108" w:type="dxa"/>
              <w:bottom w:w="108" w:type="dxa"/>
            </w:tcMar>
          </w:tcPr>
          <w:p>
            <w:pPr>
              <w:pStyle w:val="BodyText"/>
            </w:pPr>
            <w:pPr>
              <w:spacing w:before="16"/>
            </w:pPr>
            <w:r>
              <w:t xml:space="preserve">Released 2026-09-20. This is a</w:t>
            </w:r>
            <w:r>
              <w:t xml:space="preserve"> </w:t>
            </w:r>
            <w:r>
              <w:rPr>
                <w:b/>
                <w:bCs/>
              </w:rPr>
              <w:t xml:space="preserve">pre-release</w:t>
            </w:r>
            <w:r>
              <w:t xml:space="preserve">.</w:t>
            </w:r>
          </w:p>
          <w:p>
            <w:pPr>
              <w:pStyle w:val="BodyText"/>
            </w:pPr>
            <w:pPr>
              <w:spacing w:after="16"/>
            </w:pPr>
            <w:r>
              <w:t xml:space="preserve">A pre-release is reachable only by naming it explicitly; it is never what a reader gets by default.</w:t>
            </w:r>
          </w:p>
          <w:p/>
        </w:tc>
      </w:tr>
    </w:tbl>
    <w:bookmarkStart w:id="58"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3"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rPr>
                      <w:b/>
                      <w:bCs/>
                    </w:rP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3"/>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7"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7"/>
          <w:p/>
        </w:tc>
      </w:tr>
    </w:tbl>
    <w:bookmarkEnd w:id="58"/>
    <w:bookmarkStart w:id="85"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5"/>
    <w:bookmarkStart w:id="87"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 the</w:t>
      </w:r>
      <w:r>
        <w:t xml:space="preserve"> </w:t>
      </w:r>
      <w:hyperlink r:id="rId86">
        <w:r>
          <w:rPr>
            <w:rStyle w:val="Hyperlink"/>
          </w:rPr>
          <w:t xml:space="preserve">Atlas</w:t>
        </w:r>
      </w:hyperlink>
      <w:r>
        <w:t xml:space="preserve">, substituting any published version in</w:t>
      </w:r>
      <w:r>
        <w:t xml:space="preserve"> </w:t>
      </w:r>
      <w:r>
        <w:rPr>
          <w:rStyle w:val="VerbatimChar"/>
        </w:rPr>
        <w:t xml:space="preserve">?ver=</w:t>
      </w:r>
      <w:r>
        <w:t xml:space="preserve"> </w:t>
      </w:r>
      <w:r>
        <w:t xml:space="preserve">(a restricted pre-release is reached only on the preview host, at</w:t>
      </w:r>
      <w:r>
        <w:t xml:space="preserve"> </w:t>
      </w:r>
      <w:r>
        <w:rPr>
          <w:rStyle w:val="VerbatimChar"/>
        </w:rPr>
        <w:t xml:space="preserve">/{version}/atlas/</w:t>
      </w:r>
      <w:r>
        <w:t xml:space="preserve">). The Scores and Species Shiny apps and their per-version forks are retired; their old URLs (</w:t>
      </w:r>
      <w:r>
        <w:rPr>
          <w:rStyle w:val="VerbatimChar"/>
        </w:rPr>
        <w:t xml:space="preserve">/v3/scores/</w:t>
      </w:r>
      <w:r>
        <w:t xml:space="preserve">,</w:t>
      </w:r>
      <w:r>
        <w:t xml:space="preserve"> </w:t>
      </w:r>
      <w:r>
        <w:rPr>
          <w:rStyle w:val="VerbatimChar"/>
        </w:rPr>
        <w:t xml:space="preserve">/v3/species/</w:t>
      </w:r>
      <w:r>
        <w:t xml:space="preserve">, an older</w:t>
      </w:r>
      <w:r>
        <w:t xml:space="preserve"> </w:t>
      </w:r>
      <w:r>
        <w:rPr>
          <w:rStyle w:val="VerbatimChar"/>
        </w:rPr>
        <w:t xml:space="preserve">?ver=v3</w:t>
      </w:r>
      <w:r>
        <w:t xml:space="preserve"> </w:t>
      </w:r>
      <w:r>
        <w:t xml:space="preserve">deep link) redirect to the equivalent Atlas view, so links printed in earlier reports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7"/>
    <w:bookmarkEnd w:id="88"/>
    <w:bookmarkStart w:id="109"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4"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1"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1"/>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2"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2"/>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3"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3"/>
    <w:bookmarkEnd w:id="94"/>
    <w:bookmarkStart w:id="95"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5"/>
    <w:bookmarkStart w:id="98"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6"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6"/>
    <w:bookmarkStart w:id="97"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7"/>
    <w:bookmarkEnd w:id="98"/>
    <w:bookmarkStart w:id="99"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9"/>
    <w:bookmarkStart w:id="103"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quarto/share/formats/docx/important.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3"/>
    <w:bookmarkStart w:id="106"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6"/>
    <w:bookmarkStart w:id="107"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7"/>
    <w:bookmarkStart w:id="108"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8"/>
    <w:bookmarkEnd w:id="109"/>
    <w:bookmarkStart w:id="112"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2"/>
    <w:bookmarkStart w:id="128"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5">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7"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6"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6"/>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7"/>
    <w:bookmarkStart w:id="119"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8"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8"/>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9"/>
    <w:bookmarkStart w:id="120"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16,153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20"/>
    <w:bookmarkStart w:id="127"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1"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1"/>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6"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5" w:name="fig-map-ecoregions-science"/>
          <w:p>
            <w:pPr>
              <w:pStyle w:val="Compact"/>
              <w:jc w:val="center"/>
            </w:pPr>
            <w:r>
              <w:drawing>
                <wp:inline>
                  <wp:extent cx="5334000" cy="3182620"/>
                  <wp:effectExtent b="0" l="0" r="0" t="0"/>
                  <wp:docPr descr="" title="" id="123" name="Picture"/>
                  <a:graphic>
                    <a:graphicData uri="http://schemas.openxmlformats.org/drawingml/2006/picture">
                      <pic:pic>
                        <pic:nvPicPr>
                          <pic:cNvPr descr="figures/map-ecoregions-static.png" id="124"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5"/>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6"/>
    <w:bookmarkEnd w:id="127"/>
    <w:bookmarkEnd w:id="128"/>
    <w:bookmarkStart w:id="172"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8 source datasets</w:t>
      </w:r>
      <w:r>
        <w:t xml:space="preserve">, though not in equal measure —</w:t>
      </w:r>
      <w:r>
        <w:t xml:space="preserve"> </w:t>
      </w:r>
      <w:r>
        <w:rPr>
          <w:rStyle w:val="VerbatimChar"/>
        </w:rPr>
        <w:t xml:space="preserve">am_0.05</w:t>
      </w:r>
      <w:r>
        <w:t xml:space="preserve"> </w:t>
      </w:r>
      <w:r>
        <w:t xml:space="preserve">alone supplies the distribution of 97%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quarto/share/formats/docx/note.png" id="1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v7b</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4"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1" w:name="tbl-datasets"/>
          <w:p>
            <w:pPr>
              <w:jc w:val="center"/>
            </w:pPr>
            <w:pPr>
              <w:jc w:val="left"/>
              <w:spacing w:before="200"/>
              <w:pStyle w:val="ImageCaption"/>
            </w:pPr>
            <w:r>
              <w:t xml:space="preserve">Table 6.1: Source datasets in v7b,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1742"/>
              <w:gridCol w:w="1742"/>
              <w:gridCol w:w="2930"/>
              <w:gridCol w:w="475"/>
              <w:gridCol w:w="554"/>
              <w:gridCol w:w="475"/>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15,665</w:t>
                  </w:r>
                </w:p>
              </w:tc>
              <w:tc>
                <w:tcPr/>
                <w:p>
                  <w:pPr>
                    <w:pStyle w:val="Compact"/>
                    <w:jc w:val="right"/>
                    <w:jc w:val="center"/>
                  </w:pPr>
                  <w:r>
                    <w:t xml:space="preserve">97.0%</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26</w:t>
                  </w:r>
                </w:p>
              </w:tc>
              <w:tc>
                <w:tcPr/>
                <w:p>
                  <w:pPr>
                    <w:pStyle w:val="Compact"/>
                    <w:jc w:val="right"/>
                    <w:jc w:val="center"/>
                  </w:pPr>
                  <w:r>
                    <w:t xml:space="preserve">0.2%</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21</w:t>
                  </w:r>
                </w:p>
              </w:tc>
              <w:tc>
                <w:tcPr/>
                <w:p>
                  <w:pPr>
                    <w:pStyle w:val="Compact"/>
                    <w:jc w:val="right"/>
                    <w:jc w:val="center"/>
                  </w:pPr>
                  <w:r>
                    <w:t xml:space="preserve">0.1%</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70</w:t>
                  </w:r>
                </w:p>
              </w:tc>
              <w:tc>
                <w:tcPr/>
                <w:p>
                  <w:pPr>
                    <w:pStyle w:val="Compact"/>
                    <w:jc w:val="right"/>
                    <w:jc w:val="center"/>
                  </w:pPr>
                  <w:r>
                    <w:t xml:space="preserve">0.4%</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441</w:t>
                  </w:r>
                </w:p>
              </w:tc>
              <w:tc>
                <w:tcPr/>
                <w:p>
                  <w:pPr>
                    <w:pStyle w:val="Compact"/>
                    <w:jc w:val="right"/>
                    <w:jc w:val="center"/>
                  </w:pPr>
                  <w:r>
                    <w:t xml:space="preserve">2.7%</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2,619</w:t>
                  </w:r>
                </w:p>
              </w:tc>
              <w:tc>
                <w:tcPr/>
                <w:p>
                  <w:pPr>
                    <w:pStyle w:val="Compact"/>
                    <w:jc w:val="right"/>
                    <w:jc w:val="center"/>
                  </w:pPr>
                  <w:r>
                    <w:t xml:space="preserve">16.2%</w:t>
                  </w:r>
                </w:p>
              </w:tc>
            </w:tr>
            <w:tr>
              <w:tc>
                <w:tcPr/>
                <w:p>
                  <w:pPr>
                    <w:pStyle w:val="Compact"/>
                    <w:jc w:val="left"/>
                    <w:jc w:val="center"/>
                  </w:pPr>
                  <w:r>
                    <w:rPr>
                      <w:rStyle w:val="VerbatimChar"/>
                    </w:rPr>
                    <w:t xml:space="preserve">rng_turtle_swot_dps</w:t>
                  </w:r>
                </w:p>
              </w:tc>
              <w:tc>
                <w:tcPr/>
                <w:p>
                  <w:pPr>
                    <w:pStyle w:val="Compact"/>
                    <w:jc w:val="left"/>
                    <w:jc w:val="center"/>
                  </w:pPr>
                  <w:r>
                    <w:t xml:space="preserve">SWOT+DPS Turtle Range</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6</w:t>
                  </w:r>
                </w:p>
              </w:tc>
              <w:tc>
                <w:tcPr/>
                <w:p>
                  <w:pPr>
                    <w:pStyle w:val="Compact"/>
                    <w:jc w:val="right"/>
                    <w:jc w:val="center"/>
                  </w:pPr>
                  <w:r>
                    <w:t xml:space="preserve">&lt;0.1%</w:t>
                  </w:r>
                </w:p>
              </w:tc>
            </w:tr>
          </w:tbl>
          <w:bookmarkEnd w:id="131"/>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Applications/quarto/share/formats/docx/important.png" id="13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(15,665),</w:t>
            </w:r>
            <w:r>
              <w:t xml:space="preserve"> </w:t>
            </w:r>
            <w:r>
              <w:rPr>
                <w:rStyle w:val="VerbatimChar"/>
              </w:rPr>
              <w:t xml:space="preserve">bl</w:t>
            </w:r>
            <w:r>
              <w:t xml:space="preserve"> </w:t>
            </w:r>
            <w:r>
              <w:t xml:space="preserve">(441),</w:t>
            </w:r>
            <w:r>
              <w:t xml:space="preserve"> </w:t>
            </w:r>
            <w:r>
              <w:rPr>
                <w:rStyle w:val="VerbatimChar"/>
              </w:rPr>
              <w:t xml:space="preserve">rng_iucn</w:t>
            </w:r>
            <w:r>
              <w:t xml:space="preserve"> </w:t>
            </w:r>
            <w:r>
              <w:t xml:space="preserve">(2,619)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(26),</w:t>
            </w:r>
            <w:r>
              <w:t xml:space="preserve"> </w:t>
            </w:r>
            <w:r>
              <w:rPr>
                <w:rStyle w:val="VerbatimChar"/>
              </w:rPr>
              <w:t xml:space="preserve">ch_fws</w:t>
            </w:r>
            <w:r>
              <w:t xml:space="preserve"> </w:t>
            </w:r>
            <w:r>
              <w:t xml:space="preserve">(21),</w:t>
            </w:r>
            <w:r>
              <w:t xml:space="preserve"> </w:t>
            </w:r>
            <w:r>
              <w:rPr>
                <w:rStyle w:val="VerbatimChar"/>
              </w:rPr>
              <w:t xml:space="preserve">rng_fws</w:t>
            </w:r>
            <w:r>
              <w:t xml:space="preserve"> </w:t>
            </w:r>
            <w:r>
              <w:t xml:space="preserve">(70),</w:t>
            </w:r>
            <w:r>
              <w:t xml:space="preserve"> </w:t>
            </w:r>
            <w:r>
              <w:rPr>
                <w:rStyle w:val="VerbatimChar"/>
              </w:rPr>
              <w:t xml:space="preserve">rng_turtle_swot_dps</w:t>
            </w:r>
            <w:r>
              <w:t xml:space="preserve"> </w:t>
            </w:r>
            <w:r>
              <w:t xml:space="preserve">(6)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v7b the merged model covers</w:t>
      </w:r>
      <w:r>
        <w:t xml:space="preserve"> </w:t>
      </w:r>
      <w:r>
        <w:rPr>
          <w:b/>
          <w:bCs/>
        </w:rPr>
        <w:t xml:space="preserve">9,424</w:t>
      </w:r>
      <w:r>
        <w:t xml:space="preserve"> </w:t>
      </w:r>
      <w:r>
        <w:t xml:space="preserve">of the 16,153 valid species (58%). The remainder carry a single source model directly — this release merges only where a taxon has more than one contributing dataset, so most species are scored straight from their source.</w:t>
      </w:r>
    </w:p>
    <w:bookmarkEnd w:id="134"/>
    <w:bookmarkStart w:id="157" w:name="the-sources"/>
    <w:p>
      <w:pPr>
        <w:pStyle w:val="Heading2"/>
      </w:pPr>
      <w:r>
        <w:t xml:space="preserve">6.2 The sources</w:t>
      </w:r>
    </w:p>
    <w:bookmarkStart w:id="137" w:name="aquamaps-sdm-am_0.05"/>
    <w:p>
      <w:pPr>
        <w:pStyle w:val="Heading3"/>
      </w:pPr>
      <w:r>
        <w:t xml:space="preserve">6.2.1 AquaMaps SDM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17,550</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Compact"/>
        <w:numPr>
          <w:ilvl w:val="0"/>
          <w:numId w:val="1011"/>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31">
        <w:r>
          <w:rPr>
            <w:rStyle w:val="Hyperlink"/>
          </w:rPr>
          <w:t xml:space="preserve">Source</w:t>
        </w:r>
      </w:hyperlink>
      <w:r>
        <w:t xml:space="preserve"> </w:t>
      </w:r>
      <w:r>
        <w:t xml:space="preserve">·</w:t>
      </w:r>
      <w:r>
        <w:t xml:space="preserve"> </w:t>
      </w:r>
      <w:hyperlink r:id="rId135">
        <w:r>
          <w:rPr>
            <w:rStyle w:val="Hyperlink"/>
          </w:rPr>
          <w:t xml:space="preserve">Download</w:t>
        </w:r>
      </w:hyperlink>
      <w:r>
        <w:t xml:space="preserve"> </w:t>
      </w:r>
      <w:r>
        <w:t xml:space="preserve">·</w:t>
      </w:r>
      <w:r>
        <w:t xml:space="preserve"> </w:t>
      </w:r>
      <w:hyperlink r:id="rId136">
        <w:r>
          <w:rPr>
            <w:rStyle w:val="Hyperlink"/>
          </w:rPr>
          <w:t xml:space="preserve">Metadata</w:t>
        </w:r>
      </w:hyperlink>
    </w:p>
    <w:bookmarkEnd w:id="137"/>
    <w:bookmarkStart w:id="140" w:name="nmfs-core-area-ca_nmfs"/>
    <w:p>
      <w:pPr>
        <w:pStyle w:val="Heading3"/>
      </w:pPr>
      <w:r>
        <w:t xml:space="preserve">6.2.2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2"/>
        </w:numPr>
      </w:pPr>
      <w:r>
        <w:rPr>
          <w:b/>
          <w:bCs/>
        </w:rPr>
        <w:t xml:space="preserve">Models</w:t>
      </w:r>
      <w:r>
        <w:t xml:space="preserve">: 1</w:t>
      </w:r>
    </w:p>
    <w:p>
      <w:pPr>
        <w:pStyle w:val="Compact"/>
        <w:numPr>
          <w:ilvl w:val="0"/>
          <w:numId w:val="1012"/>
        </w:numPr>
      </w:pPr>
      <w:r>
        <w:rPr>
          <w:b/>
          <w:bCs/>
        </w:rPr>
        <w:t xml:space="preserve">Response</w:t>
      </w:r>
      <w:r>
        <w:t xml:space="preserve">: binary</w:t>
      </w:r>
    </w:p>
    <w:p>
      <w:pPr>
        <w:pStyle w:val="Compact"/>
        <w:numPr>
          <w:ilvl w:val="0"/>
          <w:numId w:val="1012"/>
        </w:numPr>
      </w:pPr>
      <w:r>
        <w:rPr>
          <w:b/>
          <w:bCs/>
        </w:rPr>
        <w:t xml:space="preserve">Cell values</w:t>
      </w:r>
      <w:r>
        <w:t xml:space="preserve">: Core: 100</w:t>
      </w:r>
    </w:p>
    <w:p>
      <w:pPr>
        <w:pStyle w:val="Compact"/>
        <w:numPr>
          <w:ilvl w:val="0"/>
          <w:numId w:val="1012"/>
        </w:numPr>
      </w:pPr>
      <w:r>
        <w:rPr>
          <w:b/>
          <w:bCs/>
        </w:rPr>
        <w:t xml:space="preserve">Coverage</w:t>
      </w:r>
      <w:r>
        <w:t xml:space="preserve">: USA</w:t>
      </w:r>
    </w:p>
    <w:p>
      <w:pPr>
        <w:pStyle w:val="Compact"/>
        <w:numPr>
          <w:ilvl w:val="0"/>
          <w:numId w:val="1012"/>
        </w:numPr>
      </w:pPr>
      <w:r>
        <w:rPr>
          <w:b/>
          <w:bCs/>
        </w:rPr>
        <w:t xml:space="preserve">Taxa</w:t>
      </w:r>
      <w:r>
        <w:t xml:space="preserve">: cetaceans</w:t>
      </w:r>
    </w:p>
    <w:p>
      <w:pPr>
        <w:pStyle w:val="Compact"/>
        <w:numPr>
          <w:ilvl w:val="0"/>
          <w:numId w:val="1012"/>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38">
        <w:r>
          <w:rPr>
            <w:rStyle w:val="Hyperlink"/>
          </w:rPr>
          <w:t xml:space="preserve">Source</w:t>
        </w:r>
      </w:hyperlink>
      <w:r>
        <w:t xml:space="preserve"> </w:t>
      </w:r>
      <w:r>
        <w:t xml:space="preserve">·</w:t>
      </w:r>
      <w:r>
        <w:t xml:space="preserve"> </w:t>
      </w:r>
      <w:hyperlink r:id="rId139">
        <w:r>
          <w:rPr>
            <w:rStyle w:val="Hyperlink"/>
          </w:rPr>
          <w:t xml:space="preserve">Download</w:t>
        </w:r>
      </w:hyperlink>
    </w:p>
    <w:bookmarkEnd w:id="140"/>
    <w:bookmarkStart w:id="144" w:name="nmfs-critical-habitat-ch_nmfs"/>
    <w:p>
      <w:pPr>
        <w:pStyle w:val="Heading3"/>
      </w:pPr>
      <w:r>
        <w:t xml:space="preserve">6.2.3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3"/>
        </w:numPr>
      </w:pPr>
      <w:r>
        <w:rPr>
          <w:b/>
          <w:bCs/>
        </w:rPr>
        <w:t xml:space="preserve">Models</w:t>
      </w:r>
      <w:r>
        <w:t xml:space="preserve">: 34</w:t>
      </w:r>
    </w:p>
    <w:p>
      <w:pPr>
        <w:pStyle w:val="Compact"/>
        <w:numPr>
          <w:ilvl w:val="0"/>
          <w:numId w:val="1013"/>
        </w:numPr>
      </w:pPr>
      <w:r>
        <w:rPr>
          <w:b/>
          <w:bCs/>
        </w:rPr>
        <w:t xml:space="preserve">Response</w:t>
      </w:r>
      <w:r>
        <w:t xml:space="preserve">: binary</w:t>
      </w:r>
    </w:p>
    <w:p>
      <w:pPr>
        <w:pStyle w:val="Compact"/>
        <w:numPr>
          <w:ilvl w:val="0"/>
          <w:numId w:val="1013"/>
        </w:numPr>
      </w:pPr>
      <w:r>
        <w:rPr>
          <w:b/>
          <w:bCs/>
        </w:rPr>
        <w:t xml:space="preserve">Cell values</w:t>
      </w:r>
      <w:r>
        <w:t xml:space="preserve">: EN:100, TN:50</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Compact"/>
        <w:numPr>
          <w:ilvl w:val="0"/>
          <w:numId w:val="101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1">
        <w:r>
          <w:rPr>
            <w:rStyle w:val="Hyperlink"/>
          </w:rPr>
          <w:t xml:space="preserve">Source</w:t>
        </w:r>
      </w:hyperlink>
      <w:r>
        <w:t xml:space="preserve"> </w:t>
      </w:r>
      <w:r>
        <w:t xml:space="preserve">·</w:t>
      </w:r>
      <w:r>
        <w:t xml:space="preserve"> </w:t>
      </w:r>
      <w:hyperlink r:id="rId142">
        <w:r>
          <w:rPr>
            <w:rStyle w:val="Hyperlink"/>
          </w:rPr>
          <w:t xml:space="preserve">Download</w:t>
        </w:r>
      </w:hyperlink>
      <w:r>
        <w:t xml:space="preserve"> </w:t>
      </w:r>
      <w:r>
        <w:t xml:space="preserve">·</w:t>
      </w:r>
      <w:r>
        <w:t xml:space="preserve"> </w:t>
      </w:r>
      <w:hyperlink r:id="rId143">
        <w:r>
          <w:rPr>
            <w:rStyle w:val="Hyperlink"/>
          </w:rPr>
          <w:t xml:space="preserve">Metadata</w:t>
        </w:r>
      </w:hyperlink>
    </w:p>
    <w:bookmarkEnd w:id="144"/>
    <w:bookmarkStart w:id="147" w:name="fws-critical-habitat-ch_fws"/>
    <w:p>
      <w:pPr>
        <w:pStyle w:val="Heading3"/>
      </w:pPr>
      <w:r>
        <w:t xml:space="preserve">6.2.4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4"/>
        </w:numPr>
      </w:pPr>
      <w:r>
        <w:rPr>
          <w:b/>
          <w:bCs/>
        </w:rPr>
        <w:t xml:space="preserve">Models</w:t>
      </w:r>
      <w:r>
        <w:t xml:space="preserve">: 29</w:t>
      </w:r>
    </w:p>
    <w:p>
      <w:pPr>
        <w:pStyle w:val="Compact"/>
        <w:numPr>
          <w:ilvl w:val="0"/>
          <w:numId w:val="1014"/>
        </w:numPr>
      </w:pPr>
      <w:r>
        <w:rPr>
          <w:b/>
          <w:bCs/>
        </w:rPr>
        <w:t xml:space="preserve">Response</w:t>
      </w:r>
      <w:r>
        <w:t xml:space="preserve">: binary</w:t>
      </w:r>
    </w:p>
    <w:p>
      <w:pPr>
        <w:pStyle w:val="Compact"/>
        <w:numPr>
          <w:ilvl w:val="0"/>
          <w:numId w:val="1014"/>
        </w:numPr>
      </w:pPr>
      <w:r>
        <w:rPr>
          <w:b/>
          <w:bCs/>
        </w:rPr>
        <w:t xml:space="preserve">Cell values</w:t>
      </w:r>
      <w:r>
        <w:t xml:space="preserve">: EN:100, TN:50</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Compact"/>
        <w:numPr>
          <w:ilvl w:val="0"/>
          <w:numId w:val="1014"/>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5">
        <w:r>
          <w:rPr>
            <w:rStyle w:val="Hyperlink"/>
          </w:rPr>
          <w:t xml:space="preserve">Source</w:t>
        </w:r>
      </w:hyperlink>
      <w:r>
        <w:t xml:space="preserve"> </w:t>
      </w:r>
      <w:r>
        <w:t xml:space="preserve">·</w:t>
      </w:r>
      <w:r>
        <w:t xml:space="preserve"> </w:t>
      </w:r>
      <w:hyperlink r:id="rId146">
        <w:r>
          <w:rPr>
            <w:rStyle w:val="Hyperlink"/>
          </w:rPr>
          <w:t xml:space="preserve">Download</w:t>
        </w:r>
      </w:hyperlink>
      <w:r>
        <w:t xml:space="preserve"> </w:t>
      </w:r>
      <w:r>
        <w:t xml:space="preserve">·</w:t>
      </w:r>
      <w:r>
        <w:t xml:space="preserve"> </w:t>
      </w:r>
      <w:hyperlink r:id="rId145">
        <w:r>
          <w:rPr>
            <w:rStyle w:val="Hyperlink"/>
          </w:rPr>
          <w:t xml:space="preserve">Metadata</w:t>
        </w:r>
      </w:hyperlink>
    </w:p>
    <w:bookmarkEnd w:id="147"/>
    <w:bookmarkStart w:id="150" w:name="fws-range-rng_fws"/>
    <w:p>
      <w:pPr>
        <w:pStyle w:val="Heading3"/>
      </w:pPr>
      <w:r>
        <w:t xml:space="preserve">6.2.5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106</w:t>
      </w:r>
    </w:p>
    <w:p>
      <w:pPr>
        <w:pStyle w:val="Compact"/>
        <w:numPr>
          <w:ilvl w:val="0"/>
          <w:numId w:val="1015"/>
        </w:numPr>
      </w:pPr>
      <w:r>
        <w:rPr>
          <w:b/>
          <w:bCs/>
        </w:rPr>
        <w:t xml:space="preserve">Response</w:t>
      </w:r>
      <w:r>
        <w:t xml:space="preserve">: binary</w:t>
      </w:r>
    </w:p>
    <w:p>
      <w:pPr>
        <w:pStyle w:val="Compact"/>
        <w:numPr>
          <w:ilvl w:val="0"/>
          <w:numId w:val="1015"/>
        </w:numPr>
      </w:pPr>
      <w:r>
        <w:rPr>
          <w:b/>
          <w:bCs/>
        </w:rPr>
        <w:t xml:space="preserve">Cell values</w:t>
      </w:r>
      <w:r>
        <w:t xml:space="preserve">: EN:100, TN:50, LC:1</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Compact"/>
        <w:numPr>
          <w:ilvl w:val="0"/>
          <w:numId w:val="1015"/>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8">
        <w:r>
          <w:rPr>
            <w:rStyle w:val="Hyperlink"/>
          </w:rPr>
          <w:t xml:space="preserve">Source</w:t>
        </w:r>
      </w:hyperlink>
      <w:r>
        <w:t xml:space="preserve"> </w:t>
      </w:r>
      <w:r>
        <w:t xml:space="preserve">·</w:t>
      </w:r>
      <w:r>
        <w:t xml:space="preserve"> </w:t>
      </w:r>
      <w:hyperlink r:id="rId149">
        <w:r>
          <w:rPr>
            <w:rStyle w:val="Hyperlink"/>
          </w:rPr>
          <w:t xml:space="preserve">Download</w:t>
        </w:r>
      </w:hyperlink>
    </w:p>
    <w:bookmarkEnd w:id="150"/>
    <w:bookmarkStart w:id="152" w:name="birdlife-range-bl"/>
    <w:p>
      <w:pPr>
        <w:pStyle w:val="Heading3"/>
      </w:pPr>
      <w:r>
        <w:t xml:space="preserve">6.2.6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6"/>
        </w:numPr>
      </w:pPr>
      <w:r>
        <w:rPr>
          <w:b/>
          <w:bCs/>
        </w:rPr>
        <w:t xml:space="preserve">Models</w:t>
      </w:r>
      <w:r>
        <w:t xml:space="preserve">: 573</w:t>
      </w:r>
    </w:p>
    <w:p>
      <w:pPr>
        <w:pStyle w:val="Compact"/>
        <w:numPr>
          <w:ilvl w:val="0"/>
          <w:numId w:val="1016"/>
        </w:numPr>
      </w:pPr>
      <w:r>
        <w:rPr>
          <w:b/>
          <w:bCs/>
        </w:rPr>
        <w:t xml:space="preserve">Response</w:t>
      </w:r>
      <w:r>
        <w:t xml:space="preserve">: binary</w:t>
      </w:r>
    </w:p>
    <w:p>
      <w:pPr>
        <w:pStyle w:val="Compact"/>
        <w:numPr>
          <w:ilvl w:val="0"/>
          <w:numId w:val="1016"/>
        </w:numPr>
      </w:pPr>
      <w:r>
        <w:rPr>
          <w:b/>
          <w:bCs/>
        </w:rPr>
        <w:t xml:space="preserve">Cell values</w:t>
      </w:r>
      <w:r>
        <w:t xml:space="preserve">: CR:50, EN:25, VU:5, NT:2, LC:1, DD:1</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birds</w:t>
      </w:r>
    </w:p>
    <w:p>
      <w:pPr>
        <w:pStyle w:val="Compact"/>
        <w:numPr>
          <w:ilvl w:val="0"/>
          <w:numId w:val="1016"/>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1">
        <w:r>
          <w:rPr>
            <w:rStyle w:val="Hyperlink"/>
          </w:rPr>
          <w:t xml:space="preserve">Source</w:t>
        </w:r>
      </w:hyperlink>
      <w:r>
        <w:t xml:space="preserve"> </w:t>
      </w:r>
      <w:r>
        <w:t xml:space="preserve">·</w:t>
      </w:r>
      <w:r>
        <w:t xml:space="preserve"> </w:t>
      </w:r>
      <w:hyperlink r:id="rId151">
        <w:r>
          <w:rPr>
            <w:rStyle w:val="Hyperlink"/>
          </w:rPr>
          <w:t xml:space="preserve">Download</w:t>
        </w:r>
      </w:hyperlink>
      <w:r>
        <w:t xml:space="preserve"> </w:t>
      </w:r>
      <w:r>
        <w:t xml:space="preserve">·</w:t>
      </w:r>
      <w:r>
        <w:t xml:space="preserve"> </w:t>
      </w:r>
      <w:hyperlink r:id="rId143">
        <w:r>
          <w:rPr>
            <w:rStyle w:val="Hyperlink"/>
          </w:rPr>
          <w:t xml:space="preserve">Metadata</w:t>
        </w:r>
      </w:hyperlink>
    </w:p>
    <w:bookmarkEnd w:id="152"/>
    <w:bookmarkStart w:id="154" w:name="iucn-range-rng_iucn"/>
    <w:p>
      <w:pPr>
        <w:pStyle w:val="Heading3"/>
      </w:pPr>
      <w:r>
        <w:t xml:space="preserve">6.2.7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7"/>
        </w:numPr>
      </w:pPr>
      <w:r>
        <w:rPr>
          <w:b/>
          <w:bCs/>
        </w:rPr>
        <w:t xml:space="preserve">Models</w:t>
      </w:r>
      <w:r>
        <w:t xml:space="preserve">: 3,766</w:t>
      </w:r>
    </w:p>
    <w:p>
      <w:pPr>
        <w:pStyle w:val="Compact"/>
        <w:numPr>
          <w:ilvl w:val="0"/>
          <w:numId w:val="1017"/>
        </w:numPr>
      </w:pPr>
      <w:r>
        <w:rPr>
          <w:b/>
          <w:bCs/>
        </w:rPr>
        <w:t xml:space="preserve">Response</w:t>
      </w:r>
      <w:r>
        <w:t xml:space="preserve">: binary</w:t>
      </w:r>
    </w:p>
    <w:p>
      <w:pPr>
        <w:pStyle w:val="Compact"/>
        <w:numPr>
          <w:ilvl w:val="0"/>
          <w:numId w:val="1017"/>
        </w:numPr>
      </w:pPr>
      <w:r>
        <w:rPr>
          <w:b/>
          <w:bCs/>
        </w:rPr>
        <w:t xml:space="preserve">Cell values</w:t>
      </w:r>
      <w:r>
        <w:t xml:space="preserve">: CR:50, EN:25, VU:5, NT:2, LC:1, DD:1</w:t>
      </w:r>
    </w:p>
    <w:p>
      <w:pPr>
        <w:pStyle w:val="Compact"/>
        <w:numPr>
          <w:ilvl w:val="0"/>
          <w:numId w:val="1017"/>
        </w:numPr>
      </w:pPr>
      <w:r>
        <w:rPr>
          <w:b/>
          <w:bCs/>
        </w:rPr>
        <w:t xml:space="preserve">Coverage</w:t>
      </w:r>
      <w:r>
        <w:t xml:space="preserve">: Global</w:t>
      </w:r>
    </w:p>
    <w:p>
      <w:pPr>
        <w:pStyle w:val="Compact"/>
        <w:numPr>
          <w:ilvl w:val="0"/>
          <w:numId w:val="1017"/>
        </w:numPr>
      </w:pPr>
      <w:r>
        <w:rPr>
          <w:b/>
          <w:bCs/>
        </w:rPr>
        <w:t xml:space="preserve">Taxa</w:t>
      </w:r>
      <w:r>
        <w:t xml:space="preserve">: all taxa (except birds)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153">
        <w:r>
          <w:rPr>
            <w:rStyle w:val="Hyperlink"/>
          </w:rPr>
          <w:t xml:space="preserve">Source</w:t>
        </w:r>
      </w:hyperlink>
    </w:p>
    <w:bookmarkEnd w:id="154"/>
    <w:bookmarkStart w:id="156" w:name="swotdps-turtle-range-rng_turtle_swot_dps"/>
    <w:p>
      <w:pPr>
        <w:pStyle w:val="Heading3"/>
      </w:pPr>
      <w:r>
        <w:t xml:space="preserve">6.2.8 SWOT+DPS Turtle Range (</w:t>
      </w:r>
      <w:r>
        <w:rPr>
          <w:rStyle w:val="VerbatimChar"/>
        </w:rPr>
        <w:t xml:space="preserve">rng_turtle_swot_dps</w:t>
      </w:r>
      <w:r>
        <w:t xml:space="preserve">)</w:t>
      </w:r>
    </w:p>
    <w:p>
      <w:pPr>
        <w:pStyle w:val="FirstParagraph"/>
      </w:pPr>
      <w:r>
        <w:t xml:space="preserve">SWOT sea turtle global distributions overlaid with NMFS Endangered Distinct Population Segments. EN DPS areas coded as Endangered (value=100), remainder as Threatened (value=50).</w:t>
      </w:r>
    </w:p>
    <w:p>
      <w:pPr>
        <w:pStyle w:val="Compact"/>
        <w:numPr>
          <w:ilvl w:val="0"/>
          <w:numId w:val="1018"/>
        </w:numPr>
      </w:pPr>
      <w:r>
        <w:rPr>
          <w:b/>
          <w:bCs/>
        </w:rPr>
        <w:t xml:space="preserve">Models</w:t>
      </w:r>
      <w:r>
        <w:t xml:space="preserve">: 6</w:t>
      </w:r>
    </w:p>
    <w:p>
      <w:pPr>
        <w:pStyle w:val="Compact"/>
        <w:numPr>
          <w:ilvl w:val="0"/>
          <w:numId w:val="1018"/>
        </w:numPr>
      </w:pPr>
      <w:r>
        <w:rPr>
          <w:b/>
          <w:bCs/>
        </w:rPr>
        <w:t xml:space="preserve">Response</w:t>
      </w:r>
      <w:r>
        <w:t xml:space="preserve">: binary</w:t>
      </w:r>
    </w:p>
    <w:p>
      <w:pPr>
        <w:pStyle w:val="Compact"/>
        <w:numPr>
          <w:ilvl w:val="0"/>
          <w:numId w:val="1018"/>
        </w:numPr>
      </w:pPr>
      <w:r>
        <w:rPr>
          <w:b/>
          <w:bCs/>
        </w:rPr>
        <w:t xml:space="preserve">Cell values</w:t>
      </w:r>
      <w:r>
        <w:t xml:space="preserve">: EN:100, TN:50</w:t>
      </w:r>
    </w:p>
    <w:p>
      <w:pPr>
        <w:pStyle w:val="Compact"/>
        <w:numPr>
          <w:ilvl w:val="0"/>
          <w:numId w:val="1018"/>
        </w:numPr>
      </w:pPr>
      <w:r>
        <w:rPr>
          <w:b/>
          <w:bCs/>
        </w:rPr>
        <w:t xml:space="preserve">Coverage</w:t>
      </w:r>
      <w:r>
        <w:t xml:space="preserve">: Global</w:t>
      </w:r>
    </w:p>
    <w:p>
      <w:pPr>
        <w:pStyle w:val="Compact"/>
        <w:numPr>
          <w:ilvl w:val="0"/>
          <w:numId w:val="1018"/>
        </w:numPr>
      </w:pPr>
      <w:r>
        <w:rPr>
          <w:b/>
          <w:bCs/>
        </w:rPr>
        <w:t xml:space="preserve">Taxa</w:t>
      </w:r>
      <w:r>
        <w:t xml:space="preserve">: turtles</w:t>
      </w:r>
    </w:p>
    <w:p>
      <w:pPr>
        <w:pStyle w:val="Compact"/>
        <w:numPr>
          <w:ilvl w:val="0"/>
          <w:numId w:val="1018"/>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Wallace BP et al. (2023) Marine turtle regional management units 2.0. Endangered Species Research 52:209-223. DOI:10.3354/esr01243</w:t>
      </w:r>
    </w:p>
    <w:p>
      <w:pPr>
        <w:pStyle w:val="FirstParagraph"/>
      </w:pPr>
      <w:hyperlink r:id="rId155">
        <w:r>
          <w:rPr>
            <w:rStyle w:val="Hyperlink"/>
          </w:rPr>
          <w:t xml:space="preserve">Source</w:t>
        </w:r>
      </w:hyperlink>
    </w:p>
    <w:bookmarkEnd w:id="156"/>
    <w:bookmarkEnd w:id="157"/>
    <w:bookmarkStart w:id="162" w:name="notes-on-individual-sources"/>
    <w:p>
      <w:pPr>
        <w:pStyle w:val="Heading2"/>
      </w:pPr>
      <w:r>
        <w:t xml:space="preserve">6.3 Notes on individual sources</w:t>
      </w:r>
    </w:p>
    <w:bookmarkStart w:id="158"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58"/>
    <w:bookmarkStart w:id="159"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59"/>
    <w:bookmarkStart w:id="160"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60"/>
    <w:bookmarkStart w:id="161"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61"/>
    <w:bookmarkEnd w:id="162"/>
    <w:bookmarkStart w:id="165"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662,075</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Applications/quarto/share/formats/docx/warning.png" id="164"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65"/>
    <w:bookmarkStart w:id="171"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66">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0" w:name="fig-vgpm"/>
          <w:p>
            <w:pPr>
              <w:pStyle w:val="Compact"/>
              <w:jc w:val="center"/>
            </w:pPr>
            <w:r>
              <w:drawing>
                <wp:inline>
                  <wp:extent cx="5334000" cy="3418702"/>
                  <wp:effectExtent b="0" l="0" r="0" t="0"/>
                  <wp:docPr descr="" title="" id="168" name="Picture"/>
                  <a:graphic>
                    <a:graphicData uri="http://schemas.openxmlformats.org/drawingml/2006/picture">
                      <pic:pic>
                        <pic:nvPicPr>
                          <pic:cNvPr descr="figures/vgpm2021_offhab.jpg" id="169" name="Picture"/>
                          <pic:cNvPicPr>
                            <a:picLocks noChangeArrowheads="1" noChangeAspect="1"/>
                          </pic:cNvPicPr>
                        </pic:nvPicPr>
                        <pic:blipFill>
                          <a:blip r:embed="rId167"/>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70"/>
        </w:tc>
      </w:tr>
    </w:tbl>
    <w:bookmarkEnd w:id="171"/>
    <w:bookmarkEnd w:id="172"/>
    <w:bookmarkStart w:id="192"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73"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9"/>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9"/>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73"/>
    <w:bookmarkStart w:id="178"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7"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74">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2">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75">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76">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3">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7"/>
          <w:p/>
        </w:tc>
      </w:tr>
    </w:tbl>
    <w:p>
      <w:pPr>
        <w:pStyle w:val="BodyText"/>
      </w:pPr>
      <w:r>
        <w:t xml:space="preserve">At each stage deprecated names resolve to their accepted synonyms, with the original source name kept alongside the accepted one.</w:t>
      </w:r>
    </w:p>
    <w:bookmarkEnd w:id="178"/>
    <w:bookmarkStart w:id="182"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79" w:name="tbl-species-categories"/>
          <w:p>
            <w:pPr>
              <w:jc w:val="center"/>
            </w:pPr>
            <w:pPr>
              <w:jc w:val="left"/>
              <w:spacing w:before="200"/>
              <w:pStyle w:val="ImageCaption"/>
            </w:pPr>
            <w:r>
              <w:t xml:space="preserve">Table 7.2: Species categories in v7b.</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8,062</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5,943</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1,125</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476</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457</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84</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26</w:t>
                  </w:r>
                </w:p>
              </w:tc>
              <w:tc>
                <w:tcPr/>
                <w:p>
                  <w:pPr>
                    <w:pStyle w:val="Compact"/>
                    <w:jc w:val="right"/>
                    <w:jc w:val="center"/>
                  </w:pPr>
                  <w:r>
                    <w:t xml:space="preserve">0</w:t>
                  </w:r>
                </w:p>
              </w:tc>
              <w:tc>
                <w:tcPr/>
                <w:p>
                  <w:pPr>
                    <w:pStyle w:val="Compact"/>
                    <w:jc w:val="center"/>
                    <w:jc w:val="center"/>
                  </w:pPr>
                  <w:r>
                    <w:rPr>
                      <w:b/>
                      <w:bCs/>
                    </w:rPr>
                    <w:t xml:space="preserve">No</w:t>
                  </w:r>
                </w:p>
              </w:tc>
            </w:tr>
          </w:tbl>
          <w:bookmarkEnd w:id="179"/>
          <w:p/>
        </w:tc>
      </w:tr>
    </w:tbl>
    <w:p>
      <w:pPr>
        <w:pStyle w:val="BodyText"/>
      </w:pPr>
      <w:r>
        <w:t xml:space="preserve">Categories present in the taxonomy but</w:t>
      </w:r>
      <w:r>
        <w:t xml:space="preserve"> </w:t>
      </w:r>
      <w:r>
        <w:rPr>
          <w:b/>
          <w:bCs/>
        </w:rPr>
        <w:t xml:space="preserve">not scored</w:t>
      </w:r>
      <w:r>
        <w:t xml:space="preserve"> </w:t>
      </w:r>
      <w:r>
        <w:t xml:space="preserve">in v7b:</w:t>
      </w:r>
      <w:r>
        <w:t xml:space="preserve"> </w:t>
      </w:r>
      <w:r>
        <w:rPr>
          <w:rStyle w:val="VerbatimChar"/>
        </w:rPr>
        <w:t xml:space="preserve">reptile</w:t>
      </w:r>
      <w:r>
        <w:t xml:space="preserve">. They are carried in the taxon table — the identity is real — but no metric aggregates them, so they contribute nothing to any score.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Applications/quarto/share/formats/docx/note.png" id="18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20"/>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20"/>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182"/>
    <w:bookmarkStart w:id="183"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183"/>
    <w:bookmarkStart w:id="187"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84" w:name="tbl-filter-funnel"/>
          <w:p>
            <w:pPr>
              <w:jc w:val="center"/>
            </w:pPr>
            <w:pPr>
              <w:jc w:val="left"/>
              <w:spacing w:before="200"/>
              <w:pStyle w:val="ImageCaption"/>
            </w:pPr>
            <w:r>
              <w:t xml:space="preserve">Table 7.3: Validity gates applied cumulatively to v7b’s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−1,173</w:t>
                  </w:r>
                </w:p>
              </w:tc>
              <w:tc>
                <w:tcPr/>
                <w:p>
                  <w:pPr>
                    <w:pStyle w:val="Compact"/>
                    <w:jc w:val="right"/>
                    <w:jc w:val="center"/>
                  </w:pPr>
                  <w:r>
                    <w:t xml:space="preserve">16,388</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16,367</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16,319</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−166</w:t>
                  </w:r>
                </w:p>
              </w:tc>
              <w:tc>
                <w:tcPr/>
                <w:p>
                  <w:pPr>
                    <w:pStyle w:val="Compact"/>
                    <w:jc w:val="right"/>
                    <w:jc w:val="center"/>
                  </w:pPr>
                  <w:r>
                    <w:t xml:space="preserve">16,153</w:t>
                  </w:r>
                </w:p>
              </w:tc>
            </w:tr>
          </w:tbl>
          <w:bookmarkEnd w:id="184"/>
          <w:p/>
        </w:tc>
      </w:tr>
    </w:tbl>
    <w:p>
      <w:pPr>
        <w:pStyle w:val="BodyText"/>
      </w:pPr>
      <w:r>
        <w:t xml:space="preserve">This yields</w:t>
      </w:r>
      <w:r>
        <w:t xml:space="preserve"> </w:t>
      </w:r>
      <w:r>
        <w:rPr>
          <w:b/>
          <w:bCs/>
        </w:rPr>
        <w:t xml:space="preserve">16,153 valid species</w:t>
      </w:r>
      <w:r>
        <w:t xml:space="preserve"> </w:t>
      </w:r>
      <w:r>
        <w:t xml:space="preserve">across the study area.</w:t>
      </w:r>
    </w:p>
    <w:p>
      <w:pPr>
        <w:pStyle w:val="BodyText"/>
      </w:pPr>
      <w:r>
        <w:t xml:space="preserve">Of those,</w:t>
      </w:r>
      <w:r>
        <w:t xml:space="preserve"> </w:t>
      </w:r>
      <w:r>
        <w:rPr>
          <w:b/>
          <w:bCs/>
        </w:rPr>
        <w:t xml:space="preserve">9,230</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quarto/share/formats/docx/important.png" id="18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7"/>
    <w:bookmarkStart w:id="190" w:name="data-quality"/>
    <w:p>
      <w:pPr>
        <w:pStyle w:val="Heading2"/>
      </w:pPr>
      <w:r>
        <w:t xml:space="preserve">7.6 Data quality</w:t>
      </w:r>
    </w:p>
    <w:bookmarkStart w:id="188"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88"/>
    <w:bookmarkStart w:id="189"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89"/>
    <w:bookmarkEnd w:id="190"/>
    <w:bookmarkStart w:id="191"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91"/>
    <w:bookmarkEnd w:id="192"/>
    <w:bookmarkStart w:id="216"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04" w:name="regulatory-framework"/>
    <w:p>
      <w:pPr>
        <w:pStyle w:val="Heading2"/>
      </w:pPr>
      <w:r>
        <w:t xml:space="preserve">8.1 Regulatory framework</w:t>
      </w:r>
    </w:p>
    <w:bookmarkStart w:id="194" w:name="endangered-species-act-esa"/>
    <w:p>
      <w:pPr>
        <w:pStyle w:val="Heading3"/>
      </w:pPr>
      <w:r>
        <w:t xml:space="preserve">8.1.1 Endangered Species Act (ESA)</w:t>
      </w:r>
    </w:p>
    <w:p>
      <w:pPr>
        <w:pStyle w:val="FirstParagraph"/>
      </w:pPr>
      <w:r>
        <w:t xml:space="preserve">The</w:t>
      </w:r>
      <w:r>
        <w:t xml:space="preserve"> </w:t>
      </w:r>
      <w:hyperlink r:id="rId193">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94"/>
    <w:bookmarkStart w:id="196"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5">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6"/>
    <w:bookmarkStart w:id="200"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7">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Applications/quarto/share/formats/docx/important.png" id="19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200"/>
    <w:bookmarkStart w:id="203"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3">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Applications/quarto/share/formats/docx/note.png" id="20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03"/>
    <w:bookmarkEnd w:id="204"/>
    <w:bookmarkStart w:id="213"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7"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5"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5"/>
    </w:p>
    <w:tbl>
      <w:tblPr>
        <w:tblStyle w:val="Table"/>
        <w:tblW w:type="pct" w:w="5000"/>
        <w:tblLayout w:type="fixed"/>
        <w:tblLook w:firstRow="0" w:lastRow="0" w:firstColumn="0" w:lastColumn="0" w:noHBand="0" w:noVBand="0" w:val="0000"/>
      </w:tblPr>
      <w:tblGrid>
        <w:gridCol w:w="7920"/>
      </w:tblGrid>
      <w:tr>
        <w:tc>
          <w:tcPr/>
          <w:bookmarkStart w:id="206"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6"/>
          <w:p/>
        </w:tc>
      </w:tr>
    </w:tbl>
    <w:p>
      <w:pPr>
        <w:pStyle w:val="BodyText"/>
      </w:pPr>
      <w:r>
        <w:t xml:space="preserve">Worked examples:</w:t>
      </w:r>
    </w:p>
    <w:p>
      <w:pPr>
        <w:pStyle w:val="Compact"/>
        <w:numPr>
          <w:ilvl w:val="0"/>
          <w:numId w:val="1021"/>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1"/>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1"/>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1"/>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7"/>
    <w:bookmarkStart w:id="209"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08"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08"/>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09"/>
    <w:bookmarkStart w:id="210"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10"/>
    <w:bookmarkStart w:id="212"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1"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v7b’s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44</w:t>
                  </w:r>
                </w:p>
              </w:tc>
              <w:tc>
                <w:tcPr/>
                <w:p>
                  <w:pPr>
                    <w:pStyle w:val="Compact"/>
                    <w:jc w:val="right"/>
                    <w:jc w:val="center"/>
                  </w:pPr>
                  <w:r>
                    <w:t xml:space="preserve">0.3%</w:t>
                  </w:r>
                </w:p>
              </w:tc>
            </w:tr>
            <w:tr>
              <w:tc>
                <w:tcPr/>
                <w:p>
                  <w:pPr>
                    <w:pStyle w:val="Compact"/>
                    <w:jc w:val="right"/>
                    <w:jc w:val="center"/>
                  </w:pPr>
                  <w:r>
                    <w:t xml:space="preserve">50</w:t>
                  </w:r>
                </w:p>
              </w:tc>
              <w:tc>
                <w:tcPr/>
                <w:p>
                  <w:pPr>
                    <w:pStyle w:val="Compact"/>
                    <w:jc w:val="right"/>
                    <w:jc w:val="center"/>
                  </w:pPr>
                  <w:r>
                    <w:t xml:space="preserve">54</w:t>
                  </w:r>
                </w:p>
              </w:tc>
              <w:tc>
                <w:tcPr/>
                <w:p>
                  <w:pPr>
                    <w:pStyle w:val="Compact"/>
                    <w:jc w:val="right"/>
                    <w:jc w:val="center"/>
                  </w:pPr>
                  <w:r>
                    <w:t xml:space="preserve">0.3%</w:t>
                  </w:r>
                </w:p>
              </w:tc>
            </w:tr>
            <w:tr>
              <w:tc>
                <w:tcPr/>
                <w:p>
                  <w:pPr>
                    <w:pStyle w:val="Compact"/>
                    <w:jc w:val="right"/>
                    <w:jc w:val="center"/>
                  </w:pPr>
                  <w:r>
                    <w:t xml:space="preserve">25</w:t>
                  </w:r>
                </w:p>
              </w:tc>
              <w:tc>
                <w:tcPr/>
                <w:p>
                  <w:pPr>
                    <w:pStyle w:val="Compact"/>
                    <w:jc w:val="right"/>
                    <w:jc w:val="center"/>
                  </w:pPr>
                  <w:r>
                    <w:t xml:space="preserve">104</w:t>
                  </w:r>
                </w:p>
              </w:tc>
              <w:tc>
                <w:tcPr/>
                <w:p>
                  <w:pPr>
                    <w:pStyle w:val="Compact"/>
                    <w:jc w:val="right"/>
                    <w:jc w:val="center"/>
                  </w:pPr>
                  <w:r>
                    <w:t xml:space="preserve">0.6%</w:t>
                  </w:r>
                </w:p>
              </w:tc>
            </w:tr>
            <w:tr>
              <w:tc>
                <w:tcPr/>
                <w:p>
                  <w:pPr>
                    <w:pStyle w:val="Compact"/>
                    <w:jc w:val="right"/>
                    <w:jc w:val="center"/>
                  </w:pPr>
                  <w:r>
                    <w:t xml:space="preserve">20</w:t>
                  </w:r>
                </w:p>
              </w:tc>
              <w:tc>
                <w:tcPr/>
                <w:p>
                  <w:pPr>
                    <w:pStyle w:val="Compact"/>
                    <w:jc w:val="right"/>
                    <w:jc w:val="center"/>
                  </w:pPr>
                  <w:r>
                    <w:t xml:space="preserve">44</w:t>
                  </w:r>
                </w:p>
              </w:tc>
              <w:tc>
                <w:tcPr/>
                <w:p>
                  <w:pPr>
                    <w:pStyle w:val="Compact"/>
                    <w:jc w:val="right"/>
                    <w:jc w:val="center"/>
                  </w:pPr>
                  <w:r>
                    <w:t xml:space="preserve">0.3%</w:t>
                  </w:r>
                </w:p>
              </w:tc>
            </w:tr>
            <w:tr>
              <w:tc>
                <w:tcPr/>
                <w:p>
                  <w:pPr>
                    <w:pStyle w:val="Compact"/>
                    <w:jc w:val="right"/>
                    <w:jc w:val="center"/>
                  </w:pPr>
                  <w:r>
                    <w:t xml:space="preserve">10</w:t>
                  </w:r>
                </w:p>
              </w:tc>
              <w:tc>
                <w:tcPr/>
                <w:p>
                  <w:pPr>
                    <w:pStyle w:val="Compact"/>
                    <w:jc w:val="right"/>
                    <w:jc w:val="center"/>
                  </w:pPr>
                  <w:r>
                    <w:t xml:space="preserve">121</w:t>
                  </w:r>
                </w:p>
              </w:tc>
              <w:tc>
                <w:tcPr/>
                <w:p>
                  <w:pPr>
                    <w:pStyle w:val="Compact"/>
                    <w:jc w:val="right"/>
                    <w:jc w:val="center"/>
                  </w:pPr>
                  <w:r>
                    <w:t xml:space="preserve">0.7%</w:t>
                  </w:r>
                </w:p>
              </w:tc>
            </w:tr>
            <w:tr>
              <w:tc>
                <w:tcPr/>
                <w:p>
                  <w:pPr>
                    <w:pStyle w:val="Compact"/>
                    <w:jc w:val="right"/>
                    <w:jc w:val="center"/>
                  </w:pPr>
                  <w:r>
                    <w:t xml:space="preserve">5</w:t>
                  </w:r>
                </w:p>
              </w:tc>
              <w:tc>
                <w:tcPr/>
                <w:p>
                  <w:pPr>
                    <w:pStyle w:val="Compact"/>
                    <w:jc w:val="right"/>
                    <w:jc w:val="center"/>
                  </w:pPr>
                  <w:r>
                    <w:t xml:space="preserve">105</w:t>
                  </w:r>
                </w:p>
              </w:tc>
              <w:tc>
                <w:tcPr/>
                <w:p>
                  <w:pPr>
                    <w:pStyle w:val="Compact"/>
                    <w:jc w:val="right"/>
                    <w:jc w:val="center"/>
                  </w:pPr>
                  <w:r>
                    <w:t xml:space="preserve">0.7%</w:t>
                  </w:r>
                </w:p>
              </w:tc>
            </w:tr>
            <w:tr>
              <w:tc>
                <w:tcPr/>
                <w:p>
                  <w:pPr>
                    <w:pStyle w:val="Compact"/>
                    <w:jc w:val="right"/>
                    <w:jc w:val="center"/>
                  </w:pPr>
                  <w:r>
                    <w:t xml:space="preserve">2</w:t>
                  </w:r>
                </w:p>
              </w:tc>
              <w:tc>
                <w:tcPr/>
                <w:p>
                  <w:pPr>
                    <w:pStyle w:val="Compact"/>
                    <w:jc w:val="right"/>
                    <w:jc w:val="center"/>
                  </w:pPr>
                  <w:r>
                    <w:t xml:space="preserve">102</w:t>
                  </w:r>
                </w:p>
              </w:tc>
              <w:tc>
                <w:tcPr/>
                <w:p>
                  <w:pPr>
                    <w:pStyle w:val="Compact"/>
                    <w:jc w:val="right"/>
                    <w:jc w:val="center"/>
                  </w:pPr>
                  <w:r>
                    <w:t xml:space="preserve">0.6%</w:t>
                  </w:r>
                </w:p>
              </w:tc>
            </w:tr>
            <w:tr>
              <w:tc>
                <w:tcPr/>
                <w:p>
                  <w:pPr>
                    <w:pStyle w:val="Compact"/>
                    <w:jc w:val="right"/>
                    <w:jc w:val="center"/>
                  </w:pPr>
                  <w:r>
                    <w:t xml:space="preserve">1</w:t>
                  </w:r>
                </w:p>
              </w:tc>
              <w:tc>
                <w:tcPr/>
                <w:p>
                  <w:pPr>
                    <w:pStyle w:val="Compact"/>
                    <w:jc w:val="right"/>
                    <w:jc w:val="center"/>
                  </w:pPr>
                  <w:r>
                    <w:t xml:space="preserve">15,579</w:t>
                  </w:r>
                </w:p>
              </w:tc>
              <w:tc>
                <w:tcPr/>
                <w:p>
                  <w:pPr>
                    <w:pStyle w:val="Compact"/>
                    <w:jc w:val="right"/>
                    <w:jc w:val="center"/>
                  </w:pPr>
                  <w:r>
                    <w:t xml:space="preserve">96.4%</w:t>
                  </w:r>
                </w:p>
              </w:tc>
            </w:tr>
          </w:tbl>
          <w:bookmarkEnd w:id="211"/>
          <w:p/>
        </w:tc>
      </w:tr>
    </w:tbl>
    <w:p>
      <w:pPr>
        <w:pStyle w:val="BodyText"/>
      </w:pPr>
      <w:r>
        <w:t xml:space="preserve">Of v7b’s 16,153 valid species,</w:t>
      </w:r>
      <w:r>
        <w:t xml:space="preserve"> </w:t>
      </w:r>
      <w:r>
        <w:rPr>
          <w:b/>
          <w:bCs/>
        </w:rPr>
        <w:t xml:space="preserve">62</w:t>
      </w:r>
      <w:r>
        <w:t xml:space="preserve"> </w:t>
      </w:r>
      <w:r>
        <w:t xml:space="preserve">carry the MMPA floor and</w:t>
      </w:r>
      <w:r>
        <w:t xml:space="preserve"> </w:t>
      </w:r>
      <w:r>
        <w:rPr>
          <w:b/>
          <w:bCs/>
        </w:rPr>
        <w:t xml:space="preserve">132</w:t>
      </w:r>
      <w:r>
        <w:t xml:space="preserve"> </w:t>
      </w:r>
      <w:r>
        <w:t xml:space="preserve">the MBTA floor.</w:t>
      </w:r>
    </w:p>
    <w:bookmarkEnd w:id="212"/>
    <w:bookmarkEnd w:id="213"/>
    <w:bookmarkStart w:id="214"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14"/>
    <w:bookmarkStart w:id="215"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15"/>
    <w:bookmarkEnd w:id="216"/>
    <w:bookmarkStart w:id="242"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Applications/quarto/share/formats/docx/tip.png" id="218"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19"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19"/>
    <w:bookmarkStart w:id="236"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23" w:name="fig-merge-pipeline"/>
          <w:p>
            <w:pPr>
              <w:jc w:val="center"/>
            </w:pPr>
            <w:r>
              <w:drawing>
                <wp:inline>
                  <wp:extent cx="5334000" cy="5351779"/>
                  <wp:effectExtent b="0" l="0" r="0" t="0"/>
                  <wp:docPr descr="" title="" id="221" name="Picture"/>
                  <a:graphic>
                    <a:graphicData uri="http://schemas.openxmlformats.org/drawingml/2006/picture">
                      <pic:pic>
                        <pic:nvPicPr>
                          <pic:cNvPr descr="model-merging_files/figure-docx/mermaid-figure-2.png" id="222" name="Picture"/>
                          <pic:cNvPicPr>
                            <a:picLocks noChangeArrowheads="1" noChangeAspect="1"/>
                          </pic:cNvPicPr>
                        </pic:nvPicPr>
                        <pic:blipFill>
                          <a:blip r:embed="rId220"/>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23"/>
        </w:tc>
      </w:tr>
    </w:tbl>
    <w:bookmarkStart w:id="224"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24"/>
    <w:bookmarkStart w:id="228"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25"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25"/>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Applications/quarto/share/formats/docx/important.png" id="22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28"/>
    <w:bookmarkStart w:id="229" w:name="step-3-two-surfaces-not-one"/>
    <w:p>
      <w:pPr>
        <w:pStyle w:val="Heading3"/>
      </w:pPr>
      <w:r>
        <w:t xml:space="preserve">9.2.3 Step 3 — two surfaces, not one</w:t>
      </w:r>
    </w:p>
    <w:bookmarkEnd w:id="229"/>
    <w:bookmarkStart w:id="231"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30"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30"/>
    </w:p>
    <w:p>
      <w:pPr>
        <w:pStyle w:val="FirstParagraph"/>
      </w:pPr>
      <w:r>
        <w:t xml:space="preserve">Critical-habitat designations then override with a maximum, so a designated cell is never scored below its designation.</w:t>
      </w:r>
    </w:p>
    <w:p>
      <w:pPr>
        <w:pStyle w:val="BodyText"/>
      </w:pPr>
      <w:r>
        <w:rPr>
          <w:b/>
          <w:bCs/>
        </w:rPr>
        <w:t xml:space="preserve">v7b patches this rule</w:t>
      </w:r>
      <w:r>
        <w:t xml:space="preserve">, without changing</w:t>
      </w:r>
      <w:r>
        <w:t xml:space="preserve"> </w:t>
      </w:r>
      <w:hyperlink w:anchor="eq-merge-turtle">
        <w:r>
          <w:rPr>
            <w:rStyle w:val="Hyperlink"/>
          </w:rPr>
          <w:t xml:space="preserve">Equation 9.2</w:t>
        </w:r>
      </w:hyperlink>
      <w:r>
        <w:t xml:space="preserve"> </w:t>
      </w:r>
      <w:r>
        <w:t xml:space="preserve">itself: the suitability term</w:t>
      </w:r>
      <w:r>
        <w:t xml:space="preserve"> </w:t>
      </w:r>
      <w:r>
        <w:t xml:space="preserve">(v_{suit,c}) is thresholded before the multiply. A suitability strictly below 50</w:t>
      </w:r>
      <w:r>
        <w:t xml:space="preserve"> </w:t>
      </w:r>
      <w:r>
        <w:t xml:space="preserve">(AquaMaps’ own core-habitat default, on its 0–100 scale) is treated as absent, and a range cell left</w:t>
      </w:r>
      <w:r>
        <w:t xml:space="preserve"> </w:t>
      </w:r>
      <w:r>
        <w:t xml:space="preserve">with none is</w:t>
      </w:r>
      <w:r>
        <w:t xml:space="preserve"> </w:t>
      </w:r>
      <w:r>
        <w:rPr>
          <w:b/>
          <w:bCs/>
        </w:rPr>
        <w:t xml:space="preserve">dropped</w:t>
      </w:r>
      <w:r>
        <w:t xml:space="preserve"> </w:t>
      </w:r>
      <w:r>
        <w:t xml:space="preserve">rather than filled at a nominal suitability of 1 — the fill v7 used, recorded</w:t>
      </w:r>
      <w:r>
        <w:t xml:space="preserve"> </w:t>
      </w:r>
      <w:r>
        <w:t xml:space="preserve">here as</w:t>
      </w:r>
      <w:r>
        <w:t xml:space="preserve"> </w:t>
      </w:r>
      <w:r>
        <w:rPr>
          <w:rStyle w:val="VerbatimChar"/>
        </w:rPr>
        <w:t xml:space="preserve">turtle_fill = none</w:t>
      </w:r>
      <w:r>
        <w:t xml:space="preserve">. Critical habitat still overrides by maximum, so a</w:t>
      </w:r>
      <w:r>
        <w:t xml:space="preserve"> </w:t>
      </w:r>
      <w:r>
        <w:t xml:space="preserve">designated cell is never lost to the threshold. Turning the threshold off (</w:t>
      </w:r>
      <w:r>
        <w:rPr>
          <w:rStyle w:val="VerbatimChar"/>
        </w:rPr>
        <w:t xml:space="preserve">turtle_suit_min = 0</w:t>
      </w:r>
      <w:r>
        <w:t xml:space="preserve">)</w:t>
      </w:r>
      <w:r>
        <w:t xml:space="preserve"> </w:t>
      </w:r>
      <w:r>
        <w:t xml:space="preserve">reproduces v7’s merged turtle models exactly. The threshold is AquaMaps’ own convention rather than</w:t>
      </w:r>
      <w:r>
        <w:t xml:space="preserve"> </w:t>
      </w:r>
      <w:r>
        <w:t xml:space="preserve">a number tuned to the outcome. It leaves turtles in exactly one Alaska Program Area: the Gulf of</w:t>
      </w:r>
      <w:r>
        <w:t xml:space="preserve"> </w:t>
      </w:r>
      <w:r>
        <w:t xml:space="preserve">Alaska, 9,608 leatherback cells at suitability 0.50–0.58 off Southeast Alaska, where the region’s</w:t>
      </w:r>
      <w:r>
        <w:t xml:space="preserve"> </w:t>
      </w:r>
      <w:r>
        <w:t xml:space="preserve">sparse occurrence records are</w:t>
      </w:r>
      <w:r>
        <w:t xml:space="preserve"> </w:t>
      </w:r>
      <w:r>
        <w:t xml:space="preserve">(Hodge and Wing 2000)</w:t>
      </w:r>
      <w:r>
        <w:t xml:space="preserve">. At 0.6 — the cutoff validated against surveys for</w:t>
      </w:r>
      <w:r>
        <w:t xml:space="preserve"> </w:t>
      </w:r>
      <w:r>
        <w:t xml:space="preserve">marine mammals</w:t>
      </w:r>
      <w:r>
        <w:t xml:space="preserve"> </w:t>
      </w:r>
      <w:r>
        <w:t xml:space="preserve">(Kaschner et al. 2011)</w:t>
      </w:r>
      <w:r>
        <w:t xml:space="preserve"> </w:t>
      </w:r>
      <w:r>
        <w:t xml:space="preserve">— no Alaska Program Area would retain turtles.</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31"/>
    <w:bookmarkStart w:id="235"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32"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32"/>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Applications/quarto/share/formats/docx/note.png" id="2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2"/>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2"/>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2"/>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35"/>
    <w:bookmarkEnd w:id="236"/>
    <w:bookmarkStart w:id="237"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7"/>
    <w:bookmarkStart w:id="238"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38"/>
    <w:bookmarkStart w:id="239" w:name="persisted-output"/>
    <w:p>
      <w:pPr>
        <w:pStyle w:val="Heading2"/>
      </w:pPr>
      <w:r>
        <w:t xml:space="preserve">9.5 Persisted output</w:t>
      </w:r>
    </w:p>
    <w:p>
      <w:pPr>
        <w:pStyle w:val="FirstParagraph"/>
      </w:pPr>
      <w:r>
        <w:t xml:space="preserve">The merged result is stored as:</w:t>
      </w:r>
    </w:p>
    <w:p>
      <w:pPr>
        <w:pStyle w:val="Compact"/>
        <w:numPr>
          <w:ilvl w:val="0"/>
          <w:numId w:val="1023"/>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3"/>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39"/>
    <w:bookmarkStart w:id="240"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v7b this yields</w:t>
      </w:r>
      <w:r>
        <w:t xml:space="preserve"> </w:t>
      </w:r>
      <w:r>
        <w:rPr>
          <w:b/>
          <w:bCs/>
        </w:rPr>
        <w:t xml:space="preserve">16,153 valid species</w:t>
      </w:r>
      <w:r>
        <w:t xml:space="preserve"> </w:t>
      </w:r>
      <w:r>
        <w:t xml:space="preserve">across the study area, of which</w:t>
      </w:r>
      <w:r>
        <w:t xml:space="preserve"> </w:t>
      </w:r>
      <w:r>
        <w:rPr>
          <w:b/>
          <w:bCs/>
        </w:rPr>
        <w:t xml:space="preserve">9,230</w:t>
      </w:r>
      <w:r>
        <w:t xml:space="preserve"> </w:t>
      </w:r>
      <w:r>
        <w:t xml:space="preserve">contribute to scores within the 20 BOEM Program Areas of the current program cycle.</w:t>
      </w:r>
    </w:p>
    <w:bookmarkEnd w:id="240"/>
    <w:bookmarkStart w:id="241"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41"/>
    <w:bookmarkEnd w:id="242"/>
    <w:bookmarkStart w:id="285"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Applications/quarto/share/formats/docx/tip.png" id="244"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49"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45"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45"/>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48"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6"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6"/>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7"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7"/>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48"/>
    <w:bookmarkEnd w:id="249"/>
    <w:bookmarkStart w:id="251"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50" w:name="tbl-metrics"/>
          <w:p>
            <w:pPr>
              <w:jc w:val="center"/>
            </w:pPr>
            <w:pPr>
              <w:jc w:val="left"/>
              <w:spacing w:before="200"/>
              <w:pStyle w:val="ImageCaption"/>
            </w:pPr>
            <w:r>
              <w:t xml:space="preserve">Table 10.1: Cell-level metrics published by v7b.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extrisk_turtle</w:t>
                  </w:r>
                </w:p>
              </w:tc>
              <w:tc>
                <w:tcPr/>
                <w:p>
                  <w:pPr>
                    <w:pStyle w:val="Compact"/>
                    <w:jc w:val="left"/>
                    <w:jc w:val="center"/>
                  </w:pPr>
                  <w:r>
                    <w:t xml:space="preserve">Extinction risk for turtle</w:t>
                  </w:r>
                </w:p>
              </w:tc>
            </w:tr>
            <w:tr>
              <w:tc>
                <w:tcPr/>
                <w:p>
                  <w:pPr>
                    <w:pStyle w:val="Compact"/>
                    <w:jc w:val="left"/>
                    <w:jc w:val="center"/>
                  </w:pPr>
                  <w:r>
                    <w:rPr>
                      <w:rStyle w:val="VerbatimChar"/>
                    </w:rPr>
                    <w:t xml:space="preserve">extrisk_turtle_ecoregion_rescaled</w:t>
                  </w:r>
                </w:p>
              </w:tc>
              <w:tc>
                <w:tcPr/>
                <w:p>
                  <w:pPr>
                    <w:pStyle w:val="Compact"/>
                    <w:jc w:val="left"/>
                    <w:jc w:val="center"/>
                  </w:pPr>
                  <w:r>
                    <w:t xml:space="preserve">Extinction risk for turtle,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250"/>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bird</w:t>
      </w:r>
      <w:r>
        <w:t xml:space="preserve">,</w:t>
      </w:r>
      <w:r>
        <w:t xml:space="preserve"> </w:t>
      </w:r>
      <w:r>
        <w:rPr>
          <w:rStyle w:val="VerbatimChar"/>
        </w:rPr>
        <w:t xml:space="preserve">coral</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51"/>
    <w:bookmarkStart w:id="255"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52"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52"/>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Applications/quarto/share/formats/docx/important.png" id="25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55"/>
    <w:bookmarkStart w:id="261"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6" w:name="tbl-zones"/>
          <w:p>
            <w:pPr>
              <w:jc w:val="center"/>
            </w:pPr>
            <w:pPr>
              <w:jc w:val="left"/>
              <w:spacing w:before="200"/>
              <w:pStyle w:val="ImageCaption"/>
            </w:pPr>
            <w:r>
              <w:t xml:space="preserve">Table 10.2: Spatial units v7b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5</w:t>
                  </w:r>
                </w:p>
              </w:tc>
              <w:tc>
                <w:tcPr/>
                <w:p>
                  <w:pPr>
                    <w:pStyle w:val="Compact"/>
                    <w:jc w:val="left"/>
                    <w:jc w:val="center"/>
                  </w:pPr>
                  <w:r>
                    <w:rPr>
                      <w:rStyle w:val="VerbatimChar"/>
                    </w:rPr>
                    <w:t xml:space="preserve">subregion_2025-06</w:t>
                  </w:r>
                </w:p>
              </w:tc>
            </w:tr>
          </w:tbl>
          <w:bookmarkEnd w:id="256"/>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60"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59" w:name="fig-map-ecoregions-scoring"/>
          <w:p>
            <w:pPr>
              <w:pStyle w:val="Compact"/>
              <w:jc w:val="center"/>
            </w:pPr>
            <w:r>
              <w:drawing>
                <wp:inline>
                  <wp:extent cx="5334000" cy="3182620"/>
                  <wp:effectExtent b="0" l="0" r="0" t="0"/>
                  <wp:docPr descr="" title="" id="257" name="Picture"/>
                  <a:graphic>
                    <a:graphicData uri="http://schemas.openxmlformats.org/drawingml/2006/picture">
                      <pic:pic>
                        <pic:nvPicPr>
                          <pic:cNvPr descr="figures/map-ecoregions-static.png" id="258"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59"/>
        </w:tc>
      </w:tr>
    </w:tbl>
    <w:bookmarkEnd w:id="260"/>
    <w:bookmarkEnd w:id="261"/>
    <w:bookmarkStart w:id="262"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62"/>
    <w:bookmarkStart w:id="266"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63"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63"/>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Start w:id="265" w:name="coverage-floor"/>
    <w:p>
      <w:pPr>
        <w:pStyle w:val="Heading3"/>
      </w:pPr>
      <w:r>
        <w:t xml:space="preserve">10.6.1 Coverage floor</w:t>
      </w:r>
    </w:p>
    <w:p>
      <w:pPr>
        <w:pStyle w:val="FirstParagraph"/>
      </w:pPr>
      <w:r>
        <w:rPr>
          <w:b/>
          <w:bCs/>
        </w:rPr>
        <w:t xml:space="preserve">In v7b</w:t>
      </w:r>
      <w:r>
        <w:t xml:space="preserve">, a component (a species category, or primary productivity) is</w:t>
      </w:r>
      <w:r>
        <w:t xml:space="preserve"> </w:t>
      </w:r>
      <w:r>
        <w:rPr>
          <w:i/>
          <w:iCs/>
        </w:rPr>
        <w:t xml:space="preserve">reportable</w:t>
      </w:r>
      <w:r>
        <w:t xml:space="preserve"> </w:t>
      </w:r>
      <w:r>
        <w:t xml:space="preserve">for a Program Area only where its scored cells cover a large enough share of that area:</w:t>
      </w:r>
    </w:p>
    <w:p>
      <w:pPr>
        <w:pStyle w:val="BodyText"/>
      </w:pPr>
      <w:bookmarkStart w:id="264" w:name="eq-coverage-floor"/>
      <m:oMathPara>
        <m:oMathParaPr>
          <m:jc m:val="center"/>
        </m:oMathParaPr>
        <m:oMath>
          <m:sSub>
            <m:e>
              <m:r>
                <m:rPr>
                  <m:nor/>
                  <m:sty m:val="p"/>
                </m:rPr>
                <m:t>coverage</m:t>
              </m:r>
            </m:e>
            <m:sub>
              <m:r>
                <m:t>z</m:t>
              </m:r>
              <m:r>
                <m:t>o</m:t>
              </m:r>
              <m:r>
                <m:t>n</m:t>
              </m:r>
              <m:r>
                <m:t>e</m:t>
              </m:r>
              <m:r>
                <m:rPr>
                  <m:sty m:val="p"/>
                </m:rPr>
                <m:t>,</m:t>
              </m:r>
              <m:r>
                <m:t> </m:t>
              </m:r>
              <m:r>
                <m:t>c</m:t>
              </m:r>
              <m:r>
                <m:t>o</m:t>
              </m:r>
              <m:r>
                <m:t>m</m:t>
              </m:r>
              <m:r>
                <m:t>p</m:t>
              </m:r>
              <m:r>
                <m:t>o</m:t>
              </m:r>
              <m:r>
                <m:t>n</m:t>
              </m:r>
              <m:r>
                <m:t>e</m:t>
              </m:r>
              <m:r>
                <m:t>n</m:t>
              </m:r>
              <m:r>
                <m:t>t</m:t>
              </m:r>
            </m:sub>
          </m:sSub>
          <m:r>
            <m:rPr>
              <m:sty m:val="p"/>
            </m:rPr>
            <m:t>=</m:t>
          </m:r>
          <m:f>
            <m:fPr>
              <m:type m:val="bar"/>
            </m:fPr>
            <m:num>
              <m:nary>
                <m:naryPr>
                  <m:chr m:val="∑"/>
                  <m:limLoc m:val="undOvr"/>
                  <m:subHide m:val="off"/>
                  <m:supHide m:val="on"/>
                </m:naryPr>
                <m:sub>
                  <m:r>
                    <m:t>c</m:t>
                  </m:r>
                  <m:r>
                    <m:t> </m:t>
                  </m:r>
                  <m:r>
                    <m:rPr>
                      <m:sty m:val="p"/>
                    </m:rPr>
                    <m:t>∈</m:t>
                  </m:r>
                  <m:r>
                    <m:t> </m:t>
                  </m:r>
                  <m:r>
                    <m:t>z</m:t>
                  </m:r>
                  <m:r>
                    <m:t>o</m:t>
                  </m:r>
                  <m:r>
                    <m:t>n</m:t>
                  </m:r>
                  <m:r>
                    <m:t>e</m:t>
                  </m:r>
                  <m:r>
                    <m:rPr>
                      <m:sty m:val="p"/>
                    </m:rPr>
                    <m:t>,</m:t>
                  </m:r>
                  <m:r>
                    <m:t> </m:t>
                  </m:r>
                  <m:r>
                    <m:rPr>
                      <m:nor/>
                      <m:sty m:val="p"/>
                    </m:rPr>
                    <m:t>scored</m:t>
                  </m:r>
                </m:sub>
                <m:sup>
                  <m:r>
                    <m:t>​</m:t>
                  </m:r>
                </m:sup>
                <m:e>
                  <m:sSub>
                    <m:e>
                      <m:r>
                        <m:t>w</m:t>
                      </m:r>
                    </m:e>
                    <m:sub>
                      <m:r>
                        <m:t>c</m:t>
                      </m:r>
                    </m:sub>
                  </m:sSub>
                </m:e>
              </m:nary>
            </m:num>
            <m:den>
              <m:nary>
                <m:naryPr>
                  <m:chr m:val="∑"/>
                  <m:limLoc m:val="undOvr"/>
                  <m:subHide m:val="off"/>
                  <m:supHide m:val="on"/>
                </m:naryPr>
                <m:sub>
                  <m:r>
                    <m:t>c</m:t>
                  </m:r>
                  <m:r>
                    <m:t> </m:t>
                  </m:r>
                  <m:r>
                    <m:rPr>
                      <m:sty m:val="p"/>
                    </m:rPr>
                    <m:t>∈</m:t>
                  </m:r>
                  <m:r>
                    <m:t> </m:t>
                  </m:r>
                  <m:r>
                    <m:t>z</m:t>
                  </m:r>
                  <m:r>
                    <m:t>o</m:t>
                  </m:r>
                  <m:r>
                    <m:t>n</m:t>
                  </m:r>
                  <m:r>
                    <m:t>e</m:t>
                  </m:r>
                </m:sub>
                <m:sup>
                  <m:r>
                    <m:t>​</m:t>
                  </m:r>
                </m:sup>
                <m:e>
                  <m:sSub>
                    <m:e>
                      <m:r>
                        <m:t>w</m:t>
                      </m:r>
                    </m:e>
                    <m:sub>
                      <m:r>
                        <m:t>c</m:t>
                      </m:r>
                    </m:sub>
                  </m:sSub>
                </m:e>
              </m:nary>
            </m:den>
          </m:f>
          <m:r>
            <m:t> </m:t>
          </m:r>
          <m:r>
            <m:rPr>
              <m:sty m:val="p"/>
            </m:rPr>
            <m:t>,</m:t>
          </m:r>
          <m:r>
            <m:t>  </m:t>
          </m:r>
          <m:r>
            <m:rPr>
              <m:nor/>
              <m:sty m:val="p"/>
            </m:rPr>
            <m:t>reportable</m:t>
          </m:r>
          <m:r>
            <m:rPr>
              <m:sty m:val="p"/>
            </m:rPr>
            <m:t>⇔</m:t>
          </m:r>
          <m:sSub>
            <m:e>
              <m:r>
                <m:rPr>
                  <m:nor/>
                  <m:sty m:val="p"/>
                </m:rPr>
                <m:t>coverage</m:t>
              </m:r>
            </m:e>
            <m:sub>
              <m:r>
                <m:t>z</m:t>
              </m:r>
              <m:r>
                <m:t>o</m:t>
              </m:r>
              <m:r>
                <m:t>n</m:t>
              </m:r>
              <m:r>
                <m:t>e</m:t>
              </m:r>
              <m:r>
                <m:rPr>
                  <m:sty m:val="p"/>
                </m:rPr>
                <m:t>,</m:t>
              </m:r>
              <m:r>
                <m:t> </m:t>
              </m:r>
              <m:r>
                <m:t>c</m:t>
              </m:r>
              <m:r>
                <m:t>o</m:t>
              </m:r>
              <m:r>
                <m:t>m</m:t>
              </m:r>
              <m:r>
                <m:t>p</m:t>
              </m:r>
              <m:r>
                <m:t>o</m:t>
              </m:r>
              <m:r>
                <m:t>n</m:t>
              </m:r>
              <m:r>
                <m:t>e</m:t>
              </m:r>
              <m:r>
                <m:t>n</m:t>
              </m:r>
              <m:r>
                <m:t>t</m:t>
              </m:r>
            </m:sub>
          </m:sSub>
          <m:r>
            <m:rPr>
              <m:sty m:val="p"/>
            </m:rPr>
            <m:t>≥</m:t>
          </m:r>
          <m:r>
            <m:t>κ</m:t>
          </m:r>
          <m:r>
            <m:t>  </m:t>
          </m:r>
          <m:r>
            <m:rPr>
              <m:sty m:val="p"/>
            </m:rPr>
            <m:t>(</m:t>
          </m:r>
          <m:r>
            <m:t>10.6</m:t>
          </m:r>
          <m:r>
            <m:rPr>
              <m:sty m:val="p"/>
            </m:rPr>
            <m:t>)</m:t>
          </m:r>
        </m:oMath>
      </m:oMathPara>
      <w:bookmarkEnd w:id="264"/>
    </w:p>
    <w:p>
      <w:pPr>
        <w:pStyle w:val="FirstParagraph"/>
      </w:pPr>
      <w:r>
        <w:t xml:space="preserve">where</w:t>
      </w:r>
      <w:r>
        <w:t xml:space="preserve"> </w:t>
      </w:r>
      <m:oMath>
        <m:sSub>
          <m:e>
            <m:r>
              <m:t>w</m:t>
            </m:r>
          </m:e>
          <m:sub>
            <m:r>
              <m:t>c</m:t>
            </m:r>
          </m:sub>
        </m:sSub>
      </m:oMath>
      <w:r>
        <w:t xml:space="preserve"> </w:t>
      </w:r>
      <w:r>
        <w:t xml:space="preserve">is the share of cell</w:t>
      </w:r>
      <w:r>
        <w:t xml:space="preserve"> </w:t>
      </w:r>
      <m:oMath>
        <m:r>
          <m:t>c</m:t>
        </m:r>
      </m:oMath>
      <w:r>
        <w:t xml:space="preserve"> </w:t>
      </w:r>
      <w:r>
        <w:t xml:space="preserve">lying inside the Program Area, and</w:t>
      </w:r>
      <w:r>
        <w:t xml:space="preserve"> </w:t>
      </w:r>
      <m:oMath>
        <m:r>
          <m:t>κ</m:t>
        </m:r>
      </m:oMath>
      <w:r>
        <w:t xml:space="preserve"> </w:t>
      </w:r>
      <w:r>
        <w:t xml:space="preserve">= 5%. Below</w:t>
      </w:r>
      <w:r>
        <w:t xml:space="preserve"> </w:t>
      </w:r>
      <w:r>
        <w:t xml:space="preserve">the floor the component is</w:t>
      </w:r>
      <w:r>
        <w:t xml:space="preserve"> </w:t>
      </w:r>
      <w:r>
        <w:rPr>
          <w:b/>
          <w:bCs/>
        </w:rPr>
        <w:t xml:space="preserve">not reportable</w:t>
      </w:r>
      <w:r>
        <w:t xml:space="preserve">: it renders as no data, is excluded from the composite</w:t>
      </w:r>
      <w:r>
        <w:t xml:space="preserve"> </w:t>
      </w:r>
      <w:r>
        <w:t xml:space="preserve">exactly as a component with no scored cells already is, and is never published as a zero (a zero</w:t>
      </w:r>
      <w:r>
        <w:t xml:space="preserve"> </w:t>
      </w:r>
      <w:r>
        <w:t xml:space="preserve">would pull the composite down for a reason unrelated to sensitivity). The rule is geometric — defined</w:t>
      </w:r>
      <w:r>
        <w:t xml:space="preserve"> </w:t>
      </w:r>
      <w:r>
        <w:t xml:space="preserve">on which cells carry a value, not on the value itself. The composite itself is not subject to the</w:t>
      </w:r>
      <w:r>
        <w:t xml:space="preserve"> </w:t>
      </w:r>
      <w:r>
        <w:t xml:space="preserve">floor; it averages whichever components are reportable. On v7’s data the floor removes exactly one</w:t>
      </w:r>
      <w:r>
        <w:t xml:space="preserve"> </w:t>
      </w:r>
      <w:r>
        <w:t xml:space="preserve">of 151 Program Area × component pairs (sea turtles in St. George Basin, at 1.5 % coverage); in v7b the turtle core-habitat threshold has already emptied that area of turtles, so the</w:t>
      </w:r>
      <w:r>
        <w:t xml:space="preserve"> </w:t>
      </w:r>
      <w:r>
        <w:t xml:space="preserve">floor removes no further pair and stands as the reporting rule.</w:t>
      </w:r>
      <w:r>
        <w:t xml:space="preserve"> </w:t>
      </w:r>
      <w:r>
        <w:t xml:space="preserve">The next-lowest pair is High Arctic</w:t>
      </w:r>
      <w:r>
        <w:t xml:space="preserve"> </w:t>
      </w:r>
      <w:r>
        <w:t xml:space="preserve">corals at 7.3 %, so any floor between 2 % and 7 % gives the same answer.</w:t>
      </w:r>
    </w:p>
    <w:bookmarkEnd w:id="265"/>
    <w:bookmarkEnd w:id="266"/>
    <w:bookmarkStart w:id="283" w:name="visualization"/>
    <w:p>
      <w:pPr>
        <w:pStyle w:val="Heading2"/>
      </w:pPr>
      <w:r>
        <w:t xml:space="preserve">10.7 Visualization</w:t>
      </w:r>
    </w:p>
    <w:bookmarkStart w:id="271"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4"/>
        </w:numPr>
      </w:pPr>
      <w:r>
        <w:rPr>
          <w:b/>
          <w:bCs/>
        </w:rPr>
        <w:t xml:space="preserve">petal length</w:t>
      </w:r>
      <w:r>
        <w:t xml:space="preserve"> </w:t>
      </w:r>
      <w:r>
        <w:t xml:space="preserve">— the rescaled score (0–100) for that category; longer means more sensitive</w:t>
      </w:r>
    </w:p>
    <w:p>
      <w:pPr>
        <w:pStyle w:val="Compact"/>
        <w:numPr>
          <w:ilvl w:val="0"/>
          <w:numId w:val="1024"/>
        </w:numPr>
      </w:pPr>
      <w:r>
        <w:rPr>
          <w:b/>
          <w:bCs/>
        </w:rPr>
        <w:t xml:space="preserve">petal width</w:t>
      </w:r>
      <w:r>
        <w:t xml:space="preserve"> </w:t>
      </w:r>
      <w:r>
        <w:t xml:space="preserve">— that category’s weight in the composite; wider means more influence</w:t>
      </w:r>
    </w:p>
    <w:p>
      <w:pPr>
        <w:pStyle w:val="Compact"/>
        <w:numPr>
          <w:ilvl w:val="0"/>
          <w:numId w:val="1024"/>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70" w:name="fig-flower-programareas"/>
          <w:p>
            <w:pPr>
              <w:pStyle w:val="Compact"/>
              <w:jc w:val="center"/>
            </w:pPr>
            <w:r>
              <w:drawing>
                <wp:inline>
                  <wp:extent cx="5334000" cy="3556000"/>
                  <wp:effectExtent b="0" l="0" r="0" t="0"/>
                  <wp:docPr descr="" title="" id="268" name="Picture"/>
                  <a:graphic>
                    <a:graphicData uri="http://schemas.openxmlformats.org/drawingml/2006/picture">
                      <pic:pic>
                        <pic:nvPicPr>
                          <pic:cNvPr descr="figures/flower-plot_programareas.png" id="269" name="Picture"/>
                          <pic:cNvPicPr>
                            <a:picLocks noChangeArrowheads="1" noChangeAspect="1"/>
                          </pic:cNvPicPr>
                        </pic:nvPicPr>
                        <pic:blipFill>
                          <a:blip r:embed="rId267"/>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70"/>
        </w:tc>
      </w:tr>
    </w:tbl>
    <w:p>
      <w:pPr>
        <w:pStyle w:val="BodyText"/>
      </w:pPr>
      <w:r>
        <w:t xml:space="preserve">It lets a reader see at a glance which ecological elements drive sensitivity in an area. The scores app implements an interactive version.</w:t>
      </w:r>
    </w:p>
    <w:bookmarkEnd w:id="271"/>
    <w:bookmarkStart w:id="280"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75" w:name="fig-treemap"/>
          <w:p>
            <w:pPr>
              <w:pStyle w:val="Compact"/>
              <w:jc w:val="center"/>
            </w:pPr>
            <w:r>
              <w:drawing>
                <wp:inline>
                  <wp:extent cx="5118100" cy="4572000"/>
                  <wp:effectExtent b="0" l="0" r="0" t="0"/>
                  <wp:docPr descr="" title="" id="273" name="Picture"/>
                  <a:graphic>
                    <a:graphicData uri="http://schemas.openxmlformats.org/drawingml/2006/picture">
                      <pic:pic>
                        <pic:nvPicPr>
                          <pic:cNvPr descr="figures/treeamap_extrisk-taxa.png" id="274" name="Picture"/>
                          <pic:cNvPicPr>
                            <a:picLocks noChangeArrowheads="1" noChangeAspect="1"/>
                          </pic:cNvPicPr>
                        </pic:nvPicPr>
                        <pic:blipFill>
                          <a:blip r:embed="rId272"/>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9" w:name="fig-treemap-zoom"/>
          <w:p>
            <w:pPr>
              <w:pStyle w:val="Compact"/>
              <w:jc w:val="center"/>
            </w:pPr>
            <w:r>
              <w:drawing>
                <wp:inline>
                  <wp:extent cx="5334000" cy="3673186"/>
                  <wp:effectExtent b="0" l="0" r="0" t="0"/>
                  <wp:docPr descr="" title="" id="277" name="Picture"/>
                  <a:graphic>
                    <a:graphicData uri="http://schemas.openxmlformats.org/drawingml/2006/picture">
                      <pic:pic>
                        <pic:nvPicPr>
                          <pic:cNvPr descr="figures/treeamap_extrisk-taxa_zoom.png" id="278" name="Picture"/>
                          <pic:cNvPicPr>
                            <a:picLocks noChangeArrowheads="1" noChangeAspect="1"/>
                          </pic:cNvPicPr>
                        </pic:nvPicPr>
                        <pic:blipFill>
                          <a:blip r:embed="rId276"/>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9"/>
        </w:tc>
      </w:tr>
    </w:tbl>
    <w:bookmarkEnd w:id="280"/>
    <w:bookmarkStart w:id="281"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81"/>
    <w:bookmarkStart w:id="282" w:name="interactive-maps"/>
    <w:p>
      <w:pPr>
        <w:pStyle w:val="Heading3"/>
      </w:pPr>
      <w:r>
        <w:t xml:space="preserve">10.7.4 Interactive maps</w:t>
      </w:r>
    </w:p>
    <w:p>
      <w:pPr>
        <w:pStyle w:val="FirstParagraph"/>
      </w:pPr>
      <w:r>
        <w:t xml:space="preserve">The</w:t>
      </w:r>
      <w:r>
        <w:t xml:space="preserve"> </w:t>
      </w:r>
      <w:hyperlink r:id="rId24">
        <w:r>
          <w:rPr>
            <w:rStyle w:val="Hyperlink"/>
          </w:rPr>
          <w:t xml:space="preserve">Atlas</w:t>
        </w:r>
      </w:hyperlink>
      <w:r>
        <w:t xml:space="preserve"> </w:t>
      </w:r>
      <w:r>
        <w:t xml:space="preserve">presents the results, rendering</w:t>
      </w:r>
      <w:r>
        <w:t xml:space="preserve"> </w:t>
      </w:r>
      <w:r>
        <w:rPr>
          <w:b/>
          <w:bCs/>
        </w:rPr>
        <w:t xml:space="preserve">any published release</w:t>
      </w:r>
      <w:r>
        <w:t xml:space="preserve"> </w:t>
      </w:r>
      <w:r>
        <w:t xml:space="preserve">rather than being frozen to one. It has two lenses:</w:t>
      </w:r>
    </w:p>
    <w:p>
      <w:pPr>
        <w:pStyle w:val="Compact"/>
        <w:numPr>
          <w:ilvl w:val="0"/>
          <w:numId w:val="1025"/>
        </w:numPr>
      </w:pPr>
      <w:hyperlink r:id="rId21">
        <w:r>
          <w:rPr>
            <w:rStyle w:val="Hyperlink"/>
            <w:b/>
            <w:bCs/>
          </w:rPr>
          <w:t xml:space="preserve">Scores</w:t>
        </w:r>
      </w:hyperlink>
      <w:r>
        <w:t xml:space="preserve"> </w:t>
      </w:r>
      <w:r>
        <w:t xml:space="preserve">— composite and per-category sensitivity by zone, with flower plots and component tables (see</w:t>
      </w:r>
      <w:r>
        <w:t xml:space="preserve"> </w:t>
      </w:r>
      <w:hyperlink w:anchor="sec-app-atlas">
        <w:r>
          <w:rPr>
            <w:rStyle w:val="Hyperlink"/>
          </w:rPr>
          <w:t xml:space="preserve">Chapter 21</w:t>
        </w:r>
      </w:hyperlink>
      <w:r>
        <w:t xml:space="preserve">)</w:t>
      </w:r>
    </w:p>
    <w:p>
      <w:pPr>
        <w:pStyle w:val="Compact"/>
        <w:numPr>
          <w:ilvl w:val="0"/>
          <w:numId w:val="1025"/>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atlas">
        <w:r>
          <w:rPr>
            <w:rStyle w:val="Hyperlink"/>
          </w:rPr>
          <w:t xml:space="preserve">Chapter 21</w:t>
        </w:r>
      </w:hyperlink>
      <w:r>
        <w:t xml:space="preserve">)</w:t>
      </w:r>
    </w:p>
    <w:p>
      <w:pPr>
        <w:pStyle w:val="FirstParagraph"/>
      </w:pPr>
      <w:r>
        <w:t xml:space="preserve">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release (a restricted pre-release is reached only on the review host, at</w:t>
      </w:r>
      <w:r>
        <w:t xml:space="preserve"> </w:t>
      </w:r>
      <w:r>
        <w:rPr>
          <w:rStyle w:val="VerbatimChar"/>
        </w:rPr>
        <w:t xml:space="preserve">/{version}/atlas/</w:t>
      </w:r>
      <w:r>
        <w:t xml:space="preserve">). The separate Scores and Species Shiny apps that earlier editions of this book described are retired, and their links redirect to the Atlas. See</w:t>
      </w:r>
      <w:r>
        <w:t xml:space="preserve"> </w:t>
      </w:r>
      <w:hyperlink w:anchor="sec-apps">
        <w:r>
          <w:rPr>
            <w:rStyle w:val="Hyperlink"/>
          </w:rPr>
          <w:t xml:space="preserve">Chapter 19</w:t>
        </w:r>
      </w:hyperlink>
      <w:r>
        <w:t xml:space="preserve">.</w:t>
      </w:r>
    </w:p>
    <w:bookmarkEnd w:id="282"/>
    <w:bookmarkEnd w:id="283"/>
    <w:bookmarkStart w:id="284"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84"/>
    <w:bookmarkEnd w:id="285"/>
    <w:bookmarkStart w:id="288"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86">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7" w:name="mst-walkthrough-root"/>
    <w:bookmarkEnd w:id="287"/>
    <w:bookmarkEnd w:id="288"/>
    <w:bookmarkStart w:id="295"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93"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2" w:name="fig-cum-effects"/>
          <w:p>
            <w:pPr>
              <w:pStyle w:val="Compact"/>
              <w:jc w:val="center"/>
            </w:pPr>
            <w:r>
              <w:drawing>
                <wp:inline>
                  <wp:extent cx="5334000" cy="3953635"/>
                  <wp:effectExtent b="0" l="0" r="0" t="0"/>
                  <wp:docPr descr="" title="" id="290" name="Picture"/>
                  <a:graphic>
                    <a:graphicData uri="http://schemas.openxmlformats.org/drawingml/2006/picture">
                      <pic:pic>
                        <pic:nvPicPr>
                          <pic:cNvPr descr="figures/goodale2016_cumulative-effects.png" id="291" name="Picture"/>
                          <pic:cNvPicPr>
                            <a:picLocks noChangeArrowheads="1" noChangeAspect="1"/>
                          </pic:cNvPicPr>
                        </pic:nvPicPr>
                        <pic:blipFill>
                          <a:blip r:embed="rId289"/>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92"/>
        </w:tc>
      </w:tr>
    </w:tbl>
    <w:bookmarkEnd w:id="293"/>
    <w:bookmarkStart w:id="294" w:name="oil-gas"/>
    <w:p>
      <w:pPr>
        <w:pStyle w:val="Heading2"/>
      </w:pPr>
      <w:r>
        <w:t xml:space="preserve">12.2 Oil &amp; Gas</w:t>
      </w:r>
    </w:p>
    <w:bookmarkEnd w:id="294"/>
    <w:bookmarkEnd w:id="295"/>
    <w:bookmarkStart w:id="340" w:name="sec-software"/>
    <w:p>
      <w:pPr>
        <w:pStyle w:val="Heading1"/>
      </w:pPr>
      <w:r>
        <w:t xml:space="preserve">13. Software</w:t>
      </w:r>
    </w:p>
    <w:bookmarkStart w:id="339"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6"/>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6"/>
        </w:numPr>
      </w:pPr>
      <w:r>
        <w:rPr>
          <w:b/>
          <w:bCs/>
        </w:rPr>
        <w:t xml:space="preserve">database</w:t>
      </w:r>
      <w:r>
        <w:t xml:space="preserve"> </w:t>
      </w:r>
      <w:r>
        <w:t xml:space="preserve">— a columnar, embedded analytic database (</w:t>
      </w:r>
      <w:hyperlink r:id="rId296">
        <w:r>
          <w:rPr>
            <w:rStyle w:val="Hyperlink"/>
            <w:b/>
            <w:bCs/>
          </w:rPr>
          <w:t xml:space="preserve">DuckDB</w:t>
        </w:r>
      </w:hyperlink>
      <w:r>
        <w:t xml:space="preserve">) as the single source of truth for species distributions, per-cell scores and derived per-zone metrics;</w:t>
      </w:r>
    </w:p>
    <w:p>
      <w:pPr>
        <w:pStyle w:val="Compact"/>
        <w:numPr>
          <w:ilvl w:val="0"/>
          <w:numId w:val="1026"/>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6"/>
        </w:numPr>
      </w:pPr>
      <w:r>
        <w:rPr>
          <w:b/>
          <w:bCs/>
        </w:rPr>
        <w:t xml:space="preserve">APIs</w:t>
      </w:r>
      <w:r>
        <w:t xml:space="preserve"> </w:t>
      </w:r>
      <w:r>
        <w:t xml:space="preserve">— a custom R</w:t>
      </w:r>
      <w:r>
        <w:t xml:space="preserve"> </w:t>
      </w:r>
      <w:hyperlink r:id="rId297">
        <w:r>
          <w:rPr>
            <w:rStyle w:val="VerbatimChar"/>
          </w:rPr>
          <w:t xml:space="preserve">plumber</w:t>
        </w:r>
      </w:hyperlink>
      <w:r>
        <w:t xml:space="preserve"> </w:t>
      </w:r>
      <w:r>
        <w:t xml:space="preserve">API for data requests,</w:t>
      </w:r>
      <w:r>
        <w:t xml:space="preserve"> </w:t>
      </w:r>
      <w:hyperlink r:id="rId298">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6"/>
        </w:numPr>
      </w:pPr>
      <w:r>
        <w:rPr>
          <w:b/>
          <w:bCs/>
        </w:rPr>
        <w:t xml:space="preserve">libraries</w:t>
      </w:r>
      <w:r>
        <w:t xml:space="preserve"> </w:t>
      </w:r>
      <w:r>
        <w:t xml:space="preserve">— re-usable documented functions as the</w:t>
      </w:r>
      <w:r>
        <w:t xml:space="preserve"> </w:t>
      </w:r>
      <w:hyperlink r:id="rId299">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6"/>
        </w:numPr>
      </w:pPr>
      <w:r>
        <w:rPr>
          <w:b/>
          <w:bCs/>
        </w:rPr>
        <w:t xml:space="preserve">applications</w:t>
      </w:r>
      <w:r>
        <w:t xml:space="preserve"> </w:t>
      </w:r>
      <w:r>
        <w:t xml:space="preserve">— the static, in-browser</w:t>
      </w:r>
      <w:r>
        <w:t xml:space="preserve"> </w:t>
      </w:r>
      <w:r>
        <w:rPr>
          <w:b/>
          <w:bCs/>
        </w:rPr>
        <w:t xml:space="preserve">Atlas</w:t>
      </w:r>
      <w:r>
        <w:t xml:space="preserve">, which combines COG raster layers with static</w:t>
      </w:r>
      <w:r>
        <w:t xml:space="preserve"> </w:t>
      </w:r>
      <w:hyperlink r:id="rId300">
        <w:r>
          <w:rPr>
            <w:rStyle w:val="Hyperlink"/>
          </w:rPr>
          <w:t xml:space="preserve">PMTiles</w:t>
        </w:r>
      </w:hyperlink>
      <w:r>
        <w:t xml:space="preserve"> </w:t>
      </w:r>
      <w:r>
        <w:t xml:space="preserve">vector layers and per-zone choropleth fills computed in the browser, rendering</w:t>
      </w:r>
      <w:r>
        <w:t xml:space="preserve"> </w:t>
      </w:r>
      <w:r>
        <w:rPr>
          <w:b/>
          <w:bCs/>
        </w:rPr>
        <w:t xml:space="preserve">any published release</w:t>
      </w:r>
      <w:r>
        <w:t xml:space="preserve"> </w:t>
      </w:r>
      <w:r>
        <w:t xml:space="preserve">(it replaced the earlier</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Shiny apps);</w:t>
      </w:r>
    </w:p>
    <w:p>
      <w:pPr>
        <w:pStyle w:val="Compact"/>
        <w:numPr>
          <w:ilvl w:val="0"/>
          <w:numId w:val="1026"/>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304" w:name="fig-architecture"/>
          <w:p>
            <w:pPr>
              <w:jc w:val="center"/>
            </w:pPr>
            <w:r>
              <w:drawing>
                <wp:inline>
                  <wp:extent cx="5334000" cy="2087880"/>
                  <wp:effectExtent b="0" l="0" r="0" t="0"/>
                  <wp:docPr descr="" title="" id="302" name="Picture"/>
                  <a:graphic>
                    <a:graphicData uri="http://schemas.openxmlformats.org/drawingml/2006/picture">
                      <pic:pic>
                        <pic:nvPicPr>
                          <pic:cNvPr descr="software_files/figure-docx/mermaid-figure-6.png" id="303" name="Picture"/>
                          <pic:cNvPicPr>
                            <a:picLocks noChangeArrowheads="1" noChangeAspect="1"/>
                          </pic:cNvPicPr>
                        </pic:nvPicPr>
                        <pic:blipFill>
                          <a:blip r:embed="rId301"/>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304"/>
        </w:tc>
      </w:tr>
    </w:tbl>
    <w:bookmarkStart w:id="306" w:name="interactive-applications"/>
    <w:p>
      <w:pPr>
        <w:pStyle w:val="Heading3"/>
      </w:pPr>
      <w:r>
        <w:t xml:space="preserve">13.1.1 Interactive Applications</w:t>
      </w:r>
    </w:p>
    <w:p>
      <w:pPr>
        <w:pStyle w:val="FirstParagraph"/>
      </w:pPr>
      <w:r>
        <w:t xml:space="preserve">The project’s interactive application, the Atlas (</w:t>
      </w:r>
      <w:hyperlink w:anchor="sec-apps">
        <w:r>
          <w:rPr>
            <w:rStyle w:val="Hyperlink"/>
          </w:rPr>
          <w:t xml:space="preserve">Chapter 19</w:t>
        </w:r>
      </w:hyperlink>
      <w:r>
        <w:t xml:space="preserve">), lets users visualize the data, explore the results, and interact with the data in a more intuitive way. It is a static web app that computes scores, tables and reports in the browser. Earlier editions of the MST were instead served by two applications built with the</w:t>
      </w:r>
      <w:r>
        <w:t xml:space="preserve"> </w:t>
      </w:r>
      <w:hyperlink r:id="rId305">
        <w:r>
          <w:rPr>
            <w:rStyle w:val="VerbatimChar"/>
          </w:rPr>
          <w:t xml:space="preserve">shiny</w:t>
        </w:r>
      </w:hyperlink>
      <w:r>
        <w:t xml:space="preserve"> </w:t>
      </w:r>
      <w:r>
        <w:t xml:space="preserve">package in R</w:t>
      </w:r>
      <w:r>
        <w:t xml:space="preserve"> </w:t>
      </w:r>
      <w:r>
        <w:t xml:space="preserve">(Chang et al. 2024)</w:t>
      </w:r>
      <w:r>
        <w:t xml:space="preserve">, now retired; the diagrams in this chapter were drawn for that design, so where they show a Shiny server, the Atlas does that work in the browser, with the same COG, PMTiles and Parquet data underneath.</w:t>
      </w:r>
    </w:p>
    <w:bookmarkEnd w:id="306"/>
    <w:bookmarkStart w:id="331"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7">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8">
        <w:r>
          <w:rPr>
            <w:rStyle w:val="Hyperlink"/>
          </w:rPr>
          <w:t xml:space="preserve">Cloud-Optimized Geospatial Formats Guide</w:t>
        </w:r>
      </w:hyperlink>
      <w:r>
        <w:t xml:space="preserve">) that transfers only the pixels / features visible in the current viewport:</w:t>
      </w:r>
    </w:p>
    <w:p>
      <w:pPr>
        <w:pStyle w:val="Compact"/>
        <w:numPr>
          <w:ilvl w:val="0"/>
          <w:numId w:val="1027"/>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7"/>
        </w:numPr>
      </w:pPr>
      <w:r>
        <w:rPr>
          <w:b/>
          <w:bCs/>
        </w:rPr>
        <w:t xml:space="preserve">Vector polygons</w:t>
      </w:r>
      <w:r>
        <w:t xml:space="preserve"> </w:t>
      </w:r>
      <w:r>
        <w:t xml:space="preserve">(Program Areas, Ecoregions, Planning Areas, …) are served as static</w:t>
      </w:r>
      <w:r>
        <w:t xml:space="preserve"> </w:t>
      </w:r>
      <w:hyperlink r:id="rId300">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7"/>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13"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28"/>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28"/>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12" w:name="fig-raster"/>
          <w:p>
            <w:pPr>
              <w:jc w:val="center"/>
            </w:pPr>
            <w:r>
              <w:drawing>
                <wp:inline>
                  <wp:extent cx="5334000" cy="2895599"/>
                  <wp:effectExtent b="0" l="0" r="0" t="0"/>
                  <wp:docPr descr="" title="" id="310" name="Picture"/>
                  <a:graphic>
                    <a:graphicData uri="http://schemas.openxmlformats.org/drawingml/2006/picture">
                      <pic:pic>
                        <pic:nvPicPr>
                          <pic:cNvPr descr="software_files/figure-docx/mermaid-figure-10.png" id="311" name="Picture"/>
                          <pic:cNvPicPr>
                            <a:picLocks noChangeArrowheads="1" noChangeAspect="1"/>
                          </pic:cNvPicPr>
                        </pic:nvPicPr>
                        <pic:blipFill>
                          <a:blip r:embed="rId309"/>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12"/>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13"/>
    <w:bookmarkStart w:id="320"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300">
        <w:r>
          <w:rPr>
            <w:rStyle w:val="Hyperlink"/>
          </w:rPr>
          <w:t xml:space="preserve">PMTiles</w:t>
        </w:r>
      </w:hyperlink>
      <w:r>
        <w:t xml:space="preserve"> </w:t>
      </w:r>
      <w:r>
        <w:t xml:space="preserve">archives offline via</w:t>
      </w:r>
      <w:r>
        <w:t xml:space="preserve"> </w:t>
      </w:r>
      <w:hyperlink r:id="rId314">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8" w:name="fig-pmtiles"/>
          <w:p>
            <w:pPr>
              <w:jc w:val="center"/>
            </w:pPr>
            <w:r>
              <w:drawing>
                <wp:inline>
                  <wp:extent cx="5334000" cy="1866900"/>
                  <wp:effectExtent b="0" l="0" r="0" t="0"/>
                  <wp:docPr descr="" title="" id="316" name="Picture"/>
                  <a:graphic>
                    <a:graphicData uri="http://schemas.openxmlformats.org/drawingml/2006/picture">
                      <pic:pic>
                        <pic:nvPicPr>
                          <pic:cNvPr descr="software_files/figure-docx/mermaid-figure-9.png" id="317" name="Picture"/>
                          <pic:cNvPicPr>
                            <a:picLocks noChangeArrowheads="1" noChangeAspect="1"/>
                          </pic:cNvPicPr>
                        </pic:nvPicPr>
                        <pic:blipFill>
                          <a:blip r:embed="rId315"/>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8"/>
        </w:tc>
      </w:tr>
    </w:tbl>
    <w:p>
      <w:pPr>
        <w:pStyle w:val="BodyText"/>
      </w:pPr>
      <w:r>
        <w:t xml:space="preserve">This is a deliberate simplification from the prior architecture which used PostgreSQL + PostGIS +</w:t>
      </w:r>
      <w:r>
        <w:t xml:space="preserve"> </w:t>
      </w:r>
      <w:hyperlink r:id="rId319">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20"/>
    <w:bookmarkStart w:id="325"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(This describes the retired Shiny design; the Atlas applies the same idea in the browser, coloring the static PMTiles geometry from per-zone scores it reads for the release.) The Shiny server handled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mapped</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4" w:name="fig-choropleth"/>
          <w:p>
            <w:pPr>
              <w:jc w:val="center"/>
            </w:pPr>
            <w:r>
              <w:drawing>
                <wp:inline>
                  <wp:extent cx="5334000" cy="2339340"/>
                  <wp:effectExtent b="0" l="0" r="0" t="0"/>
                  <wp:docPr descr="" title="" id="322" name="Picture"/>
                  <a:graphic>
                    <a:graphicData uri="http://schemas.openxmlformats.org/drawingml/2006/picture">
                      <pic:pic>
                        <pic:nvPicPr>
                          <pic:cNvPr descr="software_files/figure-docx/mermaid-figure-8.png" id="323" name="Picture"/>
                          <pic:cNvPicPr>
                            <a:picLocks noChangeArrowheads="1" noChangeAspect="1"/>
                          </pic:cNvPicPr>
                        </pic:nvPicPr>
                        <pic:blipFill>
                          <a:blip r:embed="rId321"/>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24"/>
        </w:tc>
      </w:tr>
    </w:tbl>
    <w:bookmarkEnd w:id="325"/>
    <w:bookmarkStart w:id="330"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9" w:name="fig-data-pipeline"/>
          <w:p>
            <w:pPr>
              <w:jc w:val="center"/>
            </w:pPr>
            <w:r>
              <w:drawing>
                <wp:inline>
                  <wp:extent cx="5334000" cy="3055619"/>
                  <wp:effectExtent b="0" l="0" r="0" t="0"/>
                  <wp:docPr descr="" title="" id="327" name="Picture"/>
                  <a:graphic>
                    <a:graphicData uri="http://schemas.openxmlformats.org/drawingml/2006/picture">
                      <pic:pic>
                        <pic:nvPicPr>
                          <pic:cNvPr descr="software_files/figure-docx/mermaid-figure-7.png" id="328" name="Picture"/>
                          <pic:cNvPicPr>
                            <a:picLocks noChangeArrowheads="1" noChangeAspect="1"/>
                          </pic:cNvPicPr>
                        </pic:nvPicPr>
                        <pic:blipFill>
                          <a:blip r:embed="rId326"/>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9"/>
        </w:tc>
      </w:tr>
    </w:tbl>
    <w:bookmarkEnd w:id="330"/>
    <w:bookmarkEnd w:id="331"/>
    <w:bookmarkStart w:id="333" w:name="github-repositories"/>
    <w:p>
      <w:pPr>
        <w:pStyle w:val="Heading3"/>
      </w:pPr>
      <w:r>
        <w:t xml:space="preserve">13.1.3 Github Repositories</w:t>
      </w:r>
    </w:p>
    <w:p>
      <w:pPr>
        <w:pStyle w:val="FirstParagraph"/>
      </w:pPr>
      <w:r>
        <w:t xml:space="preserve">See the</w:t>
      </w:r>
      <w:r>
        <w:t xml:space="preserve"> </w:t>
      </w:r>
      <w:hyperlink r:id="rId332">
        <w:r>
          <w:rPr>
            <w:rStyle w:val="Hyperlink"/>
          </w:rPr>
          <w:t xml:space="preserve">MarineSensitivity organization on GitHub</w:t>
        </w:r>
      </w:hyperlink>
      <w:r>
        <w:t xml:space="preserve">.</w:t>
      </w:r>
    </w:p>
    <w:bookmarkEnd w:id="333"/>
    <w:bookmarkStart w:id="338" w:name="software-components"/>
    <w:p>
      <w:pPr>
        <w:pStyle w:val="Heading3"/>
      </w:pPr>
      <w:r>
        <w:t xml:space="preserve">13.1.4 Software Components</w:t>
      </w:r>
    </w:p>
    <w:bookmarkStart w:id="334" w:name="list-components"/>
    <w:bookmarkEnd w:id="334"/>
    <w:p>
      <w:pPr>
        <w:pStyle w:val="FirstParagraph"/>
      </w:pPr>
      <w:r>
        <w:drawing>
          <wp:inline>
            <wp:extent cx="5334000" cy="5215816"/>
            <wp:effectExtent b="0" l="0" r="0" t="0"/>
            <wp:docPr descr="" title="" id="336" name="Picture"/>
            <a:graphic>
              <a:graphicData uri="http://schemas.openxmlformats.org/drawingml/2006/picture">
                <pic:pic>
                  <pic:nvPicPr>
                    <pic:cNvPr descr="figures/listing-software.png" id="337" name="Picture"/>
                    <pic:cNvPicPr>
                      <a:picLocks noChangeArrowheads="1" noChangeAspect="1"/>
                    </pic:cNvPicPr>
                  </pic:nvPicPr>
                  <pic:blipFill>
                    <a:blip r:embed="rId335"/>
                    <a:stretch>
                      <a:fillRect/>
                    </a:stretch>
                  </pic:blipFill>
                  <pic:spPr bwMode="auto">
                    <a:xfrm>
                      <a:off x="0" y="0"/>
                      <a:ext cx="5334000" cy="5215816"/>
                    </a:xfrm>
                    <a:prstGeom prst="rect">
                      <a:avLst/>
                    </a:prstGeom>
                    <a:noFill/>
                    <a:ln w="9525">
                      <a:noFill/>
                      <a:headEnd/>
                      <a:tailEnd/>
                    </a:ln>
                  </pic:spPr>
                </pic:pic>
              </a:graphicData>
            </a:graphic>
          </wp:inline>
        </w:drawing>
      </w:r>
    </w:p>
    <w:bookmarkEnd w:id="338"/>
    <w:bookmarkEnd w:id="339"/>
    <w:bookmarkEnd w:id="340"/>
    <w:bookmarkStart w:id="389" w:name="sec-server"/>
    <w:p>
      <w:pPr>
        <w:pStyle w:val="Heading1"/>
      </w:pPr>
      <w:r>
        <w:t xml:space="preserve">14. Server</w:t>
      </w:r>
    </w:p>
    <w:p>
      <w:pPr>
        <w:pStyle w:val="FirstParagraph"/>
      </w:pPr>
      <w:r>
        <w:t xml:space="preserve">The server is for serving up any web services outside those of Github (e.g.,</w:t>
      </w:r>
      <w:r>
        <w:t xml:space="preserve"> </w:t>
      </w:r>
      <w:hyperlink r:id="rId341">
        <w:r>
          <w:rPr>
            <w:rStyle w:val="Hyperlink"/>
          </w:rPr>
          <w:t xml:space="preserve">website</w:t>
        </w:r>
      </w:hyperlink>
      <w:r>
        <w:t xml:space="preserve">,</w:t>
      </w:r>
      <w:r>
        <w:t xml:space="preserve"> </w:t>
      </w:r>
      <w:hyperlink r:id="rId342">
        <w:r>
          <w:rPr>
            <w:rStyle w:val="Hyperlink"/>
          </w:rPr>
          <w:t xml:space="preserve">docs</w:t>
        </w:r>
      </w:hyperlink>
      <w:r>
        <w:t xml:space="preserve"> </w:t>
      </w:r>
      <w:r>
        <w:t xml:space="preserve">and R package</w:t>
      </w:r>
      <w:r>
        <w:t xml:space="preserve"> </w:t>
      </w:r>
      <w:hyperlink r:id="rId343">
        <w:r>
          <w:rPr>
            <w:rStyle w:val="Hyperlink"/>
          </w:rPr>
          <w:t xml:space="preserve">msens</w:t>
        </w:r>
      </w:hyperlink>
      <w:r>
        <w:t xml:space="preserve">) using</w:t>
      </w:r>
      <w:r>
        <w:t xml:space="preserve"> </w:t>
      </w:r>
      <w:hyperlink r:id="rId344">
        <w:r>
          <w:rPr>
            <w:rStyle w:val="Hyperlink"/>
          </w:rPr>
          <w:t xml:space="preserve">Docker</w:t>
        </w:r>
      </w:hyperlink>
      <w:r>
        <w:t xml:space="preserve"> </w:t>
      </w:r>
      <w:r>
        <w:t xml:space="preserve">(see the</w:t>
      </w:r>
      <w:r>
        <w:t xml:space="preserve"> </w:t>
      </w:r>
      <w:hyperlink r:id="rId345">
        <w:r>
          <w:rPr>
            <w:rStyle w:val="Hyperlink"/>
          </w:rPr>
          <w:t xml:space="preserve">docker-compose.yml</w:t>
        </w:r>
      </w:hyperlink>
      <w:r>
        <w:t xml:space="preserve">; with reverse proxying from subdomains to ports by</w:t>
      </w:r>
      <w:r>
        <w:t xml:space="preserve"> </w:t>
      </w:r>
      <w:hyperlink r:id="rId346">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62"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47">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50"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29"/>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29"/>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29"/>
        </w:numPr>
      </w:pPr>
      <w:r>
        <w:t xml:space="preserve">Firewall (security group)</w:t>
      </w:r>
      <w:r>
        <w:br/>
      </w:r>
      <w:r>
        <w:t xml:space="preserve">New security group</w:t>
      </w:r>
    </w:p>
    <w:p>
      <w:pPr>
        <w:pStyle w:val="Compact"/>
        <w:numPr>
          <w:ilvl w:val="0"/>
          <w:numId w:val="1029"/>
        </w:numPr>
      </w:pPr>
      <w:r>
        <w:t xml:space="preserve">Storage (volumes)</w:t>
      </w:r>
      <w:r>
        <w:br/>
      </w:r>
      <w:r>
        <w:t xml:space="preserve">2 volume(s)</w:t>
      </w:r>
    </w:p>
    <w:p>
      <w:pPr>
        <w:pStyle w:val="Compact"/>
        <w:numPr>
          <w:ilvl w:val="1"/>
          <w:numId w:val="1030"/>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30"/>
        </w:numPr>
      </w:pPr>
      <w:r>
        <w:rPr>
          <w:b/>
          <w:bCs/>
        </w:rPr>
        <w:t xml:space="preserve">60 GB</w:t>
      </w:r>
      <w:r>
        <w:br/>
      </w:r>
      <w:r>
        <w:rPr>
          <w:rStyle w:val="VerbatimChar"/>
        </w:rPr>
        <w:t xml:space="preserve">/share</w:t>
      </w:r>
      <w:r>
        <w:t xml:space="preserve"> </w:t>
      </w:r>
      <w:r>
        <w:t xml:space="preserve">for all data, persistent and to be backed up</w:t>
      </w:r>
    </w:p>
    <w:bookmarkStart w:id="349" w:name="allocate-ip-address"/>
    <w:p>
      <w:pPr>
        <w:pStyle w:val="Heading4"/>
      </w:pPr>
      <w:r>
        <w:t xml:space="preserve">14.1.1.1 allocate IP address</w:t>
      </w:r>
    </w:p>
    <w:p>
      <w:pPr>
        <w:numPr>
          <w:ilvl w:val="0"/>
          <w:numId w:val="1031"/>
        </w:numPr>
      </w:pPr>
      <w:hyperlink r:id="rId348">
        <w:r>
          <w:rPr>
            <w:rStyle w:val="Hyperlink"/>
          </w:rPr>
          <w:t xml:space="preserve">Elastic IP addresses | EC2 | us-east-1</w:t>
        </w:r>
      </w:hyperlink>
      <w:r>
        <w:t xml:space="preserve"> </w:t>
      </w:r>
      <w:r>
        <w:t xml:space="preserve">for persistent IP address</w:t>
      </w:r>
    </w:p>
    <w:p>
      <w:pPr>
        <w:numPr>
          <w:ilvl w:val="0"/>
          <w:numId w:val="1031"/>
        </w:numPr>
      </w:pPr>
      <w:r>
        <w:t xml:space="preserve">Allocated IPv4 address:</w:t>
      </w:r>
      <w:r>
        <w:t xml:space="preserve"> </w:t>
      </w:r>
      <w:r>
        <w:rPr>
          <w:rStyle w:val="VerbatimChar"/>
        </w:rPr>
        <w:t xml:space="preserve">100.25.173.0</w:t>
      </w:r>
    </w:p>
    <w:p>
      <w:pPr>
        <w:numPr>
          <w:ilvl w:val="0"/>
          <w:numId w:val="1031"/>
        </w:numPr>
      </w:pPr>
      <w:r>
        <w:t xml:space="preserve">Associate Elastic IP address</w:t>
      </w:r>
    </w:p>
    <w:bookmarkEnd w:id="349"/>
    <w:bookmarkEnd w:id="350"/>
    <w:bookmarkStart w:id="355"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52" w:name="set-hostname"/>
    <w:p>
      <w:pPr>
        <w:pStyle w:val="Heading4"/>
      </w:pPr>
      <w:r>
        <w:t xml:space="preserve">14.1.2.1 set hostname</w:t>
      </w:r>
    </w:p>
    <w:p>
      <w:pPr>
        <w:pStyle w:val="Compact"/>
        <w:numPr>
          <w:ilvl w:val="0"/>
          <w:numId w:val="1032"/>
        </w:numPr>
      </w:pPr>
      <w:hyperlink r:id="rId351">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52"/>
    <w:bookmarkStart w:id="354"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3"/>
        </w:numPr>
      </w:pPr>
      <w:hyperlink r:id="rId353">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54"/>
    <w:bookmarkEnd w:id="355"/>
    <w:bookmarkStart w:id="359" w:name="install-docker"/>
    <w:p>
      <w:pPr>
        <w:pStyle w:val="Heading3"/>
      </w:pPr>
      <w:r>
        <w:t xml:space="preserve">14.1.3 install docker</w:t>
      </w:r>
    </w:p>
    <w:p>
      <w:pPr>
        <w:pStyle w:val="FirstParagraph"/>
      </w:pPr>
      <w:r>
        <w:t xml:space="preserve">Following:</w:t>
      </w:r>
    </w:p>
    <w:p>
      <w:pPr>
        <w:pStyle w:val="Compact"/>
        <w:numPr>
          <w:ilvl w:val="0"/>
          <w:numId w:val="1034"/>
        </w:numPr>
      </w:pPr>
      <w:hyperlink r:id="rId356">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58" w:name="run-docker-compose"/>
    <w:p>
      <w:pPr>
        <w:pStyle w:val="Heading4"/>
      </w:pPr>
      <w:r>
        <w:t xml:space="preserve">14.1.3.1 run docker compose</w:t>
      </w:r>
    </w:p>
    <w:p>
      <w:pPr>
        <w:pStyle w:val="Compact"/>
        <w:numPr>
          <w:ilvl w:val="0"/>
          <w:numId w:val="1035"/>
        </w:numPr>
      </w:pPr>
      <w:r>
        <w:t xml:space="preserve">/Users/bbest/My Drive/private/</w:t>
      </w:r>
      <w:hyperlink r:id="rId357">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58"/>
    <w:bookmarkEnd w:id="359"/>
    <w:bookmarkStart w:id="361"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60">
        <w:r>
          <w:rPr>
            <w:rStyle w:val="Hyperlink"/>
          </w:rPr>
          <w:t xml:space="preserve">Automate snapshot lifecycles - Amazon Elastic Compute Cloud</w:t>
        </w:r>
      </w:hyperlink>
      <w:r>
        <w:t xml:space="preserve">, created two policies:</w:t>
      </w:r>
    </w:p>
    <w:p>
      <w:pPr>
        <w:pStyle w:val="Compact"/>
        <w:numPr>
          <w:ilvl w:val="0"/>
          <w:numId w:val="1036"/>
        </w:numPr>
      </w:pPr>
      <w:r>
        <w:rPr>
          <w:b/>
          <w:bCs/>
        </w:rPr>
        <w:t xml:space="preserve">bkup_msens-share_daily</w:t>
      </w:r>
      <w:r>
        <w:t xml:space="preserve"> </w:t>
      </w:r>
      <w:r>
        <w:t xml:space="preserve">every 24 hrs at 09:00 UTC, max of 7</w:t>
      </w:r>
    </w:p>
    <w:p>
      <w:pPr>
        <w:pStyle w:val="Compact"/>
        <w:numPr>
          <w:ilvl w:val="0"/>
          <w:numId w:val="1036"/>
        </w:numPr>
      </w:pPr>
      <w:r>
        <w:rPr>
          <w:b/>
          <w:bCs/>
        </w:rPr>
        <w:t xml:space="preserve">bkup_msens-share_weekly</w:t>
      </w:r>
      <w:r>
        <w:t xml:space="preserve"> </w:t>
      </w:r>
      <w:r>
        <w:t xml:space="preserve">every Monday 09:00 UTC, max of 8</w:t>
      </w:r>
    </w:p>
    <w:bookmarkEnd w:id="361"/>
    <w:bookmarkEnd w:id="362"/>
    <w:bookmarkStart w:id="363"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45">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(and the retired aliases / ?ver=</w:t>
      </w:r>
      <w:r>
        <w:br/>
      </w:r>
      <w:r>
        <w:rPr>
          <w:rStyle w:val="CommentTok"/>
        </w:rPr>
        <w:t xml:space="preserve">      # spellings) for these straight to the review host's Atlas, ONE hop (Atlas</w:t>
      </w:r>
      <w:r>
        <w:br/>
      </w:r>
      <w:r>
        <w:rPr>
          <w:rStyle w:val="CommentTok"/>
        </w:rPr>
        <w:t xml:space="preserve">      # cutover B2, caddy/atlas_cutover_public.caddy), instead of the public Atlas.</w:t>
      </w:r>
      <w:r>
        <w:br/>
      </w:r>
      <w:r>
        <w:rPr>
          <w:rStyle w:val="CommentTok"/>
        </w:rPr>
        <w:t xml:space="preserve">      # Kept in the server .env beside PREVIEW_REVIEWERS_&lt;VER&gt;; DEPLOY_CADDY asserts</w:t>
      </w:r>
      <w:r>
        <w:br/>
      </w:r>
      <w:r>
        <w:rPr>
          <w:rStyle w:val="CommentTok"/>
        </w:rPr>
        <w:t xml:space="preserve">      # it against versions.json BEFORE it restarts anything. UNSET (or empty) it</w:t>
      </w:r>
      <w:r>
        <w:br/>
      </w:r>
      <w:r>
        <w:rPr>
          <w:rStyle w:val="CommentTok"/>
        </w:rPr>
        <w:t xml:space="preserve">      # defaults to the no-match value `__none__`, and then restricted versions are</w:t>
      </w:r>
      <w:r>
        <w:br/>
      </w:r>
      <w:r>
        <w:rPr>
          <w:rStyle w:val="CommentTok"/>
        </w:rPr>
        <w:t xml:space="preserve">      # sent to the PUBLIC Atlas instead of the review host: that fails closed (the</w:t>
      </w:r>
      <w:r>
        <w:br/>
      </w:r>
      <w:r>
        <w:rPr>
          <w:rStyle w:val="CommentTok"/>
        </w:rPr>
        <w:t xml:space="preserve">      # app says "under review") but is the wrong door, and the deploy check refuses</w:t>
      </w:r>
      <w:r>
        <w:br/>
      </w:r>
      <w:r>
        <w:rPr>
          <w:rStyle w:val="CommentTok"/>
        </w:rPr>
        <w:t xml:space="preserve">      # it. Use `__none__` explicitly only while no release is restricted.</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PUBLIC app host's Atlas cutover redirects (B2, 2026-10-16), imported by</w:t>
      </w:r>
      <w:r>
        <w:br/>
      </w:r>
      <w:r>
        <w:rPr>
          <w:rStyle w:val="CommentTok"/>
        </w:rPr>
        <w:t xml:space="preserve">      # the app.marinesensitivity.org vhost (single-file bind mount, same restart</w:t>
      </w:r>
      <w:r>
        <w:br/>
      </w:r>
      <w:r>
        <w:rPr>
          <w:rStyle w:val="CommentTok"/>
        </w:rPr>
        <w:t xml:space="preserve">      # rule). A NEW mount: `up -d --no-deps caddy` recreates the container for it.</w:t>
      </w:r>
      <w:r>
        <w:br/>
      </w:r>
      <w:r>
        <w:rPr>
          <w:rStyle w:val="AttributeTok"/>
        </w:rPr>
        <w:t xml:space="preserve">      </w:t>
      </w:r>
      <w:r>
        <w:rPr>
          <w:rStyle w:val="KeywordTok"/>
        </w:rPr>
        <w:t xml:space="preserve">-</w:t>
      </w:r>
      <w:r>
        <w:rPr>
          <w:rStyle w:val="AttributeTok"/>
        </w:rPr>
        <w:t xml:space="preserve"> ./caddy/atlas_cutover_public.caddy:/etc/caddy/atlas_cutover_public.caddy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63"/>
    <w:bookmarkStart w:id="366" w:name="dns"/>
    <w:p>
      <w:pPr>
        <w:pStyle w:val="Heading2"/>
      </w:pPr>
      <w:r>
        <w:t xml:space="preserve">14.3 DNS</w:t>
      </w:r>
    </w:p>
    <w:p>
      <w:pPr>
        <w:pStyle w:val="FirstParagraph"/>
      </w:pPr>
      <w:r>
        <w:t xml:space="preserve">The domain name server (DNS) records are managed by</w:t>
      </w:r>
      <w:r>
        <w:t xml:space="preserve"> </w:t>
      </w:r>
      <w:hyperlink r:id="rId364">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65">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66"/>
    <w:bookmarkStart w:id="368"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67">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 indicators/ (2026-10-20): the oceanmetrics/indicators catalog (values, manifest,</w:t>
      </w:r>
      <w:r>
        <w:br/>
      </w:r>
      <w:r>
        <w:rPr>
          <w:rStyle w:val="VerbatimChar"/>
        </w:rPr>
        <w:t xml:space="preserve"># coverage), published daily by that repo's catalog.yml on the macmini runner.</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^/(marine-atlas|gazetteer|indicators)(/|$)</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/gazetteer/ and /indicators/</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 the SAME public Shiny Server (:3838, /share/shiny_apps) as app.*, so scores and</w:t>
      </w:r>
      <w:r>
        <w:br/>
      </w:r>
      <w:r>
        <w:rPr>
          <w:rStyle w:val="VerbatimChar"/>
        </w:rPr>
        <w:t xml:space="preserve">    # species were reachable here too: the Atlas cutover (B2) redirects them from this host</w:t>
      </w:r>
      <w:r>
        <w:br/>
      </w:r>
      <w:r>
        <w:rPr>
          <w:rStyle w:val="VerbatimChar"/>
        </w:rPr>
        <w:t xml:space="preserve">    # as well, or /scores/ and /species/ would bypass it. Only the scores/species shapes</w:t>
      </w:r>
      <w:r>
        <w:br/>
      </w:r>
      <w:r>
        <w:rPr>
          <w:rStyle w:val="VerbatimChar"/>
        </w:rPr>
        <w:t xml:space="preserve">    # (and the retired aliases) match; every other app on this host proxies as before.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ATLAS CUTOVER B2 (2026-10-16): the Shiny /scores and /species apps are</w:t>
      </w:r>
      <w:r>
        <w:br/>
      </w:r>
      <w:r>
        <w:rPr>
          <w:rStyle w:val="VerbatimChar"/>
        </w:rPr>
        <w:t xml:space="preserve">    # replaced by the static Atlas (https://marinesensitivity.org/atlas/), and</w:t>
      </w:r>
      <w:r>
        <w:br/>
      </w:r>
      <w:r>
        <w:rPr>
          <w:rStyle w:val="VerbatimChar"/>
        </w:rPr>
        <w:t xml:space="preserve">    # every Shiny URL -- /{ver}/scores|species/, the unversioned /scores/ and</w:t>
      </w:r>
      <w:r>
        <w:br/>
      </w:r>
      <w:r>
        <w:rPr>
          <w:rStyle w:val="VerbatimChar"/>
        </w:rPr>
        <w:t xml:space="preserve">    # /species/ (+ ?ver=), and the retired /mapgl /mapsp /mapgl_v{n} /mapsp_v{n}</w:t>
      </w:r>
      <w:r>
        <w:br/>
      </w:r>
      <w:r>
        <w:rPr>
          <w:rStyle w:val="VerbatimChar"/>
        </w:rPr>
        <w:t xml:space="preserve">    # /scores_v{n} /species_v{n} aliases -- 302s into it with the query carried</w:t>
      </w:r>
      <w:r>
        <w:br/>
      </w:r>
      <w:r>
        <w:rPr>
          <w:rStyle w:val="VerbatimChar"/>
        </w:rPr>
        <w:t xml:space="preserve">    # verbatim (the Atlas rewrites mdl_key / mdl_seq itself). A RESTRICTED version</w:t>
      </w:r>
      <w:r>
        <w:br/>
      </w:r>
      <w:r>
        <w:rPr>
          <w:rStyle w:val="VerbatimChar"/>
        </w:rPr>
        <w:t xml:space="preserve">    # (PREVIEW_RESTRICTED_VERSIONS: a regex alternation such as "v8|v9" from the</w:t>
      </w:r>
      <w:r>
        <w:br/>
      </w:r>
      <w:r>
        <w:rPr>
          <w:rStyle w:val="VerbatimChar"/>
        </w:rPr>
        <w:t xml:space="preserve">    # server .env -- the same manual step as PREVIEW_REVIEWERS_&lt;VER&gt; and</w:t>
      </w:r>
      <w:r>
        <w:br/>
      </w:r>
      <w:r>
        <w:rPr>
          <w:rStyle w:val="VerbatimChar"/>
        </w:rPr>
        <w:t xml:space="preserve">    # CF_ACCESS_AUD, asserted against versions.json by DEPLOY_CADDY before it</w:t>
      </w:r>
      <w:r>
        <w:br/>
      </w:r>
      <w:r>
        <w:rPr>
          <w:rStyle w:val="VerbatimChar"/>
        </w:rPr>
        <w:t xml:space="preserve">    # restarts anything) goes straight to https://preview.marinesensitivity.org/</w:t>
      </w:r>
      <w:r>
        <w:br/>
      </w:r>
      <w:r>
        <w:rPr>
          <w:rStyle w:val="VerbatimChar"/>
        </w:rPr>
        <w:t xml:space="preserve">    # {ver}/atlas/. If it is UNSET it matches nothing, so restricted versions land</w:t>
      </w:r>
      <w:r>
        <w:br/>
      </w:r>
      <w:r>
        <w:rPr>
          <w:rStyle w:val="VerbatimChar"/>
        </w:rPr>
        <w:t xml:space="preserve">    # on the PUBLIC Atlas: that fails closed ("under review"), but it is the wrong</w:t>
      </w:r>
      <w:r>
        <w:br/>
      </w:r>
      <w:r>
        <w:rPr>
          <w:rStyle w:val="VerbatimChar"/>
        </w:rPr>
        <w:t xml:space="preserve">    # door and the deploy check exists to catch it. All 302 until B3 flips the</w:t>
      </w:r>
      <w:r>
        <w:br/>
      </w:r>
      <w:r>
        <w:rPr>
          <w:rStyle w:val="VerbatimChar"/>
        </w:rPr>
        <w:t xml:space="preserve">    # public ones to 301: a cached 301 would outlive a rollback. The rules, their</w:t>
      </w:r>
      <w:r>
        <w:br/>
      </w:r>
      <w:r>
        <w:rPr>
          <w:rStyle w:val="VerbatimChar"/>
        </w:rPr>
        <w:t xml:space="preserve">    # order and why live in atlas_cutover_public.caddy, which</w:t>
      </w:r>
      <w:r>
        <w:br/>
      </w:r>
      <w:r>
        <w:rPr>
          <w:rStyle w:val="VerbatimChar"/>
        </w:rPr>
        <w:t xml:space="preserve">    # caddy/test/atlas_cutover_local.sh proves.</w:t>
      </w:r>
      <w:r>
        <w:br/>
      </w:r>
      <w:r>
        <w:rPr>
          <w:rStyle w:val="VerbatimChar"/>
        </w:rPr>
        <w:t xml:space="preserve">    #</w:t>
      </w:r>
      <w:r>
        <w:br/>
      </w:r>
      <w:r>
        <w:rPr>
          <w:rStyle w:val="VerbatimChar"/>
        </w:rPr>
        <w:t xml:space="preserve">    # Before B2 this block held the `&amp;{query}` aliases and the restricted-version</w:t>
      </w:r>
      <w:r>
        <w:br/>
      </w:r>
      <w:r>
        <w:rPr>
          <w:rStyle w:val="VerbatimChar"/>
        </w:rPr>
        <w:t xml:space="preserve">    # 302 (MarineSensitivity/apps#6: a redir target carrying its own query REPLACES</w:t>
      </w:r>
      <w:r>
        <w:br/>
      </w:r>
      <w:r>
        <w:rPr>
          <w:rStyle w:val="VerbatimChar"/>
        </w:rPr>
        <w:t xml:space="preserve">    # the incoming one). Rolling back = revert the B2 server merge AND the</w:t>
      </w:r>
      <w:r>
        <w:br/>
      </w:r>
      <w:r>
        <w:rPr>
          <w:rStyle w:val="VerbatimChar"/>
        </w:rPr>
        <w:t xml:space="preserve">    # workflows merge (its DEPLOY_CADDY assertions expect the redirects), then</w:t>
      </w:r>
      <w:r>
        <w:br/>
      </w:r>
      <w:r>
        <w:rPr>
          <w:rStyle w:val="VerbatimChar"/>
        </w:rPr>
        <w:t xml:space="preserve">    # DEPLOY_CADDY=1.</w:t>
      </w:r>
      <w:r>
        <w:br/>
      </w:r>
      <w:r>
        <w:rPr>
          <w:rStyle w:val="VerbatimChar"/>
        </w:rPr>
        <w:t xml:space="preserve">    #</w:t>
      </w:r>
      <w:r>
        <w:br/>
      </w:r>
      <w:r>
        <w:rPr>
          <w:rStyle w:val="VerbatimChar"/>
        </w:rPr>
        <w:t xml:space="preserve">    # The bare host root has nothing to show any more: send it to the Atlas.</w:t>
      </w:r>
      <w:r>
        <w:br/>
      </w:r>
      <w:r>
        <w:rPr>
          <w:rStyle w:val="VerbatimChar"/>
        </w:rPr>
        <w:t xml:space="preserve">    # (shiny.* roots are left alone: they list that Shiny Server's other apps.)</w:t>
      </w:r>
      <w:r>
        <w:br/>
      </w:r>
      <w:r>
        <w:rPr>
          <w:rStyle w:val="VerbatimChar"/>
        </w:rPr>
        <w:t xml:space="preserve">    redir / https://marinesensitivity.org/atlas/ 302</w:t>
      </w:r>
      <w:r>
        <w:br/>
      </w:r>
      <w:r>
        <w:br/>
      </w:r>
      <w:r>
        <w:rPr>
          <w:rStyle w:val="VerbatimChar"/>
        </w:rPr>
        <w:t xml:space="preserve">    import atlas_cutover_public.caddy</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href="https://marinesensitivity.org/atlas/"&gt;the Atlas&lt;/a&gt;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 same Shiny Server as app.* / shiny.marinesensitivity.org: see the Atlas cutover note there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68"/>
    <w:bookmarkStart w:id="388"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80" w:name="app-data-plane"/>
    <w:p>
      <w:pPr>
        <w:pStyle w:val="Heading3"/>
      </w:pPr>
      <w:r>
        <w:t xml:space="preserve">14.5.1 App + data plane</w:t>
      </w:r>
    </w:p>
    <w:p>
      <w:pPr>
        <w:numPr>
          <w:ilvl w:val="0"/>
          <w:numId w:val="1037"/>
        </w:numPr>
      </w:pPr>
      <w:r>
        <w:rPr>
          <w:b/>
          <w:bCs/>
        </w:rPr>
        <w:t xml:space="preserve">app</w:t>
      </w:r>
      <w:r>
        <w:t xml:space="preserve"> </w:t>
      </w:r>
      <w:r>
        <w:t xml:space="preserve">(</w:t>
      </w:r>
      <w:r>
        <w:rPr>
          <w:rStyle w:val="VerbatimChar"/>
        </w:rPr>
        <w:t xml:space="preserve">app.marinesensitivity.org</w:t>
      </w:r>
      <w:r>
        <w:t xml:space="preserve">) /</w:t>
      </w:r>
      <w:r>
        <w:t xml:space="preserve"> </w:t>
      </w:r>
      <w:hyperlink r:id="rId369">
        <w:r>
          <w:rPr>
            <w:rStyle w:val="Hyperlink"/>
            <w:b/>
            <w:bCs/>
          </w:rPr>
          <w:t xml:space="preserve">shiny</w:t>
        </w:r>
      </w:hyperlink>
      <w:r>
        <w:br/>
      </w:r>
      <w:r>
        <w:rPr>
          <w:i/>
          <w:iCs/>
        </w:rPr>
        <w:t xml:space="preserve">app: retired, redirects to the Atlas</w:t>
      </w:r>
      <w:r>
        <w:t xml:space="preserve"> </w:t>
      </w:r>
      <w:r>
        <w:t xml:space="preserve">— this host formerly served the two interactive Shiny 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from the</w:t>
      </w:r>
      <w:r>
        <w:t xml:space="preserve"> </w:t>
      </w:r>
      <w:r>
        <w:rPr>
          <w:rStyle w:val="VerbatimChar"/>
        </w:rPr>
        <w:t xml:space="preserve">rstudio</w:t>
      </w:r>
      <w:r>
        <w:t xml:space="preserve"> </w:t>
      </w:r>
      <w:r>
        <w:t xml:space="preserve">container’s Shiny Server on internal port 3838, each rendering any published release from the URL path (e.g. </w:t>
      </w:r>
      <w:r>
        <w:rPr>
          <w:rStyle w:val="VerbatimChar"/>
        </w:rPr>
        <w:t xml:space="preserve">/v8/scores/</w:t>
      </w:r>
      <w:r>
        <w:t xml:space="preserve">). Since the Atlas became the project’s application (October 2026) Caddy answers</w:t>
      </w:r>
      <w:r>
        <w:t xml:space="preserve"> </w:t>
      </w:r>
      <w:r>
        <w:rPr>
          <w:b/>
          <w:bCs/>
        </w:rPr>
        <w:t xml:space="preserve">every</w:t>
      </w:r>
      <w:r>
        <w:t xml:space="preserve"> </w:t>
      </w:r>
      <w:r>
        <w:t xml:space="preserve">URL those apps ever had with a</w:t>
      </w:r>
      <w:r>
        <w:t xml:space="preserve"> </w:t>
      </w:r>
      <w:r>
        <w:rPr>
          <w:b/>
          <w:bCs/>
        </w:rPr>
        <w:t xml:space="preserve">redirect (HTTP 302 until the retired Shiny blocks are removed; the public ones then become permanent 301s) to the equivalent Atlas view, query carried</w:t>
      </w:r>
      <w:r>
        <w:t xml:space="preserve">:</w:t>
      </w:r>
      <w:r>
        <w:t xml:space="preserve"> </w:t>
      </w:r>
      <w:r>
        <w:rPr>
          <w:rStyle w:val="VerbatimChar"/>
        </w:rPr>
        <w:t xml:space="preserve">/{ver}/scores/</w:t>
      </w:r>
      <w:r>
        <w:t xml:space="preserve"> </w:t>
      </w:r>
      <w:r>
        <w:t xml:space="preserve">and</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(a restricted release’s go to its Atlas on the review host). The bare host root</w:t>
      </w:r>
      <w:r>
        <w:t xml:space="preserve"> </w:t>
      </w:r>
      <w:r>
        <w:rPr>
          <w:rStyle w:val="VerbatimChar"/>
        </w:rPr>
        <w:t xml:space="preserve">app.marinesensitivity.org/</w:t>
      </w:r>
      <w:r>
        <w:t xml:space="preserve"> </w:t>
      </w:r>
      <w:r>
        <w:t xml:space="preserve">also goes to the Atlas. So every link printed in a published report keeps working, but the Shiny apps are no longer reachable through the proxy; their source stays in the</w:t>
      </w:r>
      <w:r>
        <w:t xml:space="preserve"> </w:t>
      </w:r>
      <w:r>
        <w:rPr>
          <w:rStyle w:val="VerbatimChar"/>
        </w:rPr>
        <w:t xml:space="preserve">apps</w:t>
      </w:r>
      <w:r>
        <w:t xml:space="preserve"> </w:t>
      </w:r>
      <w:r>
        <w:t xml:space="preserve">repository.</w:t>
      </w:r>
      <w:r>
        <w:t xml:space="preserve"> </w:t>
      </w:r>
      <w:r>
        <w:rPr>
          <w:rStyle w:val="VerbatimChar"/>
        </w:rPr>
        <w:t xml:space="preserve">shiny.marinesensitivity.org</w:t>
      </w:r>
      <w:r>
        <w:t xml:space="preserve"> </w:t>
      </w:r>
      <w:r>
        <w:t xml:space="preserve">is the same Shiny Server’s own host; its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paths redirect to the Atlas the same way, and its other apps are unchanged. The Atlas itself is a static site on GitHub Pages (</w:t>
      </w:r>
      <w:r>
        <w:rPr>
          <w:rStyle w:val="VerbatimChar"/>
        </w:rPr>
        <w:t xml:space="preserve">marinesensitivity.org/atlas/</w:t>
      </w:r>
      <w:r>
        <w:t xml:space="preserve">) and, for restricted releases,</w:t>
      </w:r>
      <w:r>
        <w:t xml:space="preserve"> </w:t>
      </w:r>
      <w:r>
        <w:rPr>
          <w:rStyle w:val="VerbatimChar"/>
        </w:rPr>
        <w:t xml:space="preserve">preview.marinesensitivity.org/{ver}/atlas/</w:t>
      </w:r>
      <w:r>
        <w:t xml:space="preserve">.</w:t>
      </w:r>
      <w:r>
        <w:br/>
      </w:r>
      <w:r>
        <w:drawing>
          <wp:inline>
            <wp:extent cx="2857500" cy="1428750"/>
            <wp:effectExtent b="0" l="0" r="0" t="0"/>
            <wp:docPr descr="" title="" id="371" name="Picture"/>
            <a:graphic>
              <a:graphicData uri="http://schemas.openxmlformats.org/drawingml/2006/picture">
                <pic:pic>
                  <pic:nvPicPr>
                    <pic:cNvPr descr="figures/server/shiny.png" id="372" name="Picture"/>
                    <pic:cNvPicPr>
                      <a:picLocks noChangeArrowheads="1" noChangeAspect="1"/>
                    </pic:cNvPicPr>
                  </pic:nvPicPr>
                  <pic:blipFill>
                    <a:blip r:embed="rId370"/>
                    <a:stretch>
                      <a:fillRect/>
                    </a:stretch>
                  </pic:blipFill>
                  <pic:spPr bwMode="auto">
                    <a:xfrm>
                      <a:off x="0" y="0"/>
                      <a:ext cx="2857500" cy="1428750"/>
                    </a:xfrm>
                    <a:prstGeom prst="rect">
                      <a:avLst/>
                    </a:prstGeom>
                    <a:noFill/>
                    <a:ln w="9525">
                      <a:noFill/>
                      <a:headEnd/>
                      <a:tailEnd/>
                    </a:ln>
                  </pic:spPr>
                </pic:pic>
              </a:graphicData>
            </a:graphic>
          </wp:inline>
        </w:drawing>
      </w:r>
      <w:r>
        <w:br/>
      </w:r>
      <w:hyperlink r:id="rId373">
        <w:r>
          <w:rPr>
            <w:rStyle w:val="Hyperlink"/>
          </w:rPr>
          <w:t xml:space="preserve">Shiny Server docs</w:t>
        </w:r>
      </w:hyperlink>
    </w:p>
    <w:p>
      <w:pPr>
        <w:numPr>
          <w:ilvl w:val="0"/>
          <w:numId w:val="1037"/>
        </w:numPr>
      </w:pPr>
      <w:hyperlink r:id="rId374">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7"/>
        </w:numPr>
      </w:pPr>
      <w:hyperlink r:id="rId375">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8">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7"/>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7"/>
        </w:numPr>
      </w:pPr>
      <w:hyperlink r:id="rId376">
        <w:r>
          <w:rPr>
            <w:rStyle w:val="Hyperlink"/>
            <w:b/>
            <w:bCs/>
          </w:rPr>
          <w:t xml:space="preserve">api</w:t>
        </w:r>
      </w:hyperlink>
      <w:r>
        <w:br/>
      </w:r>
      <w:r>
        <w:rPr>
          <w:i/>
          <w:iCs/>
        </w:rPr>
        <w:t xml:space="preserve">custom R</w:t>
      </w:r>
      <w:r>
        <w:rPr>
          <w:i/>
          <w:iCs/>
        </w:rPr>
        <w:t xml:space="preserve"> </w:t>
      </w:r>
      <w:hyperlink r:id="rId297">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78" name="Picture"/>
            <a:graphic>
              <a:graphicData uri="http://schemas.openxmlformats.org/drawingml/2006/picture">
                <pic:pic>
                  <pic:nvPicPr>
                    <pic:cNvPr descr="figures/server/api.png" id="379" name="Picture"/>
                    <pic:cNvPicPr>
                      <a:picLocks noChangeArrowheads="1" noChangeAspect="1"/>
                    </pic:cNvPicPr>
                  </pic:nvPicPr>
                  <pic:blipFill>
                    <a:blip r:embed="rId377"/>
                    <a:stretch>
                      <a:fillRect/>
                    </a:stretch>
                  </pic:blipFill>
                  <pic:spPr bwMode="auto">
                    <a:xfrm>
                      <a:off x="0" y="0"/>
                      <a:ext cx="2857500" cy="2046839"/>
                    </a:xfrm>
                    <a:prstGeom prst="rect">
                      <a:avLst/>
                    </a:prstGeom>
                    <a:noFill/>
                    <a:ln w="9525">
                      <a:noFill/>
                      <a:headEnd/>
                      <a:tailEnd/>
                    </a:ln>
                  </pic:spPr>
                </pic:pic>
              </a:graphicData>
            </a:graphic>
          </wp:inline>
        </w:drawing>
      </w:r>
    </w:p>
    <w:bookmarkEnd w:id="380"/>
    <w:bookmarkStart w:id="386" w:name="admin"/>
    <w:p>
      <w:pPr>
        <w:pStyle w:val="Heading3"/>
      </w:pPr>
      <w:r>
        <w:t xml:space="preserve">14.5.2 Admin</w:t>
      </w:r>
    </w:p>
    <w:p>
      <w:pPr>
        <w:numPr>
          <w:ilvl w:val="0"/>
          <w:numId w:val="1038"/>
        </w:numPr>
      </w:pPr>
      <w:hyperlink r:id="rId381">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83" name="Picture"/>
            <a:graphic>
              <a:graphicData uri="http://schemas.openxmlformats.org/drawingml/2006/picture">
                <pic:pic>
                  <pic:nvPicPr>
                    <pic:cNvPr descr="figures/server/rstudio.png" id="384" name="Picture"/>
                    <pic:cNvPicPr>
                      <a:picLocks noChangeArrowheads="1" noChangeAspect="1"/>
                    </pic:cNvPicPr>
                  </pic:nvPicPr>
                  <pic:blipFill>
                    <a:blip r:embed="rId382"/>
                    <a:stretch>
                      <a:fillRect/>
                    </a:stretch>
                  </pic:blipFill>
                  <pic:spPr bwMode="auto">
                    <a:xfrm>
                      <a:off x="0" y="0"/>
                      <a:ext cx="2857500" cy="1926878"/>
                    </a:xfrm>
                    <a:prstGeom prst="rect">
                      <a:avLst/>
                    </a:prstGeom>
                    <a:noFill/>
                    <a:ln w="9525">
                      <a:noFill/>
                      <a:headEnd/>
                      <a:tailEnd/>
                    </a:ln>
                  </pic:spPr>
                </pic:pic>
              </a:graphicData>
            </a:graphic>
          </wp:inline>
        </w:drawing>
      </w:r>
      <w:r>
        <w:br/>
      </w:r>
      <w:hyperlink r:id="rId385">
        <w:r>
          <w:rPr>
            <w:rStyle w:val="Hyperlink"/>
          </w:rPr>
          <w:t xml:space="preserve">Posit RStudio Server</w:t>
        </w:r>
      </w:hyperlink>
    </w:p>
    <w:p>
      <w:pPr>
        <w:numPr>
          <w:ilvl w:val="0"/>
          <w:numId w:val="1038"/>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86"/>
    <w:bookmarkStart w:id="387" w:name="retired"/>
    <w:p>
      <w:pPr>
        <w:pStyle w:val="Heading3"/>
      </w:pPr>
      <w:r>
        <w:t xml:space="preserve">14.5.3 Retired</w:t>
      </w:r>
    </w:p>
    <w:p>
      <w:pPr>
        <w:numPr>
          <w:ilvl w:val="0"/>
          <w:numId w:val="1039"/>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39"/>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387"/>
    <w:bookmarkEnd w:id="388"/>
    <w:bookmarkEnd w:id="389"/>
    <w:bookmarkStart w:id="424"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v7b</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Applications/quarto/share/formats/docx/note.png" id="39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397" w:name="table-and-column-naming-conventions"/>
    <w:p>
      <w:pPr>
        <w:pStyle w:val="Heading2"/>
      </w:pPr>
      <w:r>
        <w:t xml:space="preserve">15.1 Table and column naming conventions</w:t>
      </w:r>
    </w:p>
    <w:p>
      <w:pPr>
        <w:pStyle w:val="Compact"/>
        <w:numPr>
          <w:ilvl w:val="0"/>
          <w:numId w:val="1040"/>
        </w:numPr>
      </w:pPr>
      <w:r>
        <w:t xml:space="preserve">Table names are singular and lower case.</w:t>
      </w:r>
    </w:p>
    <w:p>
      <w:pPr>
        <w:pStyle w:val="Compact"/>
        <w:numPr>
          <w:ilvl w:val="0"/>
          <w:numId w:val="1040"/>
        </w:numPr>
      </w:pPr>
      <w:r>
        <w:t xml:space="preserve">Unique identifier columns are suffixed with:</w:t>
      </w:r>
    </w:p>
    <w:p>
      <w:pPr>
        <w:pStyle w:val="Compact"/>
        <w:numPr>
          <w:ilvl w:val="1"/>
          <w:numId w:val="1041"/>
        </w:numPr>
      </w:pPr>
      <w:r>
        <w:rPr>
          <w:rStyle w:val="VerbatimChar"/>
        </w:rPr>
        <w:t xml:space="preserve">*_id</w:t>
      </w:r>
      <w:r>
        <w:t xml:space="preserve"> </w:t>
      </w:r>
      <w:r>
        <w:t xml:space="preserve">for unique integer keys (stable across rebuilds);</w:t>
      </w:r>
    </w:p>
    <w:p>
      <w:pPr>
        <w:pStyle w:val="Compact"/>
        <w:numPr>
          <w:ilvl w:val="1"/>
          <w:numId w:val="1041"/>
        </w:numPr>
      </w:pPr>
      <w:r>
        <w:rPr>
          <w:rStyle w:val="VerbatimChar"/>
        </w:rPr>
        <w:t xml:space="preserve">*_key</w:t>
      </w:r>
      <w:r>
        <w:t xml:space="preserve"> </w:t>
      </w:r>
      <w:r>
        <w:t xml:space="preserve">for unique string keys (human-readable and stable across releases);</w:t>
      </w:r>
    </w:p>
    <w:p>
      <w:pPr>
        <w:pStyle w:val="Compact"/>
        <w:numPr>
          <w:ilvl w:val="1"/>
          <w:numId w:val="1041"/>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40"/>
        </w:numPr>
      </w:pPr>
      <w:r>
        <w:t xml:space="preserve">Column names are singular and use</w:t>
      </w:r>
      <w:r>
        <w:t xml:space="preserve"> </w:t>
      </w:r>
      <w:r>
        <w:rPr>
          <w:rStyle w:val="VerbatimChar"/>
        </w:rPr>
        <w:t xml:space="preserve">snake_case</w:t>
      </w:r>
      <w:r>
        <w:t xml:space="preserve">.</w:t>
      </w:r>
    </w:p>
    <w:p>
      <w:pPr>
        <w:pStyle w:val="Compact"/>
        <w:numPr>
          <w:ilvl w:val="0"/>
          <w:numId w:val="1040"/>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92" name="Picture"/>
                  <a:graphic>
                    <a:graphicData uri="http://schemas.openxmlformats.org/drawingml/2006/picture">
                      <pic:pic>
                        <pic:nvPicPr>
                          <pic:cNvPr descr="/Applications/quarto/share/formats/docx/important.png" id="39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394" w:name="tbl-db-tables"/>
          <w:p>
            <w:pPr>
              <w:jc w:val="center"/>
            </w:pPr>
            <w:pPr>
              <w:jc w:val="left"/>
              <w:spacing w:before="200"/>
              <w:pStyle w:val="ImageCaption"/>
            </w:pPr>
            <w:r>
              <w:t xml:space="preserve">Table 15.1: Tables published by v7b, with row counts read from the release itself.</w:t>
            </w:r>
          </w:p>
          <w:tbl>
            <w:tblPr>
              <w:tblStyle w:val="Table"/>
              <w:tblW w:type="pct" w:w="5000"/>
              <w:tblLayout w:type="fixed"/>
              <w:tblLook w:firstRow="1" w:lastRow="0" w:firstColumn="0" w:lastColumn="0" w:noHBand="0" w:noVBand="0" w:val="0020"/>
            </w:tblPr>
            <w:tblGrid>
              <w:gridCol w:w="649"/>
              <w:gridCol w:w="476"/>
              <w:gridCol w:w="6794"/>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662,075</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32,315</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51</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21,779,632</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73</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5,214,822</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1,148</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126,791</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9</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31,690</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718</w:t>
                  </w:r>
                </w:p>
              </w:tc>
              <w:tc>
                <w:tcPr/>
                <w:p>
                  <w:pPr>
                    <w:pStyle w:val="Compact"/>
                    <w:jc w:val="left"/>
                    <w:jc w:val="center"/>
                  </w:pPr>
                  <w:r>
                    <w:t xml:space="preserve">US federal listing lookup (ESA status, MMPA and MBTA protection).</w:t>
                  </w:r>
                </w:p>
              </w:tc>
            </w:tr>
            <w:tr>
              <w:tc>
                <w:tcPr/>
                <w:p>
                  <w:pPr>
                    <w:pStyle w:val="Compact"/>
                    <w:jc w:val="left"/>
                    <w:jc w:val="center"/>
                  </w:pPr>
                  <w:r>
                    <w:rPr>
                      <w:rStyle w:val="VerbatimChar"/>
                    </w:rPr>
                    <w:t xml:space="preserve">native_asset</w:t>
                  </w:r>
                </w:p>
              </w:tc>
              <w:tc>
                <w:tcPr/>
                <w:p>
                  <w:pPr>
                    <w:pStyle w:val="Compact"/>
                    <w:jc w:val="right"/>
                    <w:jc w:val="center"/>
                  </w:pPr>
                  <w:r>
                    <w:t xml:space="preserve">49,331</w:t>
                  </w:r>
                </w:p>
              </w:tc>
              <w:tc>
                <w:tcPr/>
                <w:p>
                  <w:pPr>
                    <w:pStyle w:val="Compact"/>
                    <w:jc w:val="left"/>
                    <w:jc w:val="center"/>
                  </w:pPr>
                  <w:r>
                    <w:t xml:space="preserve">Per-release pointers from each model to its distribution files (COGs, PMTiles) in the asset store (</w:t>
                  </w:r>
                  <w:hyperlink w:anchor="sec-asset-store">
                    <w:r>
                      <w:rPr>
                        <w:rStyle w:val="Hyperlink"/>
                      </w:rPr>
                      <w:t xml:space="preserve">Section 15.3</w:t>
                    </w:r>
                  </w:hyperlink>
                  <w:r>
                    <w:t xml:space="preserve">); the Atlas reads it to draw each input.</w:t>
                  </w:r>
                </w:p>
              </w:tc>
            </w:tr>
          </w:tbl>
          <w:bookmarkEnd w:id="394"/>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Applications/quarto/share/formats/docx/note.png" id="39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v7b</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 Sections that depend on these are omitted from this build rather than described from another release.</w:t>
            </w:r>
          </w:p>
          <w:p/>
        </w:tc>
      </w:tr>
    </w:tbl>
    <w:bookmarkEnd w:id="397"/>
    <w:bookmarkStart w:id="411" w:name="schema"/>
    <w:p>
      <w:pPr>
        <w:pStyle w:val="Heading2"/>
      </w:pPr>
      <w:r>
        <w:t xml:space="preserve">15.2 Schema</w:t>
      </w:r>
    </w:p>
    <w:p>
      <w:pPr>
        <w:pStyle w:val="FirstParagraph"/>
      </w:pPr>
      <w:r>
        <w:t xml:space="preserve">The columns of each published table, read from the release:</w:t>
      </w:r>
    </w:p>
    <w:bookmarkStart w:id="398"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398"/>
    <w:bookmarkStart w:id="399"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ms_merge</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worms_id</w:t>
            </w:r>
          </w:p>
        </w:tc>
        <w:tc>
          <w:tcPr/>
          <w:p>
            <w:pPr>
              <w:pStyle w:val="Compact"/>
              <w:jc w:val="left"/>
            </w:pPr>
            <w:r>
              <w:t xml:space="preserve">INTEGER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is_ok</w:t>
            </w:r>
          </w:p>
        </w:tc>
        <w:tc>
          <w:tcPr/>
          <w:p>
            <w:pPr>
              <w:pStyle w:val="Compact"/>
              <w:jc w:val="left"/>
            </w:pPr>
            <w:r>
              <w:t xml:space="preserve">BOOLEAN</w:t>
            </w:r>
          </w:p>
        </w:tc>
      </w:tr>
      <w:tr>
        <w:tc>
          <w:tcPr/>
          <w:p>
            <w:pPr>
              <w:pStyle w:val="Compact"/>
              <w:jc w:val="left"/>
            </w:pPr>
            <w:r>
              <w:t xml:space="preserve">worms_taxonomic_status</w:t>
            </w:r>
          </w:p>
        </w:tc>
        <w:tc>
          <w:tcPr/>
          <w:p>
            <w:pPr>
              <w:pStyle w:val="Compact"/>
              <w:jc w:val="left"/>
            </w:pPr>
            <w:r>
              <w:t xml:space="preserve">VARCHAR</w:t>
            </w:r>
          </w:p>
        </w:tc>
      </w:tr>
      <w:tr>
        <w:tc>
          <w:tcPr/>
          <w:p>
            <w:pPr>
              <w:pStyle w:val="Compact"/>
              <w:jc w:val="left"/>
            </w:pPr>
            <w:r>
              <w:t xml:space="preserve">is_er_spatial</w:t>
            </w:r>
          </w:p>
        </w:tc>
        <w:tc>
          <w:tcPr/>
          <w:p>
            <w:pPr>
              <w:pStyle w:val="Compact"/>
              <w:jc w:val="left"/>
            </w:pPr>
            <w:r>
              <w:t xml:space="preserve">BOOLEAN</w:t>
            </w:r>
          </w:p>
        </w:tc>
      </w:tr>
    </w:tbl>
    <w:bookmarkEnd w:id="399"/>
    <w:bookmarkStart w:id="400"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00"/>
    <w:bookmarkStart w:id="401"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metric_title</w:t>
            </w:r>
          </w:p>
        </w:tc>
        <w:tc>
          <w:tcPr/>
          <w:p>
            <w:pPr>
              <w:pStyle w:val="Compact"/>
              <w:jc w:val="left"/>
            </w:pPr>
            <w:r>
              <w:t xml:space="preserve">VARCHAR</w:t>
            </w:r>
          </w:p>
        </w:tc>
      </w:tr>
      <w:tr>
        <w:tc>
          <w:tcPr/>
          <w:p>
            <w:pPr>
              <w:pStyle w:val="Compact"/>
              <w:jc w:val="left"/>
            </w:pPr>
            <w:r>
              <w:t xml:space="preserve">metric_abbrev</w:t>
            </w:r>
          </w:p>
        </w:tc>
        <w:tc>
          <w:tcPr/>
          <w:p>
            <w:pPr>
              <w:pStyle w:val="Compact"/>
              <w:jc w:val="left"/>
            </w:pPr>
            <w:r>
              <w:t xml:space="preserve">VARCHAR</w:t>
            </w:r>
          </w:p>
        </w:tc>
      </w:tr>
    </w:tbl>
    <w:bookmarkEnd w:id="401"/>
    <w:bookmarkStart w:id="402"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02"/>
    <w:bookmarkStart w:id="403"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03"/>
    <w:bookmarkStart w:id="404"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04"/>
    <w:bookmarkStart w:id="405"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05"/>
    <w:bookmarkStart w:id="406"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zone_tbl</w:t>
            </w:r>
          </w:p>
        </w:tc>
        <w:tc>
          <w:tcPr/>
          <w:p>
            <w:pPr>
              <w:pStyle w:val="Compact"/>
              <w:jc w:val="left"/>
            </w:pPr>
            <w:r>
              <w:t xml:space="preserve">VARCHAR</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is_er_spatial</w:t>
            </w:r>
          </w:p>
        </w:tc>
        <w:tc>
          <w:tcPr/>
          <w:p>
            <w:pPr>
              <w:pStyle w:val="Compact"/>
              <w:jc w:val="left"/>
            </w:pPr>
            <w:r>
              <w:t xml:space="preserve">BOOLEAN</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06"/>
    <w:bookmarkStart w:id="407"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sort_order</w:t>
            </w:r>
          </w:p>
        </w:tc>
        <w:tc>
          <w:tcPr/>
          <w:p>
            <w:pPr>
              <w:pStyle w:val="Compact"/>
              <w:jc w:val="left"/>
            </w:pPr>
            <w:r>
              <w:t xml:space="preserve">INTEGER</w:t>
            </w:r>
          </w:p>
        </w:tc>
      </w:tr>
      <w:tr>
        <w:tc>
          <w:tcPr/>
          <w:p>
            <w:pPr>
              <w:pStyle w:val="Compact"/>
              <w:jc w:val="left"/>
            </w:pPr>
            <w:r>
              <w:t xml:space="preserve">global_mask_priority</w:t>
            </w:r>
          </w:p>
        </w:tc>
        <w:tc>
          <w:tcPr/>
          <w:p>
            <w:pPr>
              <w:pStyle w:val="Compact"/>
              <w:jc w:val="left"/>
            </w:pPr>
            <w:r>
              <w:t xml:space="preserve">DOUBLE</w:t>
            </w:r>
          </w:p>
        </w:tc>
      </w:tr>
    </w:tbl>
    <w:bookmarkEnd w:id="407"/>
    <w:bookmarkStart w:id="408"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08"/>
    <w:bookmarkStart w:id="409"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spp_id</w:t>
            </w:r>
          </w:p>
        </w:tc>
        <w:tc>
          <w:tcPr/>
          <w:p>
            <w:pPr>
              <w:pStyle w:val="Compact"/>
              <w:jc w:val="left"/>
            </w:pPr>
            <w:r>
              <w:t xml:space="preserve">DOUBLE</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botw_id</w:t>
            </w:r>
          </w:p>
        </w:tc>
        <w:tc>
          <w:tcPr/>
          <w:p>
            <w:pPr>
              <w:pStyle w:val="Compact"/>
              <w:jc w:val="left"/>
            </w:pPr>
            <w:r>
              <w:t xml:space="preserve">DOUBLE</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common_name</w:t>
            </w:r>
          </w:p>
        </w:tc>
        <w:tc>
          <w:tcPr/>
          <w:p>
            <w:pPr>
              <w:pStyle w:val="Compact"/>
              <w:jc w:val="left"/>
            </w:pPr>
            <w:r>
              <w:t xml:space="preserve">VARCHAR</w:t>
            </w:r>
          </w:p>
        </w:tc>
      </w:tr>
    </w:tbl>
    <w:bookmarkEnd w:id="409"/>
    <w:bookmarkStart w:id="410" w:name="native_asset"/>
    <w:p>
      <w:pPr>
        <w:pStyle w:val="Heading3"/>
      </w:pPr>
      <w:r>
        <w:t xml:space="preserve">15.2.13</w:t>
      </w:r>
      <w:r>
        <w:t xml:space="preserve"> </w:t>
      </w:r>
      <w:r>
        <w:rPr>
          <w:rStyle w:val="VerbatimChar"/>
        </w:rPr>
        <w:t xml:space="preserve">native_asset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ms_merge_key</w:t>
            </w:r>
          </w:p>
        </w:tc>
        <w:tc>
          <w:tcPr/>
          <w:p>
            <w:pPr>
              <w:pStyle w:val="Compact"/>
              <w:jc w:val="left"/>
            </w:pPr>
            <w:r>
              <w:t xml:space="preserve">VARCHAR</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asset_type</w:t>
            </w:r>
          </w:p>
        </w:tc>
        <w:tc>
          <w:tcPr/>
          <w:p>
            <w:pPr>
              <w:pStyle w:val="Compact"/>
              <w:jc w:val="left"/>
            </w:pPr>
            <w:r>
              <w:t xml:space="preserve">VARCHAR</w:t>
            </w:r>
          </w:p>
        </w:tc>
      </w:tr>
      <w:tr>
        <w:tc>
          <w:tcPr/>
          <w:p>
            <w:pPr>
              <w:pStyle w:val="Compact"/>
              <w:jc w:val="left"/>
            </w:pPr>
            <w:r>
              <w:t xml:space="preserve">representation</w:t>
            </w:r>
          </w:p>
        </w:tc>
        <w:tc>
          <w:tcPr/>
          <w:p>
            <w:pPr>
              <w:pStyle w:val="Compact"/>
              <w:jc w:val="left"/>
            </w:pPr>
            <w:r>
              <w:t xml:space="preserve">VARCHAR</w:t>
            </w:r>
          </w:p>
        </w:tc>
      </w:tr>
      <w:tr>
        <w:tc>
          <w:tcPr/>
          <w:p>
            <w:pPr>
              <w:pStyle w:val="Compact"/>
              <w:jc w:val="left"/>
            </w:pPr>
            <w:r>
              <w:t xml:space="preserve">asset_url</w:t>
            </w:r>
          </w:p>
        </w:tc>
        <w:tc>
          <w:tcPr/>
          <w:p>
            <w:pPr>
              <w:pStyle w:val="Compact"/>
              <w:jc w:val="left"/>
            </w:pPr>
            <w:r>
              <w:t xml:space="preserve">VARCHAR</w:t>
            </w:r>
          </w:p>
        </w:tc>
      </w:tr>
      <w:tr>
        <w:tc>
          <w:tcPr/>
          <w:p>
            <w:pPr>
              <w:pStyle w:val="Compact"/>
              <w:jc w:val="left"/>
            </w:pPr>
            <w:r>
              <w:t xml:space="preserve">rescale_min</w:t>
            </w:r>
          </w:p>
        </w:tc>
        <w:tc>
          <w:tcPr/>
          <w:p>
            <w:pPr>
              <w:pStyle w:val="Compact"/>
              <w:jc w:val="left"/>
            </w:pPr>
            <w:r>
              <w:t xml:space="preserve">INTEGER</w:t>
            </w:r>
          </w:p>
        </w:tc>
      </w:tr>
      <w:tr>
        <w:tc>
          <w:tcPr/>
          <w:p>
            <w:pPr>
              <w:pStyle w:val="Compact"/>
              <w:jc w:val="left"/>
            </w:pPr>
            <w:r>
              <w:t xml:space="preserve">rescale_max</w:t>
            </w:r>
          </w:p>
        </w:tc>
        <w:tc>
          <w:tcPr/>
          <w:p>
            <w:pPr>
              <w:pStyle w:val="Compact"/>
              <w:jc w:val="left"/>
            </w:pPr>
            <w:r>
              <w:t xml:space="preserve">INTEGER</w:t>
            </w:r>
          </w:p>
        </w:tc>
      </w:tr>
      <w:tr>
        <w:tc>
          <w:tcPr/>
          <w:p>
            <w:pPr>
              <w:pStyle w:val="Compact"/>
              <w:jc w:val="left"/>
            </w:pPr>
            <w:r>
              <w:t xml:space="preserve">colormap</w:t>
            </w:r>
          </w:p>
        </w:tc>
        <w:tc>
          <w:tcPr/>
          <w:p>
            <w:pPr>
              <w:pStyle w:val="Compact"/>
              <w:jc w:val="left"/>
            </w:pPr>
            <w:r>
              <w:t xml:space="preserve">VARCHAR</w:t>
            </w:r>
          </w:p>
        </w:tc>
      </w:tr>
      <w:tr>
        <w:tc>
          <w:tcPr/>
          <w:p>
            <w:pPr>
              <w:pStyle w:val="Compact"/>
              <w:jc w:val="left"/>
            </w:pPr>
            <w:r>
              <w:t xml:space="preserve">xmin</w:t>
            </w:r>
          </w:p>
        </w:tc>
        <w:tc>
          <w:tcPr/>
          <w:p>
            <w:pPr>
              <w:pStyle w:val="Compact"/>
              <w:jc w:val="left"/>
            </w:pPr>
            <w:r>
              <w:t xml:space="preserve">DOUBLE</w:t>
            </w:r>
          </w:p>
        </w:tc>
      </w:tr>
      <w:tr>
        <w:tc>
          <w:tcPr/>
          <w:p>
            <w:pPr>
              <w:pStyle w:val="Compact"/>
              <w:jc w:val="left"/>
            </w:pPr>
            <w:r>
              <w:t xml:space="preserve">xmax</w:t>
            </w:r>
          </w:p>
        </w:tc>
        <w:tc>
          <w:tcPr/>
          <w:p>
            <w:pPr>
              <w:pStyle w:val="Compact"/>
              <w:jc w:val="left"/>
            </w:pPr>
            <w:r>
              <w:t xml:space="preserve">DOUBLE</w:t>
            </w:r>
          </w:p>
        </w:tc>
      </w:tr>
      <w:tr>
        <w:tc>
          <w:tcPr/>
          <w:p>
            <w:pPr>
              <w:pStyle w:val="Compact"/>
              <w:jc w:val="left"/>
            </w:pPr>
            <w:r>
              <w:t xml:space="preserve">ymin</w:t>
            </w:r>
          </w:p>
        </w:tc>
        <w:tc>
          <w:tcPr/>
          <w:p>
            <w:pPr>
              <w:pStyle w:val="Compact"/>
              <w:jc w:val="left"/>
            </w:pPr>
            <w:r>
              <w:t xml:space="preserve">DOUBLE</w:t>
            </w:r>
          </w:p>
        </w:tc>
      </w:tr>
      <w:tr>
        <w:tc>
          <w:tcPr/>
          <w:p>
            <w:pPr>
              <w:pStyle w:val="Compact"/>
              <w:jc w:val="left"/>
            </w:pPr>
            <w:r>
              <w:t xml:space="preserve">ymax</w:t>
            </w:r>
          </w:p>
        </w:tc>
        <w:tc>
          <w:tcPr/>
          <w:p>
            <w:pPr>
              <w:pStyle w:val="Compact"/>
              <w:jc w:val="left"/>
            </w:pPr>
            <w:r>
              <w:t xml:space="preserve">DOUBLE</w:t>
            </w:r>
          </w:p>
        </w:tc>
      </w:tr>
      <w:tr>
        <w:tc>
          <w:tcPr/>
          <w:p>
            <w:pPr>
              <w:pStyle w:val="Compact"/>
              <w:jc w:val="left"/>
            </w:pPr>
            <w:r>
              <w:t xml:space="preserve">source_layer</w:t>
            </w:r>
          </w:p>
        </w:tc>
        <w:tc>
          <w:tcPr/>
          <w:p>
            <w:pPr>
              <w:pStyle w:val="Compact"/>
              <w:jc w:val="left"/>
            </w:pPr>
            <w:r>
              <w:t xml:space="preserve">VARCHAR</w:t>
            </w:r>
          </w:p>
        </w:tc>
      </w:tr>
      <w:tr>
        <w:tc>
          <w:tcPr/>
          <w:p>
            <w:pPr>
              <w:pStyle w:val="Compact"/>
              <w:jc w:val="left"/>
            </w:pPr>
            <w:r>
              <w:t xml:space="preserve">content_hash</w:t>
            </w:r>
          </w:p>
        </w:tc>
        <w:tc>
          <w:tcPr/>
          <w:p>
            <w:pPr>
              <w:pStyle w:val="Compact"/>
              <w:jc w:val="left"/>
            </w:pPr>
            <w:r>
              <w:t xml:space="preserve">VARCHAR</w:t>
            </w:r>
          </w:p>
        </w:tc>
      </w:tr>
      <w:tr>
        <w:tc>
          <w:tcPr/>
          <w:p>
            <w:pPr>
              <w:pStyle w:val="Compact"/>
              <w:jc w:val="left"/>
            </w:pPr>
            <w:r>
              <w:t xml:space="preserve">source_key</w:t>
            </w:r>
          </w:p>
        </w:tc>
        <w:tc>
          <w:tcPr/>
          <w:p>
            <w:pPr>
              <w:pStyle w:val="Compact"/>
              <w:jc w:val="left"/>
            </w:pPr>
            <w:r>
              <w:t xml:space="preserve">VARCHAR</w:t>
            </w:r>
          </w:p>
        </w:tc>
      </w:tr>
    </w:tbl>
    <w:bookmarkEnd w:id="410"/>
    <w:bookmarkEnd w:id="411"/>
    <w:bookmarkStart w:id="422"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2" name="Picture"/>
                  <a:graphic>
                    <a:graphicData uri="http://schemas.openxmlformats.org/drawingml/2006/picture">
                      <pic:pic>
                        <pic:nvPicPr>
                          <pic:cNvPr descr="/Applications/quarto/share/formats/docx/note.png" id="41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18"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2"/>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vector range, the normalized geometry and the attributes that reach the tile;</w:t>
      </w:r>
    </w:p>
    <w:p>
      <w:pPr>
        <w:pStyle w:val="Compact"/>
        <w:numPr>
          <w:ilvl w:val="0"/>
          <w:numId w:val="1042"/>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17" w:name="fig-asset-store"/>
          <w:p>
            <w:pPr>
              <w:jc w:val="center"/>
            </w:pPr>
            <w:r>
              <w:drawing>
                <wp:inline>
                  <wp:extent cx="4517136" cy="3639312"/>
                  <wp:effectExtent b="0" l="0" r="0" t="0"/>
                  <wp:docPr descr="" title="" id="415" name="Picture"/>
                  <a:graphic>
                    <a:graphicData uri="http://schemas.openxmlformats.org/drawingml/2006/picture">
                      <pic:pic>
                        <pic:nvPicPr>
                          <pic:cNvPr descr="db_files/figure-docx/mermaid-figure-2.png" id="416" name="Picture"/>
                          <pic:cNvPicPr>
                            <a:picLocks noChangeArrowheads="1" noChangeAspect="1"/>
                          </pic:cNvPicPr>
                        </pic:nvPicPr>
                        <pic:blipFill>
                          <a:blip r:embed="rId414"/>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17"/>
        </w:tc>
      </w:tr>
    </w:tbl>
    <w:bookmarkEnd w:id="418"/>
    <w:bookmarkStart w:id="419" w:name="the-catalog-and-the-pointer-table"/>
    <w:p>
      <w:pPr>
        <w:pStyle w:val="Heading3"/>
      </w:pPr>
      <w:r>
        <w:t xml:space="preserve">15.3.2 The catalog and the pointer table</w:t>
      </w:r>
    </w:p>
    <w:p>
      <w:pPr>
        <w:pStyle w:val="Compact"/>
        <w:numPr>
          <w:ilvl w:val="0"/>
          <w:numId w:val="1043"/>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3"/>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3"/>
        </w:numPr>
      </w:pPr>
      <w:r>
        <w:t xml:space="preserve">An object no release points at is garbage. Nothing is deleted except through a check that joins the catalog against every release’s pointer tables.</w:t>
      </w:r>
    </w:p>
    <w:bookmarkEnd w:id="419"/>
    <w:bookmarkStart w:id="420"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4"/>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4"/>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4"/>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20"/>
    <w:bookmarkStart w:id="421"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21"/>
    <w:bookmarkEnd w:id="422"/>
    <w:bookmarkStart w:id="423" w:name="how-the-tables-feed-the-serving-tier"/>
    <w:p>
      <w:pPr>
        <w:pStyle w:val="Heading2"/>
      </w:pPr>
      <w:r>
        <w:t xml:space="preserve">15.4 How the tables feed the serving tier</w:t>
      </w:r>
    </w:p>
    <w:p>
      <w:pPr>
        <w:pStyle w:val="Compact"/>
        <w:numPr>
          <w:ilvl w:val="0"/>
          <w:numId w:val="1045"/>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5"/>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5"/>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5"/>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23"/>
    <w:bookmarkEnd w:id="424"/>
    <w:bookmarkStart w:id="434" w:name="sec-workflows"/>
    <w:p>
      <w:pPr>
        <w:pStyle w:val="Heading1"/>
      </w:pPr>
      <w:r>
        <w:t xml:space="preserve">16. Workflows</w:t>
      </w:r>
    </w:p>
    <w:p>
      <w:pPr>
        <w:pStyle w:val="FirstParagraph"/>
      </w:pPr>
      <w:r>
        <w:t xml:space="preserve">Workflows are</w:t>
      </w:r>
      <w:r>
        <w:t xml:space="preserve"> </w:t>
      </w:r>
      <w:hyperlink r:id="rId425">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6"/>
        </w:numPr>
      </w:pPr>
      <w:hyperlink r:id="rId286">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6"/>
        </w:numPr>
      </w:pPr>
      <w:hyperlink r:id="rId426">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28"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27">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28"/>
    <w:bookmarkStart w:id="429"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29"/>
    <w:bookmarkStart w:id="430"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30"/>
    <w:bookmarkStart w:id="431"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31"/>
    <w:bookmarkStart w:id="432"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32"/>
    <w:bookmarkStart w:id="433"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33"/>
    <w:bookmarkEnd w:id="434"/>
    <w:bookmarkStart w:id="457" w:name="sec-apis"/>
    <w:p>
      <w:pPr>
        <w:pStyle w:val="Heading1"/>
      </w:pPr>
      <w:r>
        <w:t xml:space="preserve">17. APIs</w:t>
      </w:r>
    </w:p>
    <w:p>
      <w:pPr>
        <w:pStyle w:val="FirstParagraph"/>
      </w:pPr>
      <w:r>
        <w:t xml:space="preserve">Three services sit in front of the published data:</w:t>
      </w:r>
    </w:p>
    <w:p>
      <w:pPr>
        <w:pStyle w:val="Compact"/>
        <w:numPr>
          <w:ilvl w:val="0"/>
          <w:numId w:val="1047"/>
        </w:numPr>
      </w:pPr>
      <w:hyperlink r:id="rId375">
        <w:r>
          <w:rPr>
            <w:rStyle w:val="Hyperlink"/>
            <w:b/>
            <w:bCs/>
          </w:rPr>
          <w:t xml:space="preserve">titiler.marinesensitivity.org</w:t>
        </w:r>
      </w:hyperlink>
      <w:r>
        <w:t xml:space="preserve"> </w:t>
      </w:r>
      <w:r>
        <w:t xml:space="preserve">—</w:t>
      </w:r>
      <w:r>
        <w:t xml:space="preserve"> </w:t>
      </w:r>
      <w:hyperlink r:id="rId298">
        <w:r>
          <w:rPr>
            <w:rStyle w:val="Hyperlink"/>
          </w:rPr>
          <w:t xml:space="preserve">TiTiler</w:t>
        </w:r>
      </w:hyperlink>
      <w:r>
        <w:t xml:space="preserve">, serving the pre-rendered Cloud-Optimized GeoTIFFs that every map layer now draws.</w:t>
      </w:r>
    </w:p>
    <w:p>
      <w:pPr>
        <w:pStyle w:val="Compact"/>
        <w:numPr>
          <w:ilvl w:val="0"/>
          <w:numId w:val="1047"/>
        </w:numPr>
      </w:pPr>
      <w:hyperlink r:id="rId376">
        <w:r>
          <w:rPr>
            <w:rStyle w:val="Hyperlink"/>
            <w:b/>
            <w:bCs/>
          </w:rPr>
          <w:t xml:space="preserve">api.marinesensitivity.org</w:t>
        </w:r>
      </w:hyperlink>
      <w:r>
        <w:t xml:space="preserve"> </w:t>
      </w:r>
      <w:r>
        <w:t xml:space="preserve">— a custom R</w:t>
      </w:r>
      <w:r>
        <w:t xml:space="preserve"> </w:t>
      </w:r>
      <w:hyperlink r:id="rId435">
        <w:r>
          <w:rPr>
            <w:rStyle w:val="VerbatimChar"/>
          </w:rPr>
          <w:t xml:space="preserve">plumber</w:t>
        </w:r>
      </w:hyperlink>
      <w:r>
        <w:t xml:space="preserve"> </w:t>
      </w:r>
      <w:r>
        <w:t xml:space="preserve">API for programmatic (non-tile) data access.</w:t>
      </w:r>
    </w:p>
    <w:p>
      <w:pPr>
        <w:pStyle w:val="Compact"/>
        <w:numPr>
          <w:ilvl w:val="0"/>
          <w:numId w:val="1047"/>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36"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36"/>
    <w:bookmarkStart w:id="448"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Applications/quarto/share/formats/docx/important.png" id="438"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39">
        <w:r>
          <w:rPr>
            <w:rStyle w:val="Hyperlink"/>
          </w:rPr>
          <w:t xml:space="preserve">server/titiler/factory.py</w:t>
        </w:r>
      </w:hyperlink>
      <w:r>
        <w:t xml:space="preserve">.</w:t>
      </w:r>
    </w:p>
    <w:bookmarkStart w:id="442"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40">
        <w:r>
          <w:rPr>
            <w:rStyle w:val="VerbatimChar"/>
          </w:rPr>
          <w:t xml:space="preserve">msens::cell_tile_url()</w:t>
        </w:r>
      </w:hyperlink>
      <w:r>
        <w:t xml:space="preserve"> </w:t>
      </w:r>
      <w:r>
        <w:t xml:space="preserve">with stats from</w:t>
      </w:r>
      <w:r>
        <w:t xml:space="preserve"> </w:t>
      </w:r>
      <w:hyperlink r:id="rId441">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42"/>
    <w:bookmarkStart w:id="444" w:name="caching-v7-factory-only"/>
    <w:p>
      <w:pPr>
        <w:pStyle w:val="Heading3"/>
      </w:pPr>
      <w:r>
        <w:t xml:space="preserve">17.2.2 Caching (v7 factory only)</w:t>
      </w:r>
    </w:p>
    <w:p>
      <w:pPr>
        <w:pStyle w:val="FirstParagraph"/>
      </w:pPr>
      <w:hyperlink r:id="rId443">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48"/>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48"/>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48"/>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48"/>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retired Shiny apps bumped the</w:t>
      </w:r>
      <w:r>
        <w:t xml:space="preserve"> </w:t>
      </w:r>
      <w:r>
        <w:rPr>
          <w:rStyle w:val="VerbatimChar"/>
        </w:rPr>
        <w:t xml:space="preserve">mtime</w:t>
      </w:r>
      <w:r>
        <w:t xml:space="preserve"> </w:t>
      </w:r>
      <w:r>
        <w:t xml:space="preserve">query parameter to invalidate all cached tiles at once.</w:t>
      </w:r>
    </w:p>
    <w:bookmarkEnd w:id="444"/>
    <w:bookmarkStart w:id="447"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Applications/quarto/share/formats/docx/warning.png" id="44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47"/>
    <w:bookmarkEnd w:id="448"/>
    <w:bookmarkStart w:id="453" w:name="custom-plumber-api"/>
    <w:p>
      <w:pPr>
        <w:pStyle w:val="Heading2"/>
      </w:pPr>
      <w:r>
        <w:t xml:space="preserve">17.3 Custom plumber API</w:t>
      </w:r>
    </w:p>
    <w:p>
      <w:pPr>
        <w:pStyle w:val="FirstParagraph"/>
      </w:pPr>
      <w:r>
        <w:t xml:space="preserve">The plumber API at</w:t>
      </w:r>
      <w:r>
        <w:t xml:space="preserve"> </w:t>
      </w:r>
      <w:hyperlink r:id="rId376">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49">
        <w:r>
          <w:rPr>
            <w:rStyle w:val="Hyperlink"/>
          </w:rPr>
          <w:t xml:space="preserve">MarineSensitivity/api</w:t>
        </w:r>
      </w:hyperlink>
      <w:r>
        <w:t xml:space="preserve">.</w:t>
      </w:r>
    </w:p>
    <w:p>
      <w:pPr>
        <w:pStyle w:val="BodyText"/>
      </w:pPr>
      <w:r>
        <w:drawing>
          <wp:inline>
            <wp:extent cx="2857500" cy="2046839"/>
            <wp:effectExtent b="0" l="0" r="0" t="0"/>
            <wp:docPr descr="" title="" id="451" name="Picture"/>
            <a:graphic>
              <a:graphicData uri="http://schemas.openxmlformats.org/drawingml/2006/picture">
                <pic:pic>
                  <pic:nvPicPr>
                    <pic:cNvPr descr="figures/apis/api.marinesensitivity.org.png" id="452" name="Picture"/>
                    <pic:cNvPicPr>
                      <a:picLocks noChangeArrowheads="1" noChangeAspect="1"/>
                    </pic:cNvPicPr>
                  </pic:nvPicPr>
                  <pic:blipFill>
                    <a:blip r:embed="rId450"/>
                    <a:stretch>
                      <a:fillRect/>
                    </a:stretch>
                  </pic:blipFill>
                  <pic:spPr bwMode="auto">
                    <a:xfrm>
                      <a:off x="0" y="0"/>
                      <a:ext cx="2857500" cy="2046839"/>
                    </a:xfrm>
                    <a:prstGeom prst="rect">
                      <a:avLst/>
                    </a:prstGeom>
                    <a:noFill/>
                    <a:ln w="9525">
                      <a:noFill/>
                      <a:headEnd/>
                      <a:tailEnd/>
                    </a:ln>
                  </pic:spPr>
                </pic:pic>
              </a:graphicData>
            </a:graphic>
          </wp:inline>
        </w:drawing>
      </w:r>
    </w:p>
    <w:bookmarkEnd w:id="453"/>
    <w:bookmarkStart w:id="455" w:name="stac"/>
    <w:p>
      <w:pPr>
        <w:pStyle w:val="Heading2"/>
      </w:pPr>
      <w:r>
        <w:t xml:space="preserve">17.4 STAC</w:t>
      </w:r>
    </w:p>
    <w:p>
      <w:pPr>
        <w:pStyle w:val="FirstParagraph"/>
      </w:pPr>
      <w:r>
        <w:t xml:space="preserve">Each release publishes a</w:t>
      </w:r>
      <w:r>
        <w:t xml:space="preserve"> </w:t>
      </w:r>
      <w:hyperlink r:id="rId454">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55"/>
    <w:bookmarkStart w:id="456"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49"/>
        </w:numPr>
      </w:pPr>
      <w:r>
        <w:rPr>
          <w:rStyle w:val="VerbatimChar"/>
        </w:rPr>
        <w:t xml:space="preserve">swagger.marinesensitivity.org</w:t>
      </w:r>
      <w:r>
        <w:t xml:space="preserve"> </w:t>
      </w:r>
      <w:r>
        <w:t xml:space="preserve">— PostgREST over PostgreSQL.</w:t>
      </w:r>
    </w:p>
    <w:p>
      <w:pPr>
        <w:pStyle w:val="Compact"/>
        <w:numPr>
          <w:ilvl w:val="0"/>
          <w:numId w:val="1049"/>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56"/>
    <w:bookmarkEnd w:id="457"/>
    <w:bookmarkStart w:id="460"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50"/>
        </w:numPr>
      </w:pPr>
      <w:hyperlink r:id="rId458">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retired Shiny apps consumed</w:t>
      </w:r>
      <w:r>
        <w:t xml:space="preserve"> </w:t>
      </w:r>
      <w:r>
        <w:rPr>
          <w:rStyle w:val="VerbatimChar"/>
        </w:rPr>
        <w:t xml:space="preserve">msens::*</w:t>
      </w:r>
      <w:r>
        <w:t xml:space="preserve"> </w:t>
      </w:r>
      <w:r>
        <w:t xml:space="preserve">helpers exclusively — their code never talked to the tile factory or PMTiles URL templates directly. The Atlas (</w:t>
      </w:r>
      <w:hyperlink w:anchor="sec-apps">
        <w:r>
          <w:rPr>
            <w:rStyle w:val="Hyperlink"/>
          </w:rPr>
          <w:t xml:space="preserve">Chapter 19</w:t>
        </w:r>
      </w:hyperlink>
      <w:r>
        <w:t xml:space="preserve">) is a JavaScript app and reads the release manifest itself; its in-browser score and species queries are checked against msens by the Atlas’s parity tests.</w:t>
      </w:r>
    </w:p>
    <w:bookmarkStart w:id="459" w:name="map-tile-helpers-as-of-0.3.4"/>
    <w:p>
      <w:pPr>
        <w:pStyle w:val="Heading2"/>
      </w:pPr>
      <w:r>
        <w:t xml:space="preserve">18.1 Map-tile helpers (as of 0.3.4)</w:t>
      </w:r>
    </w:p>
    <w:p>
      <w:pPr>
        <w:pStyle w:val="FirstParagraph"/>
      </w:pPr>
      <w:r>
        <w:t xml:space="preserve">The following helpers bridged the retired Shiny apps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retired Shiny apps added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59"/>
    <w:bookmarkEnd w:id="460"/>
    <w:bookmarkStart w:id="470" w:name="sec-apps"/>
    <w:p>
      <w:pPr>
        <w:pStyle w:val="Heading1"/>
      </w:pPr>
      <w:r>
        <w:t xml:space="preserve">19. Apps</w:t>
      </w:r>
    </w:p>
    <w:p>
      <w:pPr>
        <w:pStyle w:val="FirstParagraph"/>
      </w:pPr>
      <w:r>
        <w:t xml:space="preserve">The MST has one interactive application, the</w:t>
      </w:r>
      <w:r>
        <w:t xml:space="preserve"> </w:t>
      </w:r>
      <w:r>
        <w:rPr>
          <w:b/>
          <w:bCs/>
        </w:rPr>
        <w:t xml:space="preserve">Atlas</w:t>
      </w:r>
      <w:r>
        <w:t xml:space="preserve"> </w:t>
      </w:r>
      <w:r>
        <w:t xml:space="preserve">(</w:t>
      </w:r>
      <w:hyperlink r:id="rId24">
        <w:r>
          <w:rPr>
            <w:rStyle w:val="Hyperlink"/>
          </w:rPr>
          <w:t xml:space="preserve">preview.marinesensitivity.org/v7b/atlas/</w:t>
        </w:r>
      </w:hyperlink>
      <w:r>
        <w:t xml:space="preserve">). It replaces the two Shiny apps (Scores and Species) that came before it; those are retired and described, for the record, under</w:t>
      </w:r>
      <w:r>
        <w:t xml:space="preserve"> </w:t>
      </w:r>
      <w:hyperlink w:anchor="sec-apps-retired">
        <w:r>
          <w:rPr>
            <w:rStyle w:val="Hyperlink"/>
          </w:rPr>
          <w:t xml:space="preserve">Section 19.2</w:t>
        </w:r>
      </w:hyperlink>
      <w:r>
        <w:t xml:space="preserve"> </w:t>
      </w:r>
      <w:r>
        <w:t xml:space="preserve">below and in the Legacy appendix.</w:t>
      </w:r>
    </w:p>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Applications/quarto/share/formats/docx/note.png" id="4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The Atlas renders</w:t>
            </w:r>
            <w:r>
              <w:t xml:space="preserve"> </w:t>
            </w:r>
            <w:r>
              <w:rPr>
                <w:b/>
                <w:bCs/>
              </w:rPr>
              <w:t xml:space="preserve">any published release</w:t>
            </w:r>
            <w:r>
              <w:t xml:space="preserve"> </w:t>
            </w:r>
            <w:r>
              <w:t xml:space="preserve">rather than shipping a per-version fork. The version is data, settled by the release’s published manifest, so a fix reaches every version at once. On the public host the release is a query parameter (</w:t>
            </w:r>
            <w:r>
              <w:rPr>
                <w:rStyle w:val="VerbatimChar"/>
              </w:rPr>
              <w:t xml:space="preserve">?ver=v3</w:t>
            </w:r>
            <w:r>
              <w:t xml:space="preserve">); a restricted pre-release is reached only through the signed-in preview host, where the version is the URL path (</w:t>
            </w:r>
            <w:r>
              <w:rPr>
                <w:rStyle w:val="VerbatimChar"/>
              </w:rPr>
              <w:t xml:space="preserve">/v9/atlas/</w:t>
            </w:r>
            <w:r>
              <w:t xml:space="preserve">). The release picker in the app’s top bar moves between them. See</w:t>
            </w:r>
            <w:r>
              <w:t xml:space="preserve"> </w:t>
            </w:r>
            <w:hyperlink w:anchor="sec-app-atlas">
              <w:r>
                <w:rPr>
                  <w:rStyle w:val="Hyperlink"/>
                </w:rPr>
                <w:t xml:space="preserve">Chapter 21</w:t>
              </w:r>
            </w:hyperlink>
            <w:r>
              <w:t xml:space="preserve">.</w:t>
            </w:r>
          </w:p>
          <w:p/>
        </w:tc>
      </w:tr>
    </w:tbl>
    <w:bookmarkStart w:id="465" w:name="sec-apps-atlas"/>
    <w:p>
      <w:pPr>
        <w:pStyle w:val="Heading2"/>
      </w:pPr>
      <w:r>
        <w:t xml:space="preserve">19.1 The Atlas</w:t>
      </w:r>
    </w:p>
    <w:p>
      <w:pPr>
        <w:pStyle w:val="FirstParagraph"/>
      </w:pPr>
      <w:r>
        <w:t xml:space="preserve">The</w:t>
      </w:r>
      <w:r>
        <w:t xml:space="preserve"> </w:t>
      </w:r>
      <w:hyperlink r:id="rId24">
        <w:r>
          <w:rPr>
            <w:rStyle w:val="Hyperlink"/>
          </w:rPr>
          <w:t xml:space="preserve">Atlas</w:t>
        </w:r>
      </w:hyperlink>
      <w:r>
        <w:t xml:space="preserve"> </w:t>
      </w:r>
      <w:r>
        <w:t xml:space="preserve">is a static web app (Svelte and MapLibre) with</w:t>
      </w:r>
      <w:r>
        <w:t xml:space="preserve"> </w:t>
      </w:r>
      <w:r>
        <w:rPr>
          <w:b/>
          <w:bCs/>
        </w:rPr>
        <w:t xml:space="preserve">no application server of its own</w:t>
      </w:r>
      <w:r>
        <w:t xml:space="preserve">: the Scores lens’s cell and area clicks, flowers, tables and reports are computed in your browser by a DuckDB-WASM instance that queries the release’s published Parquet directly over HTTPS. What a browser cannot compute itself comes from services that are not Atlas-specific: score and species map tiles from the project’s titiler (which range-reads the release’s Cloud-Optimized GeoTIFFs, and also answers a species click and the legend’s histogram), zone outlines and species range inputs from static PMTiles archives, and the basemap from CARTO.</w:t>
      </w:r>
    </w:p>
    <w:p>
      <w:pPr>
        <w:pStyle w:val="BodyText"/>
      </w:pPr>
      <w:r>
        <w:t xml:space="preserve">It has two</w:t>
      </w:r>
      <w:r>
        <w:t xml:space="preserve"> </w:t>
      </w:r>
      <w:r>
        <w:rPr>
          <w:b/>
          <w:bCs/>
        </w:rPr>
        <w:t xml:space="preserve">lenses</w:t>
      </w:r>
      <w:r>
        <w:t xml:space="preserve">, switched from the top bar, and four tools on its rail, the same in both lenses — Layers, Details, Table and Report:</w:t>
      </w:r>
    </w:p>
    <w:p>
      <w:pPr>
        <w:pStyle w:val="Compact"/>
        <w:numPr>
          <w:ilvl w:val="0"/>
          <w:numId w:val="1051"/>
        </w:numPr>
      </w:pPr>
      <w:hyperlink r:id="rId21">
        <w:r>
          <w:rPr>
            <w:rStyle w:val="Hyperlink"/>
            <w:b/>
            <w:bCs/>
          </w:rPr>
          <w:t xml:space="preserve">Scores lens</w:t>
        </w:r>
      </w:hyperlink>
      <w:r>
        <w:t xml:space="preserve"> </w:t>
      </w:r>
      <w:r>
        <w:t xml:space="preserve">— composite and per-category sensitivity, mapped as the 0.05° cell grid or aggregated to BOEM Program Areas (Planning Areas for v1), with a flower plot and a component table (in Details) and a species table for the selected cell or area.</w:t>
      </w:r>
    </w:p>
    <w:p>
      <w:pPr>
        <w:pStyle w:val="Compact"/>
        <w:numPr>
          <w:ilvl w:val="0"/>
          <w:numId w:val="1051"/>
        </w:numPr>
      </w:pPr>
      <w:hyperlink r:id="rId22">
        <w:r>
          <w:rPr>
            <w:rStyle w:val="Hyperlink"/>
            <w:b/>
            <w:bCs/>
          </w:rPr>
          <w:t xml:space="preserve">Species lens</w:t>
        </w:r>
      </w:hyperlink>
      <w:r>
        <w:t xml:space="preserve"> </w:t>
      </w:r>
      <w:r>
        <w:t xml:space="preserve">— individual and merged distribution models with their contributing input datasets, regulatory status (ESA listing, IUCN Red List category, MMPA and MBTA protection) in the Details tool. Search by common or scientific name.</w:t>
      </w:r>
    </w:p>
    <w:p>
      <w:pPr>
        <w:pStyle w:val="Compact"/>
        <w:numPr>
          <w:ilvl w:val="0"/>
          <w:numId w:val="1051"/>
        </w:numPr>
      </w:pPr>
      <w:r>
        <w:rPr>
          <w:b/>
          <w:bCs/>
        </w:rPr>
        <w:t xml:space="preserve">Places</w:t>
      </w:r>
      <w:r>
        <w:t xml:space="preserve"> </w:t>
      </w:r>
      <w:r>
        <w:t xml:space="preserve">(the first part of the Report tool) — outline any area of interest (pick a Program Area or a gazetteer place, draw a shape, type coordinates, or upload a file) and get the same scores and species results, shareable entirely through the URL.</w:t>
      </w:r>
    </w:p>
    <w:p>
      <w:pPr>
        <w:pStyle w:val="Compact"/>
        <w:numPr>
          <w:ilvl w:val="0"/>
          <w:numId w:val="1051"/>
        </w:numPr>
      </w:pPr>
      <w:r>
        <w:rPr>
          <w:b/>
          <w:bCs/>
        </w:rPr>
        <w:t xml:space="preserve">Report</w:t>
      </w:r>
      <w:r>
        <w:t xml:space="preserve"> </w:t>
      </w:r>
      <w:r>
        <w:t xml:space="preserve">— a printable, downloadable document (print, HTML, ZIP or Word) for any place.</w:t>
      </w:r>
    </w:p>
    <w:p>
      <w:pPr>
        <w:pStyle w:val="FirstParagraph"/>
      </w:pPr>
      <w:hyperlink w:anchor="sec-app-atlas">
        <w:r>
          <w:rPr>
            <w:rStyle w:val="Hyperlink"/>
          </w:rPr>
          <w:t xml:space="preserve">Chapter 21</w:t>
        </w:r>
      </w:hyperlink>
      <w:r>
        <w:t xml:space="preserve"> </w:t>
      </w:r>
      <w:r>
        <w:t xml:space="preserve">is the full walkthrough, including how a drawn place is encoded in a shareable link, and the</w:t>
      </w:r>
      <w:r>
        <w:t xml:space="preserve"> </w:t>
      </w:r>
      <w:hyperlink r:id="rId463">
        <w:r>
          <w:rPr>
            <w:rStyle w:val="Hyperlink"/>
          </w:rPr>
          <w:t xml:space="preserve">Atlas user guide</w:t>
        </w:r>
      </w:hyperlink>
      <w:r>
        <w:t xml:space="preserve"> </w:t>
      </w:r>
      <w:r>
        <w:t xml:space="preserve">steps through the app’s own guided tour one control at a time.</w:t>
      </w:r>
    </w:p>
    <w:p>
      <w:pPr>
        <w:pStyle w:val="BodyText"/>
      </w:pPr>
      <w:r>
        <w:t xml:space="preserve">Deep links carry their state in the URL.</w:t>
      </w:r>
      <w:r>
        <w:t xml:space="preserve"> </w:t>
      </w:r>
      <w:r>
        <w:rPr>
          <w:rStyle w:val="VerbatimChar"/>
        </w:rPr>
        <w:t xml:space="preserve">lens=species</w:t>
      </w:r>
      <w:r>
        <w:t xml:space="preserve"> </w:t>
      </w:r>
      <w:r>
        <w:t xml:space="preserve">opens the Species lens,</w:t>
      </w:r>
      <w:r>
        <w:t xml:space="preserve"> </w:t>
      </w:r>
      <w:r>
        <w:rPr>
          <w:rStyle w:val="VerbatimChar"/>
        </w:rPr>
        <w:t xml:space="preserve">sp=</w:t>
      </w:r>
      <w:r>
        <w:t xml:space="preserve"> </w:t>
      </w:r>
      <w:r>
        <w:t xml:space="preserve">selects a species, and the Atlas rewrites the older</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parameters to</w:t>
      </w:r>
      <w:r>
        <w:t xml:space="preserve"> </w:t>
      </w:r>
      <w:r>
        <w:rPr>
          <w:rStyle w:val="VerbatimChar"/>
        </w:rPr>
        <w:t xml:space="preserve">sp</w:t>
      </w:r>
      <w:r>
        <w:t xml:space="preserve"> </w:t>
      </w:r>
      <w:r>
        <w:t xml:space="preserve">when it loads, so a link made for either Shiny app, or printed in an earlier report, opens the same species.</w:t>
      </w:r>
    </w:p>
    <w:bookmarkStart w:id="464" w:name="how-the-atlas-draws-a-release"/>
    <w:p>
      <w:pPr>
        <w:pStyle w:val="Heading3"/>
      </w:pPr>
      <w:r>
        <w:t xml:space="preserve">19.1.1 How the Atlas draws a release</w:t>
      </w:r>
    </w:p>
    <w:p>
      <w:pPr>
        <w:pStyle w:val="FirstParagraph"/>
      </w:pPr>
      <w:r>
        <w:t xml:space="preserve">Three kinds of map layer, each resolved from the release’s manifest rather than hardcoded, make the Scores lens:</w:t>
      </w:r>
    </w:p>
    <w:p>
      <w:pPr>
        <w:pStyle w:val="Compact"/>
        <w:numPr>
          <w:ilvl w:val="0"/>
          <w:numId w:val="1052"/>
        </w:numPr>
      </w:pPr>
      <w:r>
        <w:rPr>
          <w:b/>
          <w:bCs/>
        </w:rPr>
        <w:t xml:space="preserve">Score raster</w:t>
      </w:r>
      <w:r>
        <w:t xml:space="preserve"> </w:t>
      </w:r>
      <w:r>
        <w:t xml:space="preserve">— a pre-rendered COG per metric × subregion, whose URL and rescale range come straight from the release manifest and which titiler turns into small tiles on request. The browser fetches only the tiles intersecting its viewport; no full raster is transferred on load.</w:t>
      </w:r>
    </w:p>
    <w:p>
      <w:pPr>
        <w:pStyle w:val="Compact"/>
        <w:numPr>
          <w:ilvl w:val="0"/>
          <w:numId w:val="1052"/>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2"/>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each zone’s fill color computed in the browser from the release’s per-zone scores.</w:t>
      </w:r>
    </w:p>
    <w:p>
      <w:pPr>
        <w:pStyle w:val="FirstParagraph"/>
      </w:pPr>
      <w:r>
        <w:t xml:space="preserve">Because every one of those is resolved from the manifest, switching the release switches all three together, including drawing the boundary vintage that release actually used.</w:t>
      </w:r>
      <w:r>
        <w:t xml:space="preserve"> </w:t>
      </w:r>
      <w:hyperlink w:anchor="sec-software">
        <w:r>
          <w:rPr>
            <w:rStyle w:val="Hyperlink"/>
          </w:rPr>
          <w:t xml:space="preserve">Chapter 13</w:t>
        </w:r>
      </w:hyperlink>
      <w:r>
        <w:t xml:space="preserve"> </w:t>
      </w:r>
      <w:r>
        <w:t xml:space="preserve">shows the serving architecture these layers sit on, and how COGs and PMTiles are produced and published; its diagrams were drawn when the Shiny apps were the clients, so where they show a Shiny server, the Atlas now does that work in the browser.</w:t>
      </w:r>
    </w:p>
    <w:bookmarkEnd w:id="464"/>
    <w:bookmarkEnd w:id="465"/>
    <w:bookmarkStart w:id="468" w:name="sec-apps-retired"/>
    <w:p>
      <w:pPr>
        <w:pStyle w:val="Heading2"/>
      </w:pPr>
      <w:r>
        <w:t xml:space="preserve">19.2 Retired: the Scores and Species Shiny apps</w:t>
      </w:r>
    </w:p>
    <w:p>
      <w:pPr>
        <w:pStyle w:val="FirstParagraph"/>
      </w:pPr>
      <w:r>
        <w:t xml:space="preserve">Until October 2026 the MST’s interactive tools were two R Shiny apps, each rendering any published release from the URL path:</w:t>
      </w:r>
    </w:p>
    <w:p>
      <w:pPr>
        <w:pStyle w:val="Compact"/>
        <w:numPr>
          <w:ilvl w:val="0"/>
          <w:numId w:val="1053"/>
        </w:numPr>
      </w:pPr>
      <w:r>
        <w:rPr>
          <w:b/>
          <w:bCs/>
        </w:rPr>
        <w:t xml:space="preserve">Scores</w:t>
      </w:r>
      <w:r>
        <w:t xml:space="preserve"> </w:t>
      </w:r>
      <w:r>
        <w:t xml:space="preserve">— composite and per-category sensitivity by Program Area or cell, with flower plots, treemaps and species tables (</w:t>
      </w:r>
      <w:hyperlink w:anchor="sec-app-scores">
        <w:r>
          <w:rPr>
            <w:rStyle w:val="Hyperlink"/>
          </w:rPr>
          <w:t xml:space="preserve">Appendix B</w:t>
        </w:r>
      </w:hyperlink>
      <w:r>
        <w:t xml:space="preserve">).</w:t>
      </w:r>
    </w:p>
    <w:p>
      <w:pPr>
        <w:pStyle w:val="Compact"/>
        <w:numPr>
          <w:ilvl w:val="0"/>
          <w:numId w:val="1053"/>
        </w:numPr>
      </w:pPr>
      <w:r>
        <w:rPr>
          <w:b/>
          <w:bCs/>
        </w:rPr>
        <w:t xml:space="preserve">Species</w:t>
      </w:r>
      <w:r>
        <w:t xml:space="preserve"> </w:t>
      </w:r>
      <w:r>
        <w:t xml:space="preserve">— individual and merged distribution models with regulatory status (</w:t>
      </w:r>
      <w:hyperlink w:anchor="sec-app-species">
        <w:r>
          <w:rPr>
            <w:rStyle w:val="Hyperlink"/>
          </w:rPr>
          <w:t xml:space="preserve">Appendix D</w:t>
        </w:r>
      </w:hyperlink>
      <w:r>
        <w:t xml:space="preserve">).</w:t>
      </w:r>
    </w:p>
    <w:p>
      <w:pPr>
        <w:pStyle w:val="FirstParagraph"/>
      </w:pPr>
      <w:r>
        <w:t xml:space="preserve">The Atlas does what both did and adds Places. The Shiny apps are no longer reachable, and every URL they answered at (</w:t>
      </w:r>
      <w:r>
        <w:rPr>
          <w:rStyle w:val="VerbatimChar"/>
        </w:rPr>
        <w:t xml:space="preserve">app.marinesensitivity.org/{ver}/scores/</w:t>
      </w:r>
      <w:r>
        <w:t xml:space="preserve">,</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is redirected (HTTP 302 for now; the public redirects become permanent 301s once the Shiny services are removed) to the equivalent Atlas view with its query carried; a restricted release’s URLs go to its Atlas on the preview host. Links in earlier reports, including the URLs printed in the BOEM final report, therefore keep working. The apps’ source remains in the</w:t>
      </w:r>
      <w:r>
        <w:t xml:space="preserve"> </w:t>
      </w:r>
      <w:hyperlink r:id="rId466">
        <w:r>
          <w:rPr>
            <w:rStyle w:val="VerbatimChar"/>
          </w:rPr>
          <w:t xml:space="preserve">apps</w:t>
        </w:r>
      </w:hyperlink>
      <w:r>
        <w:t xml:space="preserve"> </w:t>
      </w:r>
      <w:r>
        <w:t xml:space="preserve">repository, and their documentation is kept in the Legacy appendix:</w:t>
      </w:r>
      <w:r>
        <w:t xml:space="preserve"> </w:t>
      </w:r>
      <w:hyperlink w:anchor="sec-app-scores">
        <w:r>
          <w:rPr>
            <w:rStyle w:val="Hyperlink"/>
          </w:rPr>
          <w:t xml:space="preserve">Appendix B</w:t>
        </w:r>
      </w:hyperlink>
      <w:r>
        <w:t xml:space="preserve">,</w:t>
      </w:r>
      <w:r>
        <w:t xml:space="preserve"> </w:t>
      </w:r>
      <w:hyperlink w:anchor="sec-app-species">
        <w:r>
          <w:rPr>
            <w:rStyle w:val="Hyperlink"/>
          </w:rPr>
          <w:t xml:space="preserve">Appendix D</w:t>
        </w:r>
      </w:hyperlink>
      <w:r>
        <w:t xml:space="preserve"> </w:t>
      </w:r>
      <w:r>
        <w:t xml:space="preserve">and their</w:t>
      </w:r>
      <w:r>
        <w:t xml:space="preserve"> </w:t>
      </w:r>
      <w:hyperlink r:id="rId467">
        <w:r>
          <w:rPr>
            <w:rStyle w:val="Hyperlink"/>
          </w:rPr>
          <w:t xml:space="preserve">step-by-step guide</w:t>
        </w:r>
      </w:hyperlink>
      <w:r>
        <w:t xml:space="preserve">.</w:t>
      </w:r>
    </w:p>
    <w:bookmarkEnd w:id="468"/>
    <w:bookmarkStart w:id="469" w:name="legacy-applications"/>
    <w:p>
      <w:pPr>
        <w:pStyle w:val="Heading2"/>
      </w:pPr>
      <w:r>
        <w:t xml:space="preserve">19.3 Legacy Applications</w:t>
      </w:r>
    </w:p>
    <w:p>
      <w:pPr>
        <w:pStyle w:val="FirstParagraph"/>
      </w:pPr>
      <w:r>
        <w:t xml:space="preserve">Earlier prototype applications from the research phase are kept in the Appendix under Applications (Legacy) for reference, alongside the retired Shiny apps. They are not part of the current serving path.</w:t>
      </w:r>
    </w:p>
    <w:bookmarkEnd w:id="469"/>
    <w:bookmarkEnd w:id="470"/>
    <w:bookmarkStart w:id="471" w:name="Xdb7596251ccac05cc02bb08ef65d814effe7d92"/>
    <w:p>
      <w:pPr>
        <w:pStyle w:val="Heading1"/>
      </w:pPr>
      <w:r>
        <w:t xml:space="preserve">20. Atlas — the static, in-browser scores, species and places app</w:t>
      </w:r>
    </w:p>
    <w:bookmarkEnd w:id="471"/>
    <w:bookmarkStart w:id="551" w:name="sec-app-atlas"/>
    <w:p>
      <w:pPr>
        <w:pStyle w:val="Heading1"/>
      </w:pPr>
      <w:r>
        <w:t xml:space="preserve">21. Atlas</w:t>
      </w:r>
    </w:p>
    <w:bookmarkStart w:id="486" w:name="overview-1"/>
    <w:p>
      <w:pPr>
        <w:pStyle w:val="Heading2"/>
      </w:pPr>
      <w:r>
        <w:t xml:space="preserve">21.1 Overview</w:t>
      </w:r>
    </w:p>
    <w:p>
      <w:pPr>
        <w:pStyle w:val="FirstParagraph"/>
      </w:pPr>
      <w:r>
        <w:t xml:space="preserve">The</w:t>
      </w:r>
      <w:r>
        <w:t xml:space="preserve"> </w:t>
      </w:r>
      <w:r>
        <w:rPr>
          <w:b/>
          <w:bCs/>
        </w:rPr>
        <w:t xml:space="preserve">Atlas</w:t>
      </w:r>
      <w:r>
        <w:t xml:space="preserve"> </w:t>
      </w:r>
      <w:r>
        <w:t xml:space="preserve">(</w:t>
      </w:r>
      <w:hyperlink r:id="rId24">
        <w:r>
          <w:rPr>
            <w:rStyle w:val="Hyperlink"/>
          </w:rPr>
          <w:t xml:space="preserve">https://preview.marinesensitivity.org/v7b/atlas/</w:t>
        </w:r>
      </w:hyperlink>
      <w:r>
        <w:t xml:space="preserve">) is the MST’s interactive application:</w:t>
      </w:r>
      <w:r>
        <w:t xml:space="preserve"> </w:t>
      </w:r>
      <w:r>
        <w:rPr>
          <w:b/>
          <w:bCs/>
        </w:rPr>
        <w:t xml:space="preserve">one static web app</w:t>
      </w:r>
      <w:r>
        <w:t xml:space="preserve">, built with Svelte and MapLibre, that runs entirely in the browser. Where the</w:t>
      </w:r>
      <w:r>
        <w:t xml:space="preserve"> </w:t>
      </w:r>
      <w:hyperlink r:id="rId472">
        <w:r>
          <w:rPr>
            <w:rStyle w:val="Hyperlink"/>
          </w:rPr>
          <w:t xml:space="preserve">Scores</w:t>
        </w:r>
      </w:hyperlink>
      <w:r>
        <w:t xml:space="preserve"> </w:t>
      </w:r>
      <w:r>
        <w:t xml:space="preserve">and</w:t>
      </w:r>
      <w:r>
        <w:t xml:space="preserve"> </w:t>
      </w:r>
      <w:hyperlink r:id="rId473">
        <w:r>
          <w:rPr>
            <w:rStyle w:val="Hyperlink"/>
          </w:rPr>
          <w:t xml:space="preserve">Species</w:t>
        </w:r>
      </w:hyperlink>
      <w:r>
        <w:t xml:space="preserve"> </w:t>
      </w:r>
      <w:r>
        <w:t xml:space="preserve">Shiny apps it replaced were server-rendered R</w:t>
      </w:r>
      <w:r>
        <w:t xml:space="preserve"> </w:t>
      </w:r>
      <w:r>
        <w:t xml:space="preserve">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only through the signed-in preview host,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r>
        <w:t xml:space="preserve">This chapter describes the Atlas as of version 0.10.93.</w:t>
      </w:r>
      <w:r>
        <w:t xml:space="preserve"> </w:t>
      </w:r>
      <w:hyperlink w:anchor="fig-atlas-map">
        <w:r>
          <w:rPr>
            <w:rStyle w:val="Hyperlink"/>
          </w:rPr>
          <w:t xml:space="preserve">Figure 21.1</w:t>
        </w:r>
      </w:hyperlink>
      <w:r>
        <w:t xml:space="preserve"> </w:t>
      </w:r>
      <w:r>
        <w:t xml:space="preserve">shows the default Scores</w:t>
      </w:r>
      <w:r>
        <w:t xml:space="preserve"> </w:t>
      </w:r>
      <w:r>
        <w:t xml:space="preserve">view: the 0.05° cell grid colored by a composite sensitivity score across U.S. waters, dark theme</w:t>
      </w:r>
      <w:r>
        <w:t xml:space="preserve"> </w:t>
      </w:r>
      <w:r>
        <w:t xml:space="preserve">(the app’s default). In the current build the four-tool rail is attached to the panel, which opens</w:t>
      </w:r>
      <w:r>
        <w:t xml:space="preserve"> </w:t>
      </w:r>
      <w:r>
        <w:t xml:space="preserve">docked on the left with Layers showing, the map’s legend sits at the bottom right, and the</w:t>
      </w:r>
      <w:r>
        <w:t xml:space="preserve"> </w:t>
      </w:r>
      <w:r>
        <w:t xml:space="preserve">basemap’s attribution is just under it.</w:t>
      </w:r>
    </w:p>
    <w:tbl>
      <w:tblPr>
        <w:tblStyle w:val="Table"/>
        <w:tblW w:type="pct" w:w="5000"/>
        <w:tblLayout w:type="fixed"/>
        <w:tblLook w:firstRow="0" w:lastRow="0" w:firstColumn="0" w:lastColumn="0" w:noHBand="0" w:noVBand="0" w:val="0000"/>
      </w:tblPr>
      <w:tblGrid>
        <w:gridCol w:w="7920"/>
      </w:tblGrid>
      <w:tr>
        <w:tc>
          <w:tcPr/>
          <w:bookmarkStart w:id="477" w:name="fig-atlas-map"/>
          <w:p>
            <w:pPr>
              <w:pStyle w:val="Compact"/>
              <w:jc w:val="center"/>
            </w:pPr>
            <w:r>
              <w:drawing>
                <wp:inline>
                  <wp:extent cx="5334000" cy="3333750"/>
                  <wp:effectExtent b="0" l="0" r="0" t="0"/>
                  <wp:docPr descr="" title="" id="475" name="Picture"/>
                  <a:graphic>
                    <a:graphicData uri="http://schemas.openxmlformats.org/drawingml/2006/picture">
                      <pic:pic>
                        <pic:nvPicPr>
                          <pic:cNvPr descr="images/atlas/desktop-map.png" id="476" name="Picture"/>
                          <pic:cNvPicPr>
                            <a:picLocks noChangeArrowheads="1" noChangeAspect="1"/>
                          </pic:cNvPicPr>
                        </pic:nvPicPr>
                        <pic:blipFill>
                          <a:blip r:embed="rId47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The Atlas, Scores lens, default view (desktop, dark theme): the Layers panel and its four-tool rail docked on the left, the score legend at the bottom right. Atlas 0.10.91, release v7, 2026-10-16.</w:t>
            </w:r>
          </w:p>
          <w:bookmarkEnd w:id="477"/>
        </w:tc>
      </w:tr>
    </w:tbl>
    <w:p>
      <w:pPr>
        <w:pStyle w:val="BodyText"/>
      </w:pPr>
      <w:r>
        <w:rPr>
          <w:b/>
          <w:bCs/>
        </w:rPr>
        <w:t xml:space="preserve">Desktop vs. phone layout.</w:t>
      </w:r>
      <w:r>
        <w:t xml:space="preserve"> </w:t>
      </w:r>
      <w:r>
        <w:t xml:space="preserve">On a wide viewport the four rail tools —</w:t>
      </w:r>
      <w:r>
        <w:t xml:space="preserve"> </w:t>
      </w:r>
      <w:r>
        <w:rPr>
          <w:b/>
          <w:bCs/>
        </w:rPr>
        <w:t xml:space="preserve">Layers, Details, Table,</w:t>
      </w:r>
      <w:r>
        <w:rPr>
          <w:b/>
          <w:bCs/>
        </w:rPr>
        <w:t xml:space="preserve"> </w:t>
      </w:r>
      <w:r>
        <w:rPr>
          <w:b/>
          <w:bCs/>
        </w:rPr>
        <w:t xml:space="preserve">Report</w:t>
      </w:r>
      <w:r>
        <w:t xml:space="preserve">, the same in both lenses — open a single panel attached to the rail. It docks on the left</w:t>
      </w:r>
      <w:r>
        <w:t xml:space="preserve"> </w:t>
      </w:r>
      <w:r>
        <w:t xml:space="preserve">by default, one header button moves it (and the rail) to the other side, and</w:t>
      </w:r>
      <w:r>
        <w:t xml:space="preserve"> </w:t>
      </w:r>
      <w:r>
        <w:rPr>
          <w:b/>
          <w:bCs/>
        </w:rPr>
        <w:t xml:space="preserve">Table</w:t>
      </w:r>
      <w:r>
        <w:t xml:space="preserve"> </w:t>
      </w:r>
      <w:r>
        <w:t xml:space="preserve">takes the</w:t>
      </w:r>
      <w:r>
        <w:t xml:space="preserve"> </w:t>
      </w:r>
      <w:r>
        <w:t xml:space="preserve">whole stage instead of the side panel. On a phone the identical four tools sit in a labelled</w:t>
      </w:r>
      <w:r>
        <w:t xml:space="preserve"> </w:t>
      </w:r>
      <w:r>
        <w:rPr>
          <w:b/>
          <w:bCs/>
        </w:rPr>
        <w:t xml:space="preserve">bottom 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21.2</w:t>
        </w:r>
      </w:hyperlink>
      <w:r>
        <w:t xml:space="preserve"> </w:t>
      </w:r>
      <w:r>
        <w:t xml:space="preserve">shows the phone layout, and</w:t>
      </w:r>
      <w:r>
        <w:t xml:space="preserve"> </w:t>
      </w:r>
      <w:hyperlink w:anchor="fig-atlas-phone-more">
        <w:r>
          <w:rPr>
            <w:rStyle w:val="Hyperlink"/>
          </w:rPr>
          <w:t xml:space="preserve">Figure 21.3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481" w:name="fig-atlas-phone-map"/>
                <w:p>
                  <w:pPr>
                    <w:pStyle w:val="Compact"/>
                    <w:jc w:val="center"/>
                    <w:jc w:val="left"/>
                  </w:pPr>
                  <w:r>
                    <w:drawing>
                      <wp:inline>
                        <wp:extent cx="5334000" cy="11543323"/>
                        <wp:effectExtent b="0" l="0" r="0" t="0"/>
                        <wp:docPr descr="" title="" id="479" name="Picture"/>
                        <a:graphic>
                          <a:graphicData uri="http://schemas.openxmlformats.org/drawingml/2006/picture">
                            <pic:pic>
                              <pic:nvPicPr>
                                <pic:cNvPr descr="images/atlas/phone-map.png" id="480" name="Picture"/>
                                <pic:cNvPicPr>
                                  <a:picLocks noChangeArrowheads="1" noChangeAspect="1"/>
                                </pic:cNvPicPr>
                              </pic:nvPicPr>
                              <pic:blipFill>
                                <a:blip r:embed="rId478"/>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21.2: Phone: default view, with the Layers sheet at half height above the four-tab bottom bar. Atlas 0.10.91, release v7, 2026-10-16.</w:t>
                  </w:r>
                </w:p>
                <w:bookmarkEnd w:id="481"/>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485" w:name="fig-atlas-phone-more"/>
                <w:p>
                  <w:pPr>
                    <w:pStyle w:val="Compact"/>
                    <w:jc w:val="center"/>
                    <w:jc w:val="left"/>
                  </w:pPr>
                  <w:r>
                    <w:drawing>
                      <wp:inline>
                        <wp:extent cx="5334000" cy="11543323"/>
                        <wp:effectExtent b="0" l="0" r="0" t="0"/>
                        <wp:docPr descr="" title="" id="483" name="Picture"/>
                        <a:graphic>
                          <a:graphicData uri="http://schemas.openxmlformats.org/drawingml/2006/picture">
                            <pic:pic>
                              <pic:nvPicPr>
                                <pic:cNvPr descr="images/atlas/phone-more-menu.png" id="484" name="Picture"/>
                                <pic:cNvPicPr>
                                  <a:picLocks noChangeArrowheads="1" noChangeAspect="1"/>
                                </pic:cNvPicPr>
                              </pic:nvPicPr>
                              <pic:blipFill>
                                <a:blip r:embed="rId482"/>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21.3: Phone: the top bar’s More (⋯) menu, listing Share, Download…, Feedback, About this release, Take a tour, Docs and the theme switch. Atlas 0.10.91, release v7, 2026-10-16.</w:t>
                  </w:r>
                </w:p>
                <w:bookmarkEnd w:id="485"/>
              </w:tc>
            </w:tr>
          </w:tbl>
          <w:p/>
        </w:tc>
      </w:tr>
    </w:tbl>
    <w:bookmarkEnd w:id="486"/>
    <w:bookmarkStart w:id="487" w:name="quick-start"/>
    <w:p>
      <w:pPr>
        <w:pStyle w:val="Heading2"/>
      </w:pPr>
      <w:r>
        <w:t xml:space="preserve">21.2 Quick start</w:t>
      </w:r>
    </w:p>
    <w:p>
      <w:pPr>
        <w:pStyle w:val="FirstParagraph"/>
      </w:pPr>
      <w:r>
        <w:rPr>
          <w:b/>
          <w:bCs/>
        </w:rPr>
        <w:t xml:space="preserve">Desktop:</w:t>
      </w:r>
    </w:p>
    <w:p>
      <w:pPr>
        <w:pStyle w:val="Compact"/>
        <w:numPr>
          <w:ilvl w:val="0"/>
          <w:numId w:val="1054"/>
        </w:numPr>
      </w:pPr>
      <w:r>
        <w:t xml:space="preserve">Click a cell or a Program Area on the map, then open</w:t>
      </w:r>
      <w:r>
        <w:t xml:space="preserve"> </w:t>
      </w:r>
      <w:r>
        <w:rPr>
          <w:b/>
          <w:bCs/>
        </w:rPr>
        <w:t xml:space="preserve">Details</w:t>
      </w:r>
      <w:r>
        <w:t xml:space="preserve"> </w:t>
      </w:r>
      <w:r>
        <w:t xml:space="preserve">(the rail’s second tool, or the</w:t>
      </w:r>
      <w:r>
        <w:t xml:space="preserve"> </w:t>
      </w:r>
      <w:r>
        <w:t xml:space="preserve">popup’s Details link) for its flower plot;</w:t>
      </w:r>
      <w:r>
        <w:t xml:space="preserve"> </w:t>
      </w:r>
      <w:r>
        <w:rPr>
          <w:b/>
          <w:bCs/>
        </w:rPr>
        <w:t xml:space="preserve">Add to report</w:t>
      </w:r>
      <w:r>
        <w:t xml:space="preserve"> </w:t>
      </w:r>
      <w:r>
        <w:t xml:space="preserve">keeps it as a place, and</w:t>
      </w:r>
      <w:r>
        <w:t xml:space="preserve"> </w:t>
      </w:r>
      <w:r>
        <w:rPr>
          <w:b/>
          <w:bCs/>
        </w:rPr>
        <w:t xml:space="preserve">Open table</w:t>
      </w:r>
      <w:r>
        <w:t xml:space="preserve"> </w:t>
      </w:r>
      <w:r>
        <w:t xml:space="preserve">lists its species.</w:t>
      </w:r>
    </w:p>
    <w:p>
      <w:pPr>
        <w:pStyle w:val="Compact"/>
        <w:numPr>
          <w:ilvl w:val="0"/>
          <w:numId w:val="1054"/>
        </w:numPr>
      </w:pPr>
      <w:r>
        <w:t xml:space="preserve">Or open</w:t>
      </w:r>
      <w:r>
        <w:t xml:space="preserve"> </w:t>
      </w:r>
      <w:r>
        <w:rPr>
          <w:b/>
          <w:bCs/>
        </w:rPr>
        <w:t xml:space="preserve">Report</w:t>
      </w:r>
      <w:r>
        <w:t xml:space="preserve">, and under</w:t>
      </w:r>
      <w:r>
        <w:t xml:space="preserve"> </w:t>
      </w:r>
      <w:r>
        <w:rPr>
          <w:b/>
          <w:bCs/>
        </w:rPr>
        <w:t xml:space="preserve">Add a place</w:t>
      </w:r>
      <w:r>
        <w:t xml:space="preserve"> </w:t>
      </w:r>
      <w:r>
        <w:t xml:space="preserve">choose a Program Area, pick one on the map, draw a</w:t>
      </w:r>
      <w:r>
        <w:t xml:space="preserve"> </w:t>
      </w:r>
      <w:r>
        <w:rPr>
          <w:b/>
          <w:bCs/>
        </w:rPr>
        <w:t xml:space="preserve">Rectangle</w:t>
      </w:r>
      <w:r>
        <w:t xml:space="preserve"> </w:t>
      </w:r>
      <w:r>
        <w:t xml:space="preserve">(click, move, click, then</w:t>
      </w:r>
      <w:r>
        <w:t xml:space="preserve"> </w:t>
      </w:r>
      <w:r>
        <w:rPr>
          <w:b/>
          <w:bCs/>
        </w:rPr>
        <w:t xml:space="preserve">Done</w:t>
      </w:r>
      <w:r>
        <w:t xml:space="preserve">), pick from the gazetteer, type coordinates or</w:t>
      </w:r>
      <w:r>
        <w:t xml:space="preserve"> </w:t>
      </w:r>
      <w:r>
        <w:t xml:space="preserve">upload a file.</w:t>
      </w:r>
    </w:p>
    <w:p>
      <w:pPr>
        <w:pStyle w:val="Compact"/>
        <w:numPr>
          <w:ilvl w:val="0"/>
          <w:numId w:val="1054"/>
        </w:numPr>
      </w:pPr>
      <w:r>
        <w:t xml:space="preserve">Select a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 Rename a drawn place inline if you like.</w:t>
      </w:r>
    </w:p>
    <w:p>
      <w:pPr>
        <w:pStyle w:val="Compact"/>
        <w:numPr>
          <w:ilvl w:val="0"/>
          <w:numId w:val="1054"/>
        </w:numPr>
      </w:pPr>
      <w:r>
        <w:rPr>
          <w:b/>
          <w:bCs/>
        </w:rPr>
        <w:t xml:space="preserve">Share</w:t>
      </w:r>
      <w:r>
        <w:t xml:space="preserve"> </w:t>
      </w:r>
      <w:r>
        <w:t xml:space="preserve">at the foot of the Report tool opens the place-link dialog — the fastest way to hand</w:t>
      </w:r>
      <w:r>
        <w:t xml:space="preserve"> </w:t>
      </w:r>
      <w:r>
        <w:t xml:space="preserve">someone the same place.</w:t>
      </w:r>
    </w:p>
    <w:p>
      <w:pPr>
        <w:pStyle w:val="Compact"/>
        <w:numPr>
          <w:ilvl w:val="0"/>
          <w:numId w:val="1054"/>
        </w:numPr>
      </w:pPr>
      <w:r>
        <w:rPr>
          <w:b/>
          <w:bCs/>
        </w:rPr>
        <w:t xml:space="preserve">Open report</w:t>
      </w:r>
      <w:r>
        <w:t xml:space="preserve"> </w:t>
      </w:r>
      <w:r>
        <w:t xml:space="preserve">(the gold button at the foot of the Report tool) opens a printable, downloadable</w:t>
      </w:r>
      <w:r>
        <w:t xml:space="preserve"> </w:t>
      </w:r>
      <w:r>
        <w:t xml:space="preserve">document (Print, HTML, ZIP or Word).</w:t>
      </w:r>
    </w:p>
    <w:p>
      <w:pPr>
        <w:pStyle w:val="FirstParagraph"/>
      </w:pPr>
      <w:r>
        <w:rPr>
          <w:b/>
          <w:bCs/>
        </w:rPr>
        <w:t xml:space="preserve">Phone:</w:t>
      </w:r>
      <w:r>
        <w:t xml:space="preserve"> </w:t>
      </w:r>
      <w:r>
        <w:t xml:space="preserve">the tool rail is the bottom tab bar; use the Program Area picker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487"/>
    <w:bookmarkStart w:id="488" w:name="getting-around"/>
    <w:p>
      <w:pPr>
        <w:pStyle w:val="Heading2"/>
      </w:pPr>
      <w:r>
        <w:t xml:space="preserve">21.3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regions</w:t>
      </w:r>
      <w:r>
        <w:t xml:space="preserve"> </w:t>
      </w:r>
      <w:r>
        <w:t xml:space="preserve">and coordinates in the Scores lens,</w:t>
      </w:r>
      <w:r>
        <w:t xml:space="preserve"> </w:t>
      </w:r>
      <w:hyperlink w:anchor="sec-atlas-scores">
        <w:r>
          <w:rPr>
            <w:rStyle w:val="Hyperlink"/>
          </w:rPr>
          <w:t xml:space="preserve">Section 21.4</w:t>
        </w:r>
      </w:hyperlink>
      <w:r>
        <w:t xml:space="preserve">; species in the Species lens); then, right-aligned</w:t>
      </w:r>
      <w:r>
        <w:t xml:space="preserve"> </w:t>
      </w:r>
      <w:r>
        <w:t xml:space="preserve">and icon-only (each shows a tooltip on hover or focus),</w:t>
      </w:r>
      <w:r>
        <w:t xml:space="preserve"> </w:t>
      </w:r>
      <w:r>
        <w:rPr>
          <w:b/>
          <w:bCs/>
        </w:rPr>
        <w:t xml:space="preserve">Share</w:t>
      </w:r>
      <w:r>
        <w:t xml:space="preserve">,</w:t>
      </w:r>
      <w:r>
        <w:t xml:space="preserve"> </w:t>
      </w:r>
      <w:r>
        <w:rPr>
          <w:b/>
          <w:bCs/>
        </w:rPr>
        <w:t xml:space="preserve">Download</w:t>
      </w:r>
      <w:r>
        <w:t xml:space="preserve"> </w:t>
      </w:r>
      <w:r>
        <w:t xml:space="preserve">(a PNG or SVG of the</w:t>
      </w:r>
      <w:r>
        <w:t xml:space="preserve"> </w:t>
      </w:r>
      <w:r>
        <w:t xml:space="preserve">map view, a GeoTIFF of the current data layer, or a GeoJSON of the current places), a</w:t>
      </w:r>
      <w:r>
        <w:t xml:space="preserve"> </w:t>
      </w:r>
      <w:r>
        <w:rPr>
          <w:b/>
          <w:bCs/>
        </w:rPr>
        <w:t xml:space="preserve">(?) Help</w:t>
      </w:r>
      <w:r>
        <w:t xml:space="preserve"> </w:t>
      </w:r>
      <w:r>
        <w:t xml:space="preserve">menu (Take a tour, keyboard shortcuts, a Docs link),</w:t>
      </w:r>
      <w:r>
        <w:t xml:space="preserve"> </w:t>
      </w:r>
      <w:r>
        <w:rPr>
          <w:b/>
          <w:bCs/>
        </w:rPr>
        <w:t xml:space="preserve">Feedback</w:t>
      </w:r>
      <w:r>
        <w:t xml:space="preserve">,</w:t>
      </w:r>
      <w:r>
        <w:t xml:space="preserve"> </w:t>
      </w:r>
      <w:r>
        <w:rPr>
          <w:b/>
          <w:bCs/>
        </w:rPr>
        <w:t xml:space="preserve">About this release</w:t>
      </w:r>
      <w:r>
        <w:t xml:space="preserve">, and a</w:t>
      </w:r>
      <w:r>
        <w:t xml:space="preserve"> </w:t>
      </w:r>
      <w:r>
        <w:t xml:space="preserve">sun/moon</w:t>
      </w:r>
      <w:r>
        <w:t xml:space="preserve"> </w:t>
      </w:r>
      <w:r>
        <w:rPr>
          <w:b/>
          <w:bCs/>
        </w:rPr>
        <w:t xml:space="preserve">theme toggle</w:t>
      </w:r>
      <w:r>
        <w:t xml:space="preserve">. On a phone (below 900 px) the title collapses to the mark, and Share,</w:t>
      </w:r>
      <w:r>
        <w:t xml:space="preserve"> </w:t>
      </w:r>
      <w:r>
        <w:t xml:space="preserve">Download, Feedback, About, Take a tour, Docs and the theme toggle fold into one</w:t>
      </w:r>
      <w:r>
        <w:t xml:space="preserve"> </w:t>
      </w:r>
      <w:r>
        <w:rPr>
          <w:b/>
          <w:bCs/>
        </w:rPr>
        <w:t xml:space="preserve">More (⋯)</w:t>
      </w:r>
      <w:r>
        <w:t xml:space="preserve"> </w:t>
      </w:r>
      <w:r>
        <w:t xml:space="preserve">menu</w:t>
      </w:r>
      <w:r>
        <w:t xml:space="preserve"> </w:t>
      </w:r>
      <w:r>
        <w:t xml:space="preserve">beside a</w:t>
      </w:r>
      <w:r>
        <w:t xml:space="preserve"> </w:t>
      </w:r>
      <w:r>
        <w:rPr>
          <w:b/>
          <w:bCs/>
        </w:rPr>
        <w:t xml:space="preserve">search</w:t>
      </w:r>
      <w:r>
        <w:t xml:space="preserve"> </w:t>
      </w:r>
      <w:r>
        <w:t xml:space="preserve">button; below 381 px the mark hides too. The keyboard-shortcut list is</w:t>
      </w:r>
      <w:r>
        <w:t xml:space="preserve"> </w:t>
      </w:r>
      <w:r>
        <w:t xml:space="preserve">desktop-only. Report is not a top-bar control on either viewport: it is a rail tool.</w:t>
      </w:r>
    </w:p>
    <w:p>
      <w:pPr>
        <w:pStyle w:val="BodyText"/>
      </w:pPr>
      <w:r>
        <w:rPr>
          <w:b/>
          <w:bCs/>
        </w:rPr>
        <w:t xml:space="preserve">The tool rail</w:t>
      </w:r>
      <w:r>
        <w:t xml:space="preserve"> </w:t>
      </w:r>
      <w:r>
        <w:t xml:space="preserve">is four controls, always in the same order, in both lenses and on every viewport:</w:t>
      </w:r>
      <w:r>
        <w:t xml:space="preserve"> </w:t>
      </w:r>
      <w:r>
        <w:rPr>
          <w:b/>
          <w:bCs/>
        </w:rPr>
        <w:t xml:space="preserve">Layers · Details · Table · Report</w:t>
      </w:r>
      <w:r>
        <w:t xml:space="preserve">.</w:t>
      </w:r>
      <w:r>
        <w:t xml:space="preserve"> </w:t>
      </w:r>
      <w:r>
        <w:rPr>
          <w:b/>
          <w:bCs/>
        </w:rPr>
        <w:t xml:space="preserve">Layers</w:t>
      </w:r>
      <w:r>
        <w:t xml:space="preserve"> </w:t>
      </w:r>
      <w:r>
        <w:t xml:space="preserve">holds the map’s layer stack and the lens’s own data</w:t>
      </w:r>
      <w:r>
        <w:t xml:space="preserve"> </w:t>
      </w:r>
      <w:r>
        <w:t xml:space="preserve">controls.</w:t>
      </w:r>
      <w:r>
        <w:t xml:space="preserve"> </w:t>
      </w:r>
      <w:r>
        <w:rPr>
          <w:b/>
          <w:bCs/>
        </w:rPr>
        <w:t xml:space="preserve">Details</w:t>
      </w:r>
      <w:r>
        <w:t xml:space="preserve"> </w:t>
      </w:r>
      <w:r>
        <w:t xml:space="preserve">shows what was last clicked — the flower plot in the Scores lens, the species</w:t>
      </w:r>
      <w:r>
        <w:t xml:space="preserve"> </w:t>
      </w:r>
      <w:r>
        <w:t xml:space="preserve">information in the Species lens.</w:t>
      </w:r>
      <w:r>
        <w:t xml:space="preserve"> </w:t>
      </w:r>
      <w:r>
        <w:rPr>
          <w:b/>
          <w:bCs/>
        </w:rPr>
        <w:t xml:space="preserve">Table</w:t>
      </w:r>
      <w:r>
        <w:t xml:space="preserve"> </w:t>
      </w:r>
      <w:r>
        <w:t xml:space="preserve">is the species, zone and composition tables (the model</w:t>
      </w:r>
      <w:r>
        <w:t xml:space="preserve"> </w:t>
      </w:r>
      <w:r>
        <w:t xml:space="preserve">inputs, in the Species lens).</w:t>
      </w:r>
      <w:r>
        <w:t xml:space="preserve"> </w:t>
      </w:r>
      <w:r>
        <w:rPr>
          <w:b/>
          <w:bCs/>
        </w:rPr>
        <w:t xml:space="preserve">Report</w:t>
      </w:r>
      <w:r>
        <w:t xml:space="preserve"> </w:t>
      </w:r>
      <w:r>
        <w:t xml:space="preserve">is the Places flow and the report itself.</w:t>
      </w:r>
    </w:p>
    <w:p>
      <w:pPr>
        <w:pStyle w:val="BodyText"/>
      </w:pPr>
      <w:r>
        <w:rPr>
          <w:b/>
          <w:bCs/>
        </w:rPr>
        <w:t xml:space="preserve">The panel</w:t>
      </w:r>
      <w:r>
        <w:t xml:space="preserve"> </w:t>
      </w:r>
      <w:r>
        <w:t xml:space="preserve">that a rail tool opens is attached to the rail and docks on the left by default; one</w:t>
      </w:r>
      <w:r>
        <w:t xml:space="preserve"> </w:t>
      </w:r>
      <w:r>
        <w:t xml:space="preserve">header button moves both to the right, and the choice is remembered per browser. Resize it by</w:t>
      </w:r>
      <w:r>
        <w:t xml:space="preserve"> </w:t>
      </w:r>
      <w:r>
        <w:t xml:space="preserve">dragging its map-facing edge or with arrow keys, or collapse it to a small labelled pill; clicking</w:t>
      </w:r>
      <w:r>
        <w:t xml:space="preserve"> </w:t>
      </w:r>
      <w:r>
        <w:t xml:space="preserve">the active tool collapses the panel, and clicking any tool opens it.</w:t>
      </w:r>
      <w:r>
        <w:t xml:space="preserve"> </w:t>
      </w:r>
      <w:r>
        <w:rPr>
          <w:b/>
          <w:bCs/>
        </w:rPr>
        <w:t xml:space="preserve">Table</w:t>
      </w:r>
      <w:r>
        <w:t xml:space="preserve"> </w:t>
      </w:r>
      <w:r>
        <w:t xml:space="preserve">takes the whole stage</w:t>
      </w:r>
      <w:r>
        <w:t xml:space="preserve"> </w:t>
      </w:r>
      <w:r>
        <w:t xml:space="preserve">beside the rail (its</w:t>
      </w:r>
      <w:r>
        <w:t xml:space="preserve"> </w:t>
      </w:r>
      <w:r>
        <w:t xml:space="preserve">“← Map”</w:t>
      </w:r>
      <w:r>
        <w:t xml:space="preserve"> </w:t>
      </w:r>
      <w:r>
        <w:t xml:space="preserve">button returns). The panel’s header says what is shown — the active</w:t>
      </w:r>
      <w:r>
        <w:t xml:space="preserve"> </w:t>
      </w:r>
      <w:r>
        <w:t xml:space="preserve">layer and unit, the clicked cell or species name,</w:t>
      </w:r>
      <w:r>
        <w:t xml:space="preserve"> </w:t>
      </w:r>
      <w:r>
        <w:t xml:space="preserve">“3 places”</w:t>
      </w:r>
      <w:r>
        <w:t xml:space="preserve"> </w:t>
      </w:r>
      <w:r>
        <w:t xml:space="preserve">— rather than the tool’s name, which it shows only when nothing is selected</w:t>
      </w:r>
      <w:r>
        <w:t xml:space="preserve"> </w:t>
      </w:r>
      <w:r>
        <w:t xml:space="preserve">(</w:t>
      </w:r>
      <w:r>
        <w:t xml:space="preserve">“Details”</w:t>
      </w:r>
      <w:r>
        <w:t xml:space="preserve">,</w:t>
      </w:r>
      <w:r>
        <w:t xml:space="preserve"> </w:t>
      </w:r>
      <w:r>
        <w:t xml:space="preserve">“Table”</w:t>
      </w:r>
      <w:r>
        <w:t xml:space="preserve">,</w:t>
      </w:r>
      <w:r>
        <w:t xml:space="preserve"> </w:t>
      </w:r>
      <w:r>
        <w:t xml:space="preserve">“Report”</w:t>
      </w:r>
      <w:r>
        <w:t xml:space="preserve">). The</w:t>
      </w:r>
      <w:r>
        <w:t xml:space="preserve"> </w:t>
      </w:r>
      <w:r>
        <w:t xml:space="preserve">panel arrangement is chrome, not part of the shared view: only the top bar’s</w:t>
      </w:r>
      <w:r>
        <w:t xml:space="preserve"> </w:t>
      </w:r>
      <w:r>
        <w:rPr>
          <w:b/>
          <w:bCs/>
        </w:rPr>
        <w:t xml:space="preserve">Share</w:t>
      </w:r>
      <w:r>
        <w:t xml:space="preserve"> </w:t>
      </w:r>
      <w:r>
        <w:t xml:space="preserve">writes it</w:t>
      </w:r>
      <w:r>
        <w:t xml:space="preserve"> </w:t>
      </w:r>
      <w:r>
        <w:t xml:space="preserve">into a link (as a</w:t>
      </w:r>
      <w:r>
        <w:t xml:space="preserve"> </w:t>
      </w:r>
      <w:r>
        <w:rPr>
          <w:rStyle w:val="VerbatimChar"/>
        </w:rPr>
        <w:t xml:space="preserve">ui=</w:t>
      </w:r>
      <w:r>
        <w:t xml:space="preserve"> </w:t>
      </w:r>
      <w:r>
        <w:t xml:space="preserve">token), the address bar does not carry it.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at the</w:t>
      </w:r>
      <w:r>
        <w:t xml:space="preserve"> </w:t>
      </w:r>
      <w:r>
        <w:t xml:space="preserve">bottom right (mirroring to the bottom left when the panel is docked on the right), with a histogram</w:t>
      </w:r>
      <w:r>
        <w:t xml:space="preserve"> </w:t>
      </w:r>
      <w:r>
        <w:t xml:space="preserve">of the whole layer’s values above its colour ramp and a marker for the clicked value; on a phone it</w:t>
      </w:r>
      <w:r>
        <w:t xml:space="preserve"> </w:t>
      </w:r>
      <w:r>
        <w:t xml:space="preserve">is a compact</w:t>
      </w:r>
      <w:r>
        <w:t xml:space="preserve"> </w:t>
      </w:r>
      <w:r>
        <w:rPr>
          <w:b/>
          <w:bCs/>
        </w:rPr>
        <w:t xml:space="preserve">Legend</w:t>
      </w:r>
      <w:r>
        <w:t xml:space="preserve"> </w:t>
      </w:r>
      <w:r>
        <w:t xml:space="preserve">chip above the sheet that opens the full legend, moving into the sheet’s own</w:t>
      </w:r>
      <w:r>
        <w:t xml:space="preserve"> </w:t>
      </w:r>
      <w:r>
        <w:t xml:space="preserve">header at full height.</w:t>
      </w:r>
    </w:p>
    <w:bookmarkEnd w:id="488"/>
    <w:bookmarkStart w:id="493" w:name="sec-atlas-scores"/>
    <w:p>
      <w:pPr>
        <w:pStyle w:val="Heading2"/>
      </w:pPr>
      <w:r>
        <w:t xml:space="preserve">21.4 Scores lens</w:t>
      </w:r>
    </w:p>
    <w:p>
      <w:pPr>
        <w:pStyle w:val="FirstParagraph"/>
      </w:pPr>
      <w:r>
        <w:t xml:space="preserve">The Scores lens shows the composite, extinction-risk-weighted score for every 0.05° cell (or,</w:t>
      </w:r>
      <w:r>
        <w:t xml:space="preserve"> </w:t>
      </w:r>
      <w:r>
        <w:t xml:space="preserve">aggregated, every Program Area) of U.S. waters.</w:t>
      </w:r>
      <w:r>
        <w:t xml:space="preserve"> </w:t>
      </w:r>
      <w:r>
        <w:rPr>
          <w:b/>
          <w:bCs/>
        </w:rPr>
        <w:t xml:space="preserve">Layers</w:t>
      </w:r>
      <w:r>
        <w:t xml:space="preserve"> </w:t>
      </w:r>
      <w:r>
        <w:t xml:space="preserve">(</w:t>
      </w:r>
      <w:hyperlink w:anchor="fig-atlas-layers">
        <w:r>
          <w:rPr>
            <w:rStyle w:val="Hyperlink"/>
          </w:rPr>
          <w:t xml:space="preserve">Figure 21.4</w:t>
        </w:r>
      </w:hyperlink>
      <w:r>
        <w:t xml:space="preserve">) opens with this</w:t>
      </w:r>
      <w:r>
        <w:t xml:space="preserve"> </w:t>
      </w:r>
      <w:r>
        <w:t xml:space="preserve">lens’s own controls at the top: a</w:t>
      </w:r>
      <w:r>
        <w:t xml:space="preserve"> </w:t>
      </w:r>
      <w:r>
        <w:rPr>
          <w:b/>
          <w:bCs/>
        </w:rPr>
        <w:t xml:space="preserve">Raster cells | Program areas</w:t>
      </w:r>
      <w:r>
        <w:t xml:space="preserve"> </w:t>
      </w:r>
      <w:r>
        <w:t xml:space="preserve">switch for the spatial unit, and</w:t>
      </w:r>
      <w:r>
        <w:t xml:space="preserve"> </w:t>
      </w:r>
      <w:r>
        <w:t xml:space="preserve">a</w:t>
      </w:r>
      <w:r>
        <w:t xml:space="preserve"> </w:t>
      </w:r>
      <w:r>
        <w:rPr>
          <w:b/>
          <w:bCs/>
        </w:rPr>
        <w:t xml:space="preserve">Layer</w:t>
      </w:r>
      <w:r>
        <w:t xml:space="preserve"> </w:t>
      </w:r>
      <w:r>
        <w:t xml:space="preserve">menu (the composite score or one component) with a short description of what it</w:t>
      </w:r>
      <w:r>
        <w:t xml:space="preserve"> </w:t>
      </w:r>
      <w:r>
        <w:t xml:space="preserve">shows. Below them,</w:t>
      </w:r>
      <w:r>
        <w:t xml:space="preserve"> </w:t>
      </w:r>
      <w:r>
        <w:rPr>
          <w:b/>
          <w:bCs/>
        </w:rPr>
        <w:t xml:space="preserve">Layers on the map</w:t>
      </w:r>
      <w:r>
        <w:t xml:space="preserve"> </w:t>
      </w:r>
      <w:r>
        <w:t xml:space="preserve">lists the rows you can change, top to bottom:</w:t>
      </w:r>
      <w:r>
        <w:t xml:space="preserve"> </w:t>
      </w:r>
      <w:r>
        <w:rPr>
          <w:b/>
          <w:bCs/>
        </w:rPr>
        <w:t xml:space="preserve">Selection</w:t>
      </w:r>
      <w:r>
        <w:t xml:space="preserve"> </w:t>
      </w:r>
      <w:r>
        <w:t xml:space="preserve">(pinned at the top),</w:t>
      </w:r>
      <w:r>
        <w:t xml:space="preserve"> </w:t>
      </w:r>
      <w:r>
        <w:rPr>
          <w:b/>
          <w:bCs/>
        </w:rPr>
        <w:t xml:space="preserve">Outlines</w:t>
      </w:r>
      <w:r>
        <w:t xml:space="preserve">,</w:t>
      </w:r>
      <w:r>
        <w:t xml:space="preserve"> </w:t>
      </w:r>
      <w:r>
        <w:rPr>
          <w:b/>
          <w:bCs/>
        </w:rPr>
        <w:t xml:space="preserve">Data</w:t>
      </w:r>
      <w:r>
        <w:t xml:space="preserve"> </w:t>
      </w:r>
      <w:r>
        <w:t xml:space="preserve">and</w:t>
      </w:r>
      <w:r>
        <w:t xml:space="preserve"> </w:t>
      </w:r>
      <w:r>
        <w:rPr>
          <w:b/>
          <w:bCs/>
        </w:rPr>
        <w:t xml:space="preserve">Place labels</w:t>
      </w:r>
      <w:r>
        <w:t xml:space="preserve">. Expanding</w:t>
      </w:r>
      <w:r>
        <w:t xml:space="preserve"> </w:t>
      </w:r>
      <w:r>
        <w:rPr>
          <w:b/>
          <w:bCs/>
        </w:rPr>
        <w:t xml:space="preserve">Data</w:t>
      </w:r>
      <w:r>
        <w:t xml:space="preserve"> </w:t>
      </w:r>
      <w:r>
        <w:t xml:space="preserve">gives its</w:t>
      </w:r>
      <w:r>
        <w:t xml:space="preserve"> </w:t>
      </w:r>
      <w:r>
        <w:rPr>
          <w:b/>
          <w:bCs/>
        </w:rPr>
        <w:t xml:space="preserve">Color palette</w:t>
      </w:r>
      <w:r>
        <w:t xml:space="preserve"> </w:t>
      </w:r>
      <w:r>
        <w:t xml:space="preserve">and, where the release publishes that overlay, a</w:t>
      </w:r>
      <w:r>
        <w:t xml:space="preserve"> </w:t>
      </w:r>
      <w:r>
        <w:rPr>
          <w:b/>
          <w:bCs/>
        </w:rPr>
        <w:t xml:space="preserve">Cells outside</w:t>
      </w:r>
      <w:r>
        <w:rPr>
          <w:b/>
          <w:bCs/>
        </w:rPr>
        <w:t xml:space="preserve"> </w:t>
      </w:r>
      <w:r>
        <w:rPr>
          <w:b/>
          <w:bCs/>
        </w:rPr>
        <w:t xml:space="preserve">Program Areas</w:t>
      </w:r>
      <w:r>
        <w:t xml:space="preserve"> </w:t>
      </w:r>
      <w:r>
        <w:t xml:space="preserve">switch; a</w:t>
      </w:r>
      <w:r>
        <w:t xml:space="preserve"> </w:t>
      </w:r>
      <w:r>
        <w:rPr>
          <w:b/>
          <w:bCs/>
        </w:rPr>
        <w:t xml:space="preserve">Sphere (globe projection)</w:t>
      </w:r>
      <w:r>
        <w:t xml:space="preserve"> </w:t>
      </w:r>
      <w:r>
        <w:t xml:space="preserve">switch sits under the list. Every row’s</w:t>
      </w:r>
      <w:r>
        <w:t xml:space="preserve"> </w:t>
      </w:r>
      <w:r>
        <w:t xml:space="preserve">visibility and opacity can be changed and most can be reordered, but</w:t>
      </w:r>
      <w:r>
        <w:t xml:space="preserve"> </w:t>
      </w:r>
      <w:r>
        <w:rPr>
          <w:b/>
          <w:bCs/>
        </w:rPr>
        <w:t xml:space="preserve">Data</w:t>
      </w:r>
      <w:r>
        <w:t xml:space="preserve"> </w:t>
      </w:r>
      <w:r>
        <w:t xml:space="preserve">can never move</w:t>
      </w:r>
      <w:r>
        <w:t xml:space="preserve"> </w:t>
      </w:r>
      <w:r>
        <w:t xml:space="preserve">above</w:t>
      </w:r>
      <w:r>
        <w:t xml:space="preserve"> </w:t>
      </w:r>
      <w:r>
        <w:rPr>
          <w:b/>
          <w:bCs/>
        </w:rPr>
        <w:t xml:space="preserve">Outlines</w:t>
      </w:r>
      <w:r>
        <w:t xml:space="preserve">, so an opaque score raster can never hide the boundaries it is measured</w:t>
      </w:r>
      <w:r>
        <w:t xml:space="preserve"> </w:t>
      </w:r>
      <w:r>
        <w:t xml:space="preserve">against. The basemap’s land, boundaries and roads are drawn under everything and have no row of</w:t>
      </w:r>
      <w:r>
        <w:t xml:space="preserve"> </w:t>
      </w:r>
      <w:r>
        <w:t xml:space="preserve">their own.</w:t>
      </w:r>
      <w:r>
        <w:t xml:space="preserve"> </w:t>
      </w:r>
      <w:r>
        <w:rPr>
          <w:b/>
          <w:bCs/>
        </w:rPr>
        <w:t xml:space="preserve">Reset layers</w:t>
      </w:r>
      <w:r>
        <w:t xml:space="preserve"> </w:t>
      </w:r>
      <w:r>
        <w:t xml:space="preserve">restores the default stack.</w:t>
      </w:r>
    </w:p>
    <w:tbl>
      <w:tblPr>
        <w:tblStyle w:val="Table"/>
        <w:tblW w:type="pct" w:w="5000"/>
        <w:tblLayout w:type="fixed"/>
        <w:tblLook w:firstRow="0" w:lastRow="0" w:firstColumn="0" w:lastColumn="0" w:noHBand="0" w:noVBand="0" w:val="0000"/>
      </w:tblPr>
      <w:tblGrid>
        <w:gridCol w:w="7920"/>
      </w:tblGrid>
      <w:tr>
        <w:tc>
          <w:tcPr/>
          <w:bookmarkStart w:id="492" w:name="fig-atlas-layers"/>
          <w:p>
            <w:pPr>
              <w:pStyle w:val="Compact"/>
              <w:jc w:val="center"/>
            </w:pPr>
            <w:r>
              <w:drawing>
                <wp:inline>
                  <wp:extent cx="5334000" cy="3333750"/>
                  <wp:effectExtent b="0" l="0" r="0" t="0"/>
                  <wp:docPr descr="" title="" id="490" name="Picture"/>
                  <a:graphic>
                    <a:graphicData uri="http://schemas.openxmlformats.org/drawingml/2006/picture">
                      <pic:pic>
                        <pic:nvPicPr>
                          <pic:cNvPr descr="images/atlas/desktop-layers.png" id="491" name="Picture"/>
                          <pic:cNvPicPr>
                            <a:picLocks noChangeArrowheads="1" noChangeAspect="1"/>
                          </pic:cNvPicPr>
                        </pic:nvPicPr>
                        <pic:blipFill>
                          <a:blip r:embed="rId48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21.4: The Layers panel with Place labels moved above Data (one</w:t>
            </w:r>
            <w:r>
              <w:t xml:space="preserve"> </w:t>
            </w:r>
            <w:r>
              <w:t xml:space="preserve">“move up”</w:t>
            </w:r>
            <w:r>
              <w:t xml:space="preserve"> </w:t>
            </w:r>
            <w:r>
              <w:t xml:space="preserve">click) to show the reorder feature, and Data expanded to its Color palette menu and the Cells outside Program Areas switch. The panel’s header names what is on the map (</w:t>
            </w:r>
            <w:r>
              <w:t xml:space="preserve">“Score · Raster cells”</w:t>
            </w:r>
            <w:r>
              <w:t xml:space="preserve">); the Raster cells and Program areas switch, the Layer menu with a short description of the score, and the layer stack sit below it. Atlas 0.10.91, release v7, 2026-10-16.</w:t>
            </w:r>
          </w:p>
          <w:bookmarkEnd w:id="492"/>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Details</w:t>
      </w:r>
      <w:r>
        <w:t xml:space="preserve"> </w:t>
      </w:r>
      <w:r>
        <w:t xml:space="preserve">(flower plot) and</w:t>
      </w:r>
      <w:r>
        <w:t xml:space="preserve"> </w:t>
      </w:r>
      <w:r>
        <w:rPr>
          <w:b/>
          <w:bCs/>
        </w:rPr>
        <w:t xml:space="preserve">Table</w:t>
      </w:r>
      <w:r>
        <w:t xml:space="preserve"> </w:t>
      </w:r>
      <w:r>
        <w:t xml:space="preserve">tools then</w:t>
      </w:r>
      <w:r>
        <w:t xml:space="preserve"> </w:t>
      </w:r>
      <w:r>
        <w:t xml:space="preserve">describe (</w:t>
      </w:r>
      <w:hyperlink w:anchor="sec-atlas-flower-table">
        <w:r>
          <w:rPr>
            <w:rStyle w:val="Hyperlink"/>
          </w:rPr>
          <w:t xml:space="preserve">Section 21.8</w:t>
        </w:r>
      </w:hyperlink>
      <w:r>
        <w:t xml:space="preserve">). A click never switches tools: it updates Details in place and</w:t>
      </w:r>
      <w:r>
        <w:t xml:space="preserve"> </w:t>
      </w:r>
      <w:r>
        <w:t xml:space="preserve">adds a</w:t>
      </w:r>
      <w:r>
        <w:t xml:space="preserve"> </w:t>
      </w:r>
      <w:r>
        <w:t xml:space="preserve">“Last clicked”</w:t>
      </w:r>
      <w:r>
        <w:t xml:space="preserve"> </w:t>
      </w:r>
      <w:r>
        <w:t xml:space="preserve">row to the Report tool.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493"/>
    <w:bookmarkStart w:id="498" w:name="species-lens"/>
    <w:p>
      <w:pPr>
        <w:pStyle w:val="Heading2"/>
      </w:pPr>
      <w:r>
        <w:t xml:space="preserve">21.5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w:t>
      </w:r>
      <w:r>
        <w:t xml:space="preserve"> </w:t>
      </w:r>
      <w:r>
        <w:rPr>
          <w:b/>
          <w:bCs/>
        </w:rPr>
        <w:t xml:space="preserve">Layers</w:t>
      </w:r>
      <w:r>
        <w:t xml:space="preserve"> </w:t>
      </w:r>
      <w:r>
        <w:t xml:space="preserve">then leads with a</w:t>
      </w:r>
      <w:r>
        <w:t xml:space="preserve"> </w:t>
      </w:r>
      <w:r>
        <w:rPr>
          <w:b/>
          <w:bCs/>
        </w:rPr>
        <w:t xml:space="preserve">Model input</w:t>
      </w:r>
      <w:r>
        <w:t xml:space="preserve"> </w:t>
      </w:r>
      <w:r>
        <w:t xml:space="preserve">picker — a bar headed</w:t>
      </w:r>
      <w:r>
        <w:t xml:space="preserve"> </w:t>
      </w:r>
      <w:r>
        <w:rPr>
          <w:b/>
          <w:bCs/>
        </w:rPr>
        <w:t xml:space="preserve">✓ Merged Model (maximum of</w:t>
      </w:r>
      <w:r>
        <w:rPr>
          <w:b/>
          <w:bCs/>
        </w:rPr>
        <w:t xml:space="preserve"> </w:t>
      </w:r>
      <w:r>
        <w:rPr>
          <w:b/>
          <w:bCs/>
          <w:i/>
          <w:iCs/>
        </w:rPr>
        <w:t xml:space="preserve">N</w:t>
      </w:r>
      <w:r>
        <w:rPr>
          <w:b/>
          <w:bCs/>
        </w:rPr>
        <w:t xml:space="preserve"> </w:t>
      </w:r>
      <w:r>
        <w:rPr>
          <w:b/>
          <w:bCs/>
        </w:rPr>
        <w:t xml:space="preserve">inputs)</w:t>
      </w:r>
      <w:r>
        <w:t xml:space="preserve"> </w:t>
      </w:r>
      <w:r>
        <w:t xml:space="preserve">(▶ and the input’s name once an</w:t>
      </w:r>
      <w:r>
        <w:t xml:space="preserve"> </w:t>
      </w:r>
      <w:r>
        <w:t xml:space="preserve">input is picked) with a gold left edge, the active layer as a gold-filled pill, plus one pill per</w:t>
      </w:r>
      <w:r>
        <w:t xml:space="preserve"> </w:t>
      </w:r>
      <w:r>
        <w:t xml:space="preserve">contributing input dataset — a</w:t>
      </w:r>
      <w:r>
        <w:t xml:space="preserve"> </w:t>
      </w:r>
      <w:r>
        <w:rPr>
          <w:b/>
          <w:bCs/>
        </w:rPr>
        <w:t xml:space="preserve">Zoom to layer on change</w:t>
      </w:r>
      <w:r>
        <w:t xml:space="preserve"> </w:t>
      </w:r>
      <w:r>
        <w:t xml:space="preserve">checkbox (on by default; picking an input</w:t>
      </w:r>
      <w:r>
        <w:t xml:space="preserve"> </w:t>
      </w:r>
      <w:r>
        <w:t xml:space="preserve">refits the camera to that surface, and</w:t>
      </w:r>
      <w:r>
        <w:t xml:space="preserve"> </w:t>
      </w:r>
      <w:r>
        <w:rPr>
          <w:rStyle w:val="VerbatimChar"/>
        </w:rPr>
        <w:t xml:space="preserve">zl=0</w:t>
      </w:r>
      <w:r>
        <w:t xml:space="preserve"> </w:t>
      </w:r>
      <w:r>
        <w:t xml:space="preserve">in the link turns it off), and, where the selected</w:t>
      </w:r>
      <w:r>
        <w:t xml:space="preserve"> </w:t>
      </w:r>
      <w:r>
        <w:t xml:space="preserve">input publishes both, a labelled</w:t>
      </w:r>
      <w:r>
        <w:t xml:space="preserve"> </w:t>
      </w:r>
      <w:r>
        <w:rPr>
          <w:b/>
          <w:bCs/>
        </w:rPr>
        <w:t xml:space="preserve">Show … as</w:t>
      </w:r>
      <w:r>
        <w:t xml:space="preserve"> </w:t>
      </w:r>
      <w:r>
        <w:t xml:space="preserve">switch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 ingested”</w:t>
      </w:r>
      <w:r>
        <w:t xml:space="preserve"> </w:t>
      </w:r>
      <w:r>
        <w:t xml:space="preserve">for a dataset already on the scoring grid). Below it the</w:t>
      </w:r>
      <w:r>
        <w:t xml:space="preserve"> </w:t>
      </w:r>
      <w:r>
        <w:rPr>
          <w:b/>
          <w:bCs/>
        </w:rPr>
        <w:t xml:space="preserve">Data</w:t>
      </w:r>
      <w:r>
        <w:t xml:space="preserve"> </w:t>
      </w:r>
      <w:r>
        <w:t xml:space="preserve">row carries the</w:t>
      </w:r>
      <w:r>
        <w:t xml:space="preserve"> </w:t>
      </w:r>
      <w:r>
        <w:t xml:space="preserve">species title with its zoom actions. An input’s raster is found the way the retired Species Shiny</w:t>
      </w:r>
      <w:r>
        <w:t xml:space="preserve"> </w:t>
      </w:r>
      <w:r>
        <w:t xml:space="preserve">app found it — through the release’s</w:t>
      </w:r>
      <w:r>
        <w:t xml:space="preserve"> </w:t>
      </w:r>
      <w:r>
        <w:rPr>
          <w:b/>
          <w:bCs/>
        </w:rPr>
        <w:t xml:space="preserve">model-asset registry</w:t>
      </w:r>
      <w:r>
        <w:t xml:space="preserve">, looked up by model key — and an input</w:t>
      </w:r>
      <w:r>
        <w:t xml:space="preserve"> </w:t>
      </w:r>
      <w:r>
        <w:t xml:space="preserve">whose registry row is missing renders as a</w:t>
      </w:r>
      <w:r>
        <w:t xml:space="preserve"> </w:t>
      </w:r>
      <w:r>
        <w:rPr>
          <w:b/>
          <w:bCs/>
        </w:rPr>
        <w:t xml:space="preserve">struck-through, non-interactive pill</w:t>
      </w:r>
      <w:r>
        <w:t xml:space="preserve">, never simply</w:t>
      </w:r>
      <w:r>
        <w:t xml:space="preserve"> </w:t>
      </w:r>
      <w:r>
        <w:t xml:space="preserve">omitted. The species’ own information — names, ESA listing, IUCN Red List category, WoRMS id, and the</w:t>
      </w:r>
      <w:r>
        <w:t xml:space="preserve"> </w:t>
      </w:r>
      <w:r>
        <w:t xml:space="preserve">tree of values (the merged model and its inputs, the layer on screen in bold) — is in</w:t>
      </w:r>
      <w:r>
        <w:t xml:space="preserve"> </w:t>
      </w:r>
      <w:r>
        <w:rPr>
          <w:b/>
          <w:bCs/>
        </w:rPr>
        <w:t xml:space="preserve">Details</w:t>
      </w:r>
      <w:r>
        <w:t xml:space="preserve">.</w:t>
      </w:r>
      <w:r>
        <w:t xml:space="preserve"> </w:t>
      </w:r>
      <w:r>
        <w:t xml:space="preserve">Selecting a species flies the map to that model’s extent; clicking it then returns that cell’s</w:t>
      </w:r>
      <w:r>
        <w:t xml:space="preserve"> </w:t>
      </w:r>
      <w:r>
        <w:t xml:space="preserve">modelled value, or</w:t>
      </w:r>
      <w:r>
        <w:t xml:space="preserve"> </w:t>
      </w:r>
      <w:r>
        <w:rPr>
          <w:i/>
          <w:iCs/>
        </w:rPr>
        <w:t xml:space="preserve">“No scored cell here”</w:t>
      </w:r>
      <w:r>
        <w:t xml:space="preserve"> </w:t>
      </w:r>
      <w:r>
        <w:t xml:space="preserve">outside the model’s range. The legend floats in a corner</w:t>
      </w:r>
      <w:r>
        <w:t xml:space="preserve"> </w:t>
      </w:r>
      <w:r>
        <w:t xml:space="preserve">of the map (a legend chip on a phone), titled with the species’ common and scientific name, with a</w:t>
      </w:r>
      <w:r>
        <w:t xml:space="preserve"> </w:t>
      </w:r>
      <w:r>
        <w:t xml:space="preserve">subtitle naming the layer and its 1–100 range.</w:t>
      </w:r>
    </w:p>
    <w:tbl>
      <w:tblPr>
        <w:tblStyle w:val="Table"/>
        <w:tblW w:type="pct" w:w="5000"/>
        <w:tblLayout w:type="fixed"/>
        <w:tblLook w:firstRow="0" w:lastRow="0" w:firstColumn="0" w:lastColumn="0" w:noHBand="0" w:noVBand="0" w:val="0000"/>
      </w:tblPr>
      <w:tblGrid>
        <w:gridCol w:w="7920"/>
      </w:tblGrid>
      <w:tr>
        <w:tc>
          <w:tcPr/>
          <w:bookmarkStart w:id="497" w:name="fig-atlas-species"/>
          <w:p>
            <w:pPr>
              <w:pStyle w:val="Compact"/>
              <w:jc w:val="center"/>
            </w:pPr>
            <w:r>
              <w:drawing>
                <wp:inline>
                  <wp:extent cx="5334000" cy="3333750"/>
                  <wp:effectExtent b="0" l="0" r="0" t="0"/>
                  <wp:docPr descr="" title="" id="495" name="Picture"/>
                  <a:graphic>
                    <a:graphicData uri="http://schemas.openxmlformats.org/drawingml/2006/picture">
                      <pic:pic>
                        <pic:nvPicPr>
                          <pic:cNvPr descr="images/atlas/desktop-species.png" id="496" name="Picture"/>
                          <pic:cNvPicPr>
                            <a:picLocks noChangeArrowheads="1" noChangeAspect="1"/>
                          </pic:cNvPicPr>
                        </pic:nvPicPr>
                        <pic:blipFill>
                          <a:blip r:embed="rId49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21.5: The Species lens’ Layers panel for the leatherback turtle (</w:t>
            </w:r>
            <w:r>
              <w:rPr>
                <w:i/>
                <w:iCs/>
              </w:rPr>
              <w:t xml:space="preserve">Dermochelys coriacea</w:t>
            </w:r>
            <w:r>
              <w:t xml:space="preserve">): the merged model selected, with all six of its inputs available as pills. In the layer stack, the expanded Data row shows the scientific and common names (each with a copy button) and, for a wide-range model, a US waters / Whole range zoom switch. Atlas 0.10.91, release v7, 2026-10-16.</w:t>
            </w:r>
          </w:p>
          <w:bookmarkEnd w:id="497"/>
        </w:tc>
      </w:tr>
    </w:tbl>
    <w:bookmarkEnd w:id="498"/>
    <w:bookmarkStart w:id="507" w:name="sec-atlas-places"/>
    <w:p>
      <w:pPr>
        <w:pStyle w:val="Heading2"/>
      </w:pPr>
      <w:r>
        <w:t xml:space="preserve">21.6 Places</w:t>
      </w:r>
    </w:p>
    <w:p>
      <w:pPr>
        <w:pStyle w:val="FirstParagraph"/>
      </w:pPr>
      <w:r>
        <w:rPr>
          <w:b/>
          <w:bCs/>
        </w:rPr>
        <w:t xml:space="preserve">Places</w:t>
      </w:r>
      <w:r>
        <w:t xml:space="preserve"> </w:t>
      </w:r>
      <w:r>
        <w:t xml:space="preserve">— the first part of the</w:t>
      </w:r>
      <w:r>
        <w:t xml:space="preserve"> </w:t>
      </w:r>
      <w:r>
        <w:rPr>
          <w:b/>
          <w:bCs/>
        </w:rPr>
        <w:t xml:space="preserve">Report</w:t>
      </w:r>
      <w:r>
        <w:t xml:space="preserve"> </w:t>
      </w:r>
      <w:r>
        <w:t xml:space="preserve">tool, listed with its count (</w:t>
      </w:r>
      <w:r>
        <w:t xml:space="preserve">“Places 2 / 20”</w:t>
      </w:r>
      <w:r>
        <w:t xml:space="preserve">) above</w:t>
      </w:r>
      <w:r>
        <w:t xml:space="preserve"> </w:t>
      </w:r>
      <w:r>
        <w:t xml:space="preserve">an</w:t>
      </w:r>
      <w:r>
        <w:t xml:space="preserve"> </w:t>
      </w:r>
      <w:r>
        <w:rPr>
          <w:b/>
          <w:bCs/>
        </w:rPr>
        <w:t xml:space="preserve">Add a place</w:t>
      </w:r>
      <w:r>
        <w:t xml:space="preserve"> </w:t>
      </w:r>
      <w:r>
        <w:t xml:space="preserve">section — is what the two retired Shiny apps did not have: any area you outline</w:t>
      </w:r>
      <w:r>
        <w:t xml:space="preserve"> </w:t>
      </w:r>
      <w:r>
        <w:t xml:space="preserve">gets the same scores and species results the built-in Program Areas get. The empty state reads</w:t>
      </w:r>
      <w:r>
        <w:t xml:space="preserve"> </w:t>
      </w:r>
      <w:r>
        <w:t xml:space="preserve">exactly:</w:t>
      </w:r>
      <w:r>
        <w:t xml:space="preserve"> </w:t>
      </w:r>
      <w:r>
        <w:rPr>
          <w:i/>
          <w:iCs/>
        </w:rPr>
        <w:t xml:space="preserve">“No places yet. Click the map, or add one below.”</w:t>
      </w:r>
      <w:r>
        <w:t xml:space="preserve"> </w:t>
      </w:r>
      <w:r>
        <w:t xml:space="preserve">A click on the map shows up as a pink</w:t>
      </w:r>
      <w:r>
        <w:t xml:space="preserve"> </w:t>
      </w:r>
      <w:r>
        <w:rPr>
          <w:b/>
          <w:bCs/>
        </w:rPr>
        <w:t xml:space="preserve">Last clicked</w:t>
      </w:r>
      <w:r>
        <w:t xml:space="preserve"> </w:t>
      </w:r>
      <w:r>
        <w:t xml:space="preserve">row with an</w:t>
      </w:r>
      <w:r>
        <w:t xml:space="preserve"> </w:t>
      </w:r>
      <w:r>
        <w:rPr>
          <w:b/>
          <w:bCs/>
        </w:rPr>
        <w:t xml:space="preserve">Add</w:t>
      </w:r>
      <w:r>
        <w:t xml:space="preserve"> </w:t>
      </w:r>
      <w:r>
        <w:t xml:space="preserve">button, which hides once that place is in the list; a click</w:t>
      </w:r>
      <w:r>
        <w:t xml:space="preserve"> </w:t>
      </w:r>
      <w:r>
        <w:t xml:space="preserve">never wipes places you have explicitly added.</w:t>
      </w:r>
    </w:p>
    <w:p>
      <w:pPr>
        <w:pStyle w:val="Compact"/>
        <w:numPr>
          <w:ilvl w:val="0"/>
          <w:numId w:val="1055"/>
        </w:numPr>
      </w:pPr>
      <w:r>
        <w:rPr>
          <w:b/>
          <w:bCs/>
        </w:rPr>
        <w:t xml:space="preserve">Pick a Program Area.</w:t>
      </w:r>
      <w:r>
        <w:t xml:space="preserve"> </w:t>
      </w:r>
      <w:r>
        <w:t xml:space="preserve">The</w:t>
      </w:r>
      <w:r>
        <w:t xml:space="preserve"> </w:t>
      </w:r>
      <w:r>
        <w:rPr>
          <w:b/>
          <w:bCs/>
        </w:rPr>
        <w:t xml:space="preserve">Add a Program Area</w:t>
      </w:r>
      <w:r>
        <w:t xml:space="preserve"> </w:t>
      </w:r>
      <w:r>
        <w:t xml:space="preserve">chooser plus</w:t>
      </w:r>
      <w:r>
        <w:t xml:space="preserve"> </w:t>
      </w:r>
      <w:r>
        <w:rPr>
          <w:b/>
          <w:bCs/>
        </w:rPr>
        <w:t xml:space="preserve">Add this Program Area</w:t>
      </w:r>
      <w:r>
        <w:t xml:space="preserve"> </w:t>
      </w:r>
      <w:r>
        <w:t xml:space="preserve">needs no</w:t>
      </w:r>
      <w:r>
        <w:t xml:space="preserve"> </w:t>
      </w:r>
      <w:r>
        <w:t xml:space="preserve">pointer and works on a phone. Or turn on</w:t>
      </w:r>
      <w:r>
        <w:t xml:space="preserve"> </w:t>
      </w:r>
      <w:r>
        <w:rPr>
          <w:b/>
          <w:bCs/>
        </w:rPr>
        <w:t xml:space="preserve">Pick mode</w:t>
      </w:r>
      <w:r>
        <w:t xml:space="preserve"> </w:t>
      </w:r>
      <w:r>
        <w:t xml:space="preserve">and click on the map — that only highlights</w:t>
      </w:r>
      <w:r>
        <w:t xml:space="preserve"> </w:t>
      </w:r>
      <w:r>
        <w:t xml:space="preserve">it (Ctrl/Cmd-click, Shift-click or long-press to highlight several) — and</w:t>
      </w:r>
      <w:r>
        <w:t xml:space="preserve"> </w:t>
      </w:r>
      <w:r>
        <w:rPr>
          <w:b/>
          <w:bCs/>
        </w:rPr>
        <w:t xml:space="preserve">“Add to places (n)”</w:t>
      </w:r>
      <w:r>
        <w:t xml:space="preserve"> </w:t>
      </w:r>
      <w:r>
        <w:t xml:space="preserve">is the button that actually adds it; several picks become</w:t>
      </w:r>
      <w:r>
        <w:t xml:space="preserve"> </w:t>
      </w:r>
      <w:r>
        <w:rPr>
          <w:b/>
          <w:bCs/>
        </w:rPr>
        <w:t xml:space="preserve">one</w:t>
      </w:r>
      <w:r>
        <w:t xml:space="preserve"> </w:t>
      </w:r>
      <w:r>
        <w:t xml:space="preserve">place.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everywhere: Places, search, the map tooltip, the Details flower’s title, the Table</w:t>
      </w:r>
      <w:r>
        <w:t xml:space="preserve"> </w:t>
      </w:r>
      <w:r>
        <w:t xml:space="preserve">header, the Zones table and the report.</w:t>
      </w:r>
    </w:p>
    <w:p>
      <w:pPr>
        <w:pStyle w:val="Compact"/>
        <w:numPr>
          <w:ilvl w:val="0"/>
          <w:numId w:val="1055"/>
        </w:numPr>
      </w:pPr>
      <w:r>
        <w:rPr>
          <w:b/>
          <w:bCs/>
        </w:rPr>
        <w:t xml:space="preserve">Pick from the gazetteer.</w:t>
      </w:r>
      <w:r>
        <w:t xml:space="preserve"> </w:t>
      </w:r>
      <w:r>
        <w:t xml:space="preserve">Turn on</w:t>
      </w:r>
      <w:r>
        <w:t xml:space="preserve"> </w:t>
      </w:r>
      <w:r>
        <w:rPr>
          <w:b/>
          <w:bCs/>
        </w:rPr>
        <w:t xml:space="preserve">Pick from gazetteer</w:t>
      </w:r>
      <w:r>
        <w:t xml:space="preserve"> </w:t>
      </w:r>
      <w:r>
        <w:t xml:space="preserve">to show the gazetteer’s polygons on the</w:t>
      </w:r>
      <w:r>
        <w:t xml:space="preserve"> </w:t>
      </w:r>
      <w:r>
        <w:t xml:space="preserve">map and click one to add it. The place is carried in the link by its gazetteer id, not its outline</w:t>
      </w:r>
      <w:r>
        <w:t xml:space="preserve"> </w:t>
      </w:r>
      <w:r>
        <w:t xml:space="preserve">(</w:t>
      </w:r>
      <w:hyperlink w:anchor="sec-atlas-place-links">
        <w:r>
          <w:rPr>
            <w:rStyle w:val="Hyperlink"/>
          </w:rPr>
          <w:t xml:space="preserve">Section 21.7</w:t>
        </w:r>
      </w:hyperlink>
      <w:r>
        <w:t xml:space="preserve">); other gazetteer collections appear in a</w:t>
      </w:r>
      <w:r>
        <w:t xml:space="preserve"> </w:t>
      </w:r>
      <w:r>
        <w:rPr>
          <w:b/>
          <w:bCs/>
        </w:rPr>
        <w:t xml:space="preserve">Gazetteer layer</w:t>
      </w:r>
      <w:r>
        <w:t xml:space="preserve"> </w:t>
      </w:r>
      <w:r>
        <w:t xml:space="preserve">selector once</w:t>
      </w:r>
      <w:r>
        <w:t xml:space="preserve"> </w:t>
      </w:r>
      <w:r>
        <w:t xml:space="preserve">the gazetteer publishes its layer list, and the map’s credit line names the gazetteer’s data while</w:t>
      </w:r>
      <w:r>
        <w:t xml:space="preserve"> </w:t>
      </w:r>
      <w:r>
        <w:t xml:space="preserve">its polygons or places are shown.</w:t>
      </w:r>
    </w:p>
    <w:p>
      <w:pPr>
        <w:pStyle w:val="Compact"/>
        <w:numPr>
          <w:ilvl w:val="0"/>
          <w:numId w:val="1055"/>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55"/>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55"/>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502" w:name="fig-atlas-places"/>
          <w:p>
            <w:pPr>
              <w:pStyle w:val="Compact"/>
              <w:jc w:val="center"/>
            </w:pPr>
            <w:r>
              <w:drawing>
                <wp:inline>
                  <wp:extent cx="5334000" cy="3333750"/>
                  <wp:effectExtent b="0" l="0" r="0" t="0"/>
                  <wp:docPr descr="" title="" id="500" name="Picture"/>
                  <a:graphic>
                    <a:graphicData uri="http://schemas.openxmlformats.org/drawingml/2006/picture">
                      <pic:pic>
                        <pic:nvPicPr>
                          <pic:cNvPr descr="images/atlas/desktop-places.png" id="501" name="Picture"/>
                          <pic:cNvPicPr>
                            <a:picLocks noChangeArrowheads="1" noChangeAspect="1"/>
                          </pic:cNvPicPr>
                        </pic:nvPicPr>
                        <pic:blipFill>
                          <a:blip r:embed="rId49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21.6: The Report tool’s list of places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34.7 composite) whose coverage note reads</w:t>
            </w:r>
            <w:r>
              <w:t xml:space="preserve"> </w:t>
            </w:r>
            <w:r>
              <w:t xml:space="preserve">“100.0% of this place is inside the US study area (3,600 of 3,600 cells),”</w:t>
            </w:r>
            <w:r>
              <w:t xml:space="preserve"> </w:t>
            </w:r>
            <w:r>
              <w:t xml:space="preserve">with its flower plot below; the box is outlined in pink over the Gulf of America on the map. The pinned footer below reads</w:t>
            </w:r>
            <w:r>
              <w:t xml:space="preserve"> </w:t>
            </w:r>
            <w:r>
              <w:t xml:space="preserve">“Reporting on 2 places.”</w:t>
            </w:r>
            <w:r>
              <w:t xml:space="preserve"> </w:t>
            </w:r>
            <w:r>
              <w:t xml:space="preserve">above the gold Open report button, Share and Download places. Atlas 0.10.92, release v7, 2026-10-16.</w:t>
            </w:r>
          </w:p>
          <w:bookmarkEnd w:id="50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6" w:name="fig-atlas-coords"/>
          <w:p>
            <w:pPr>
              <w:pStyle w:val="Compact"/>
              <w:jc w:val="center"/>
            </w:pPr>
            <w:r>
              <w:drawing>
                <wp:inline>
                  <wp:extent cx="5334000" cy="3333750"/>
                  <wp:effectExtent b="0" l="0" r="0" t="0"/>
                  <wp:docPr descr="" title="" id="504" name="Picture"/>
                  <a:graphic>
                    <a:graphicData uri="http://schemas.openxmlformats.org/drawingml/2006/picture">
                      <pic:pic>
                        <pic:nvPicPr>
                          <pic:cNvPr descr="images/atlas/desktop-coordinate-dialog.png" id="505" name="Picture"/>
                          <pic:cNvPicPr>
                            <a:picLocks noChangeArrowheads="1" noChangeAspect="1"/>
                          </pic:cNvPicPr>
                        </pic:nvPicPr>
                        <pic:blipFill>
                          <a:blip r:embed="rId50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21.7: The</w:t>
            </w:r>
            <w:r>
              <w:t xml:space="preserve"> </w:t>
            </w:r>
            <w:r>
              <w:t xml:space="preserve">“Enter coordinates”</w:t>
            </w:r>
            <w:r>
              <w:t xml:space="preserve"> </w:t>
            </w:r>
            <w:r>
              <w:t xml:space="preserve">dialog after a single longitude, latitude point (</w:t>
            </w:r>
            <w:r>
              <w:t xml:space="preserve">“-124.1, 40.2”</w:t>
            </w:r>
            <w:r>
              <w:t xml:space="preserve">) was entered and</w:t>
            </w:r>
            <w:r>
              <w:t xml:space="preserve"> </w:t>
            </w:r>
            <w:r>
              <w:rPr>
                <w:b/>
                <w:bCs/>
              </w:rPr>
              <w:t xml:space="preserve">Add place</w:t>
            </w:r>
            <w:r>
              <w:t xml:space="preserve"> </w:t>
            </w:r>
            <w:r>
              <w:t xml:space="preserve">clicked: it is refused, because the text matches none of the three accepted shapes (a bounding box, a list of coordinates, pasted WKT/GeoJSON). Atlas 0.10.91, release v7, 2026-10-16.</w:t>
            </w:r>
          </w:p>
          <w:bookmarkEnd w:id="506"/>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21.8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Report</w:t>
      </w:r>
      <w:r>
        <w:t xml:space="preserve"> </w:t>
      </w:r>
      <w:r>
        <w:t xml:space="preserve">tool’s footer is pinned to the bottom of the pane: a sentence saying what the report is about</w:t>
      </w:r>
      <w:r>
        <w:t xml:space="preserve"> </w:t>
      </w:r>
      <w:r>
        <w:t xml:space="preserve">(</w:t>
      </w:r>
      <w:r>
        <w:t xml:space="preserve">“Reporting on 2 places.”</w:t>
      </w:r>
      <w:r>
        <w:t xml:space="preserve">,</w:t>
      </w:r>
      <w:r>
        <w:t xml:space="preserve"> </w:t>
      </w:r>
      <w:r>
        <w:t xml:space="preserve">“Reporting on the last clicked place. Add it to keep it.”</w:t>
      </w:r>
      <w:r>
        <w:t xml:space="preserve">, or</w:t>
      </w:r>
      <w:r>
        <w:t xml:space="preserve"> </w:t>
      </w:r>
      <w:r>
        <w:t xml:space="preserve">“Add a</w:t>
      </w:r>
      <w:r>
        <w:t xml:space="preserve"> </w:t>
      </w:r>
      <w:r>
        <w:t xml:space="preserve">place to open a report.”</w:t>
      </w:r>
      <w:r>
        <w:t xml:space="preserve">), the gold</w:t>
      </w:r>
      <w:r>
        <w:t xml:space="preserve"> </w:t>
      </w:r>
      <w:r>
        <w:rPr>
          <w:b/>
          <w:bCs/>
        </w:rPr>
        <w:t xml:space="preserve">Open report</w:t>
      </w:r>
      <w:r>
        <w:t xml:space="preserve"> </w:t>
      </w:r>
      <w:r>
        <w:t xml:space="preserve">button (disabled with nothing to report on),</w:t>
      </w:r>
      <w:r>
        <w:t xml:space="preserve"> </w:t>
      </w:r>
      <w:r>
        <w:t xml:space="preserve">then</w:t>
      </w:r>
      <w:r>
        <w:t xml:space="preserve"> </w:t>
      </w:r>
      <w:r>
        <w:rPr>
          <w:b/>
          <w:bCs/>
        </w:rPr>
        <w:t xml:space="preserve">Share</w:t>
      </w:r>
      <w:r>
        <w:t xml:space="preserve"> </w:t>
      </w:r>
      <w:r>
        <w:t xml:space="preserve">and</w:t>
      </w:r>
      <w:r>
        <w:t xml:space="preserve"> </w:t>
      </w:r>
      <w:r>
        <w:rPr>
          <w:b/>
          <w:bCs/>
        </w:rPr>
        <w:t xml:space="preserve">Download places</w:t>
      </w:r>
      <w:r>
        <w:t xml:space="preserve"> </w:t>
      </w:r>
      <w:r>
        <w:t xml:space="preserve">(GeoJSON, with each gazetteer place’s id), the last two</w:t>
      </w:r>
      <w:r>
        <w:t xml:space="preserve"> </w:t>
      </w:r>
      <w:r>
        <w:t xml:space="preserve">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to the</w:t>
      </w:r>
      <w:r>
        <w:t xml:space="preserve"> </w:t>
      </w:r>
      <w:r>
        <w:t xml:space="preserve">clipboard, plus a</w:t>
      </w:r>
      <w:r>
        <w:t xml:space="preserve"> </w:t>
      </w:r>
      <w:r>
        <w:rPr>
          <w:rStyle w:val="VerbatimChar"/>
        </w:rPr>
        <w:t xml:space="preserve">ui=</w:t>
      </w:r>
      <w:r>
        <w:t xml:space="preserve"> </w:t>
      </w:r>
      <w:r>
        <w:t xml:space="preserve">token that records the panel arrangement — no dialog, no summary, no length</w:t>
      </w:r>
      <w:r>
        <w:t xml:space="preserve"> </w:t>
      </w:r>
      <w:r>
        <w:t xml:space="preserve">check. The</w:t>
      </w:r>
      <w:r>
        <w:t xml:space="preserve"> </w:t>
      </w:r>
      <w:r>
        <w:rPr>
          <w:b/>
          <w:bCs/>
        </w:rPr>
        <w:t xml:space="preserve">Share</w:t>
      </w:r>
      <w:r>
        <w:t xml:space="preserve"> </w:t>
      </w:r>
      <w:r>
        <w:t xml:space="preserve">at the foot of the Report tool opens the real dialog described next, and is the</w:t>
      </w:r>
      <w:r>
        <w:t xml:space="preserve"> </w:t>
      </w:r>
      <w:r>
        <w:t xml:space="preserve">one to use whenever places are involved.</w:t>
      </w:r>
    </w:p>
    <w:bookmarkEnd w:id="507"/>
    <w:bookmarkStart w:id="518" w:name="sec-atlas-place-links"/>
    <w:p>
      <w:pPr>
        <w:pStyle w:val="Heading2"/>
      </w:pPr>
      <w:r>
        <w:t xml:space="preserve">21.7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#pl=z.pa.GAA~g1.Gulf%20box.EAMBAQSf_grYrQPQDwAA0A_PDwA~p.NMS%3ACINMS.Channel%20Islands</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56"/>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56"/>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56"/>
        </w:numPr>
      </w:pPr>
      <w:r>
        <w:rPr>
          <w:rStyle w:val="VerbatimChar"/>
          <w:b/>
          <w:bCs/>
        </w:rPr>
        <w:t xml:space="preserve">p.&lt;place_id&gt;.&lt;name&gt;</w:t>
      </w:r>
      <w:r>
        <w:t xml:space="preserve"> </w:t>
      </w:r>
      <w:r>
        <w:t xml:space="preserve">— a gazetteer place, carried</w:t>
      </w:r>
      <w:r>
        <w:t xml:space="preserve"> </w:t>
      </w:r>
      <w:r>
        <w:rPr>
          <w:b/>
          <w:bCs/>
        </w:rPr>
        <w:t xml:space="preserve">by reference</w:t>
      </w:r>
      <w:r>
        <w:t xml:space="preserve">: only the gazetteer’s</w:t>
      </w:r>
      <w:r>
        <w:t xml:space="preserve"> </w:t>
      </w:r>
      <w:r>
        <w:rPr>
          <w:rStyle w:val="VerbatimChar"/>
        </w:rPr>
        <w:t xml:space="preserve">place_id</w:t>
      </w:r>
      <w:r>
        <w:t xml:space="preserve"> </w:t>
      </w:r>
      <w:r>
        <w:t xml:space="preserve">and a display name travel, e.g. </w:t>
      </w:r>
      <w:r>
        <w:rPr>
          <w:rStyle w:val="VerbatimChar"/>
        </w:rPr>
        <w:t xml:space="preserve">p.NMS%3ACINMS.Channel%20Islands</w:t>
      </w:r>
      <w:r>
        <w:t xml:space="preserve">. It is fetched when</w:t>
      </w:r>
      <w:r>
        <w:t xml:space="preserve"> </w:t>
      </w:r>
      <w:r>
        <w:t xml:space="preserve">the link opens and analysed like a drawn place; if the gazetteer cannot be reached the place stays</w:t>
      </w:r>
      <w:r>
        <w:t xml:space="preserve"> </w:t>
      </w:r>
      <w:r>
        <w:t xml:space="preserve">in the list (and the link) with a</w:t>
      </w:r>
      <w:r>
        <w:t xml:space="preserve"> </w:t>
      </w:r>
      <w:r>
        <w:t xml:space="preserve">“couldn’t load”</w:t>
      </w:r>
      <w:r>
        <w:t xml:space="preserve"> </w:t>
      </w:r>
      <w:r>
        <w:t xml:space="preserve">note and a Retry. Links made before 0.10.88 open</w:t>
      </w:r>
      <w:r>
        <w:t xml:space="preserve"> </w:t>
      </w:r>
      <w:r>
        <w:t xml:space="preserve">unchanged, but an older Atlas drops a</w:t>
      </w:r>
      <w:r>
        <w:t xml:space="preserve"> </w:t>
      </w:r>
      <w:r>
        <w:rPr>
          <w:rStyle w:val="VerbatimChar"/>
        </w:rPr>
        <w:t xml:space="preserve">p.</w:t>
      </w:r>
      <w:r>
        <w:t xml:space="preserve"> </w:t>
      </w:r>
      <w:r>
        <w:t xml:space="preserve">place it cannot read.</w:t>
      </w:r>
    </w:p>
    <w:p>
      <w:pPr>
        <w:pStyle w:val="Compact"/>
        <w:numPr>
          <w:ilvl w:val="0"/>
          <w:numId w:val="1056"/>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Applications/quarto/share/formats/docx/note.png" id="50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the Report tool’s Share dialog.</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21.9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513" w:name="fig-atlas-share"/>
          <w:p>
            <w:pPr>
              <w:pStyle w:val="Compact"/>
              <w:jc w:val="center"/>
            </w:pPr>
            <w:r>
              <w:drawing>
                <wp:inline>
                  <wp:extent cx="5334000" cy="3333750"/>
                  <wp:effectExtent b="0" l="0" r="0" t="0"/>
                  <wp:docPr descr="" title="" id="511" name="Picture"/>
                  <a:graphic>
                    <a:graphicData uri="http://schemas.openxmlformats.org/drawingml/2006/picture">
                      <pic:pic>
                        <pic:nvPicPr>
                          <pic:cNvPr descr="images/atlas/desktop-share-dialog.png" id="512" name="Picture"/>
                          <pic:cNvPicPr>
                            <a:picLocks noChangeArrowheads="1" noChangeAspect="1"/>
                          </pic:cNvPicPr>
                        </pic:nvPicPr>
                        <pic:blipFill>
                          <a:blip r:embed="rId51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21.8: The Share dialog for one place (the Program Area GAA): what the link carries and its exact length. The dialog is opened from the Share button at the foot of the Report tool. Atlas 0.10.91, release v7, 2026-10-16.</w:t>
            </w:r>
          </w:p>
          <w:bookmarkEnd w:id="51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7" w:name="fig-atlas-share-ladder"/>
          <w:p>
            <w:pPr>
              <w:pStyle w:val="Compact"/>
              <w:jc w:val="center"/>
            </w:pPr>
            <w:r>
              <w:drawing>
                <wp:inline>
                  <wp:extent cx="5334000" cy="3333750"/>
                  <wp:effectExtent b="0" l="0" r="0" t="0"/>
                  <wp:docPr descr="" title="" id="515" name="Picture"/>
                  <a:graphic>
                    <a:graphicData uri="http://schemas.openxmlformats.org/drawingml/2006/picture">
                      <pic:pic>
                        <pic:nvPicPr>
                          <pic:cNvPr descr="images/atlas/desktop-share-ladder.png" id="516" name="Picture"/>
                          <pic:cNvPicPr>
                            <a:picLocks noChangeArrowheads="1" noChangeAspect="1"/>
                          </pic:cNvPicPr>
                        </pic:nvPicPr>
                        <pic:blipFill>
                          <a:blip r:embed="rId51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21.9: The Share dialog’s simplification ladder for an oversized place (a 3,600-point coordinate list in the Gulf of America): the link length shown, the before/after vertex count, area change and cell count of the proposed rung, and the</w:t>
            </w:r>
            <w:r>
              <w:t xml:space="preserve"> </w:t>
            </w:r>
            <w:r>
              <w:t xml:space="preserve">“Simplify and update the numbers”</w:t>
            </w:r>
            <w:r>
              <w:t xml:space="preserve"> </w:t>
            </w:r>
            <w:r>
              <w:t xml:space="preserve">button. Atlas 0.10.92, release v7, 2026-10-16.</w:t>
            </w:r>
          </w:p>
          <w:bookmarkEnd w:id="517"/>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 </w:t>
      </w:r>
      <w:r>
        <w:t xml:space="preserve">(with</w:t>
      </w:r>
      <w:r>
        <w:t xml:space="preserve"> </w:t>
      </w:r>
      <w:r>
        <w:rPr>
          <w:rStyle w:val="VerbatimChar"/>
        </w:rPr>
        <w:t xml:space="preserve">in</w:t>
      </w:r>
      <w:r>
        <w:t xml:space="preserve">,</w:t>
      </w:r>
      <w:r>
        <w:t xml:space="preserve"> </w:t>
      </w:r>
      <w:r>
        <w:rPr>
          <w:rStyle w:val="VerbatimChar"/>
        </w:rPr>
        <w:t xml:space="preserve">rep</w:t>
      </w:r>
      <w:r>
        <w:t xml:space="preserve"> </w:t>
      </w:r>
      <w:r>
        <w:t xml:space="preserve">and</w:t>
      </w:r>
      <w:r>
        <w:t xml:space="preserve"> </w:t>
      </w:r>
      <w:r>
        <w:rPr>
          <w:rStyle w:val="VerbatimChar"/>
        </w:rPr>
        <w:t xml:space="preserve">us</w:t>
      </w:r>
      <w:r>
        <w:t xml:space="preserve"> </w:t>
      </w:r>
      <w:r>
        <w:t xml:space="preserve">for a species’ input, representation and US-waters filter),</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21.4</w:t>
        </w:r>
      </w:hyperlink>
      <w:r>
        <w:t xml:space="preserve">),</w:t>
      </w:r>
      <w:r>
        <w:t xml:space="preserve"> </w:t>
      </w:r>
      <w:r>
        <w:rPr>
          <w:rStyle w:val="VerbatimChar"/>
        </w:rPr>
        <w:t xml:space="preserve">zl</w:t>
      </w:r>
      <w:r>
        <w:t xml:space="preserve"> </w:t>
      </w:r>
      <w:r>
        <w:t xml:space="preserve">(zoom to layer),</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w:t>
      </w:r>
      <w:r>
        <w:t xml:space="preserve"> </w:t>
      </w:r>
      <w:r>
        <w:t xml:space="preserve">from its default.</w:t>
      </w:r>
      <w:r>
        <w:t xml:space="preserve"> </w:t>
      </w:r>
      <w:r>
        <w:rPr>
          <w:rStyle w:val="VerbatimChar"/>
        </w:rPr>
        <w:t xml:space="preserve">?tool=report</w:t>
      </w:r>
      <w:r>
        <w:t xml:space="preserve"> </w:t>
      </w:r>
      <w:r>
        <w:t xml:space="preserve">(or</w:t>
      </w:r>
      <w:r>
        <w:t xml:space="preserve"> </w:t>
      </w:r>
      <w:r>
        <w:rPr>
          <w:rStyle w:val="VerbatimChar"/>
        </w:rPr>
        <w:t xml:space="preserve">layers</w:t>
      </w:r>
      <w:r>
        <w:t xml:space="preserve">,</w:t>
      </w:r>
      <w:r>
        <w:t xml:space="preserve"> </w:t>
      </w:r>
      <w:r>
        <w:rPr>
          <w:rStyle w:val="VerbatimChar"/>
        </w:rPr>
        <w:t xml:space="preserve">details</w:t>
      </w:r>
      <w:r>
        <w:t xml:space="preserve">,</w:t>
      </w:r>
      <w:r>
        <w:t xml:space="preserve"> </w:t>
      </w:r>
      <w:r>
        <w:rPr>
          <w:rStyle w:val="VerbatimChar"/>
        </w:rPr>
        <w:t xml:space="preserve">table</w:t>
      </w:r>
      <w:r>
        <w:t xml:space="preserve">) opens that rail tool and counts as a deep link, so the</w:t>
      </w:r>
      <w:r>
        <w:t xml:space="preserve"> </w:t>
      </w:r>
      <w:r>
        <w:t xml:space="preserve">first-visit welcome does not cover it; the top-bar Share adds a</w:t>
      </w:r>
      <w:r>
        <w:t xml:space="preserve"> </w:t>
      </w:r>
      <w:r>
        <w:rPr>
          <w:rStyle w:val="VerbatimChar"/>
        </w:rPr>
        <w:t xml:space="preserve">ui=</w:t>
      </w:r>
      <w:r>
        <w:t xml:space="preserve"> </w:t>
      </w:r>
      <w:r>
        <w:t xml:space="preserve">token for the panel</w:t>
      </w:r>
      <w:r>
        <w:t xml:space="preserve"> </w:t>
      </w:r>
      <w:r>
        <w:t xml:space="preserve">arrangement. A link from the retired Shiny apps (</w:t>
      </w:r>
      <w:r>
        <w:rPr>
          <w:rStyle w:val="VerbatimChar"/>
        </w:rPr>
        <w:t xml:space="preserve">mdl_key</w:t>
      </w:r>
      <w:r>
        <w:t xml:space="preserve">,</w:t>
      </w:r>
      <w:r>
        <w:t xml:space="preserve"> </w:t>
      </w:r>
      <w:r>
        <w:rPr>
          <w:rStyle w:val="VerbatimChar"/>
        </w:rPr>
        <w:t xml:space="preserve">mdl_seq</w:t>
      </w:r>
      <w:r>
        <w:t xml:space="preserve">) is rewritten to</w:t>
      </w:r>
      <w:r>
        <w:t xml:space="preserve"> </w:t>
      </w:r>
      <w:r>
        <w:rPr>
          <w:rStyle w:val="VerbatimChar"/>
        </w:rPr>
        <w:t xml:space="preserve">sp</w:t>
      </w:r>
      <w:r>
        <w:t xml:space="preserve"> </w:t>
      </w:r>
      <w:r>
        <w:t xml:space="preserve">(and</w:t>
      </w:r>
      <w:r>
        <w:t xml:space="preserve"> </w:t>
      </w:r>
      <w:r>
        <w:rPr>
          <w:rStyle w:val="VerbatimChar"/>
        </w:rPr>
        <w:t xml:space="preserve">in</w:t>
      </w:r>
      <w:r>
        <w:t xml:space="preserve"> </w:t>
      </w:r>
      <w:r>
        <w:t xml:space="preserve">when it named an input) when the Atlas loads.</w:t>
      </w:r>
    </w:p>
    <w:bookmarkEnd w:id="518"/>
    <w:bookmarkStart w:id="527" w:name="sec-atlas-flower-table"/>
    <w:p>
      <w:pPr>
        <w:pStyle w:val="Heading2"/>
      </w:pPr>
      <w:r>
        <w:t xml:space="preserve">21.8 Details and Table</w:t>
      </w:r>
    </w:p>
    <w:p>
      <w:pPr>
        <w:pStyle w:val="FirstParagraph"/>
      </w:pPr>
      <w:r>
        <w:rPr>
          <w:b/>
          <w:bCs/>
        </w:rPr>
        <w:t xml:space="preserve">Details</w:t>
      </w:r>
      <w:r>
        <w:t xml:space="preserve"> </w:t>
      </w:r>
      <w:r>
        <w:t xml:space="preserve">(the rail’s second tool) describes what was last clicked, and is the same tool in both</w:t>
      </w:r>
      <w:r>
        <w:t xml:space="preserve"> </w:t>
      </w:r>
      <w:r>
        <w:t xml:space="preserve">lenses. In the Scores lens it is the</w:t>
      </w:r>
      <w:r>
        <w:t xml:space="preserve"> </w:t>
      </w:r>
      <w:r>
        <w:rPr>
          <w:b/>
          <w:bCs/>
        </w:rPr>
        <w:t xml:space="preserve">Flower plot</w:t>
      </w:r>
      <w:r>
        <w:t xml:space="preserve"> </w:t>
      </w:r>
      <w:r>
        <w:t xml:space="preserve">for the clicked cell or Program Area, headed by</w:t>
      </w:r>
      <w:r>
        <w:t xml:space="preserve"> </w:t>
      </w:r>
      <w:r>
        <w:t xml:space="preserve">its subject (</w:t>
      </w:r>
      <w:r>
        <w:t xml:space="preserve">“Cell 3372565 · 28.275° N, 83.575° W”</w:t>
      </w:r>
      <w:r>
        <w:t xml:space="preserve"> </w:t>
      </w:r>
      <w:r>
        <w:t xml:space="preserve">or the Program Area’s full name), with</w:t>
      </w:r>
      <w:r>
        <w:t xml:space="preserve"> </w:t>
      </w:r>
      <w:r>
        <w:rPr>
          <w:b/>
          <w:bCs/>
        </w:rPr>
        <w:t xml:space="preserve">Add to</w:t>
      </w:r>
      <w:r>
        <w:rPr>
          <w:b/>
          <w:bCs/>
        </w:rPr>
        <w:t xml:space="preserve"> </w:t>
      </w:r>
      <w:r>
        <w:rPr>
          <w:b/>
          <w:bCs/>
        </w:rPr>
        <w:t xml:space="preserve">report</w:t>
      </w:r>
      <w:r>
        <w:t xml:space="preserve"> </w:t>
      </w:r>
      <w:r>
        <w:t xml:space="preserve">and</w:t>
      </w:r>
      <w:r>
        <w:t xml:space="preserve"> </w:t>
      </w:r>
      <w:r>
        <w:rPr>
          <w:b/>
          <w:bCs/>
        </w:rPr>
        <w:t xml:space="preserve">Open table</w:t>
      </w:r>
      <w:r>
        <w:t xml:space="preserve"> </w:t>
      </w:r>
      <w:r>
        <w:t xml:space="preserve">buttons; with nothing clicked it shows the flower for All US waters. In</w:t>
      </w:r>
      <w:r>
        <w:t xml:space="preserve"> </w:t>
      </w:r>
      <w:r>
        <w:t xml:space="preserve">the Species lens it is the species’ information (see the Species lens above). A drawn place’s flower</w:t>
      </w:r>
      <w:r>
        <w:t xml:space="preserve"> </w:t>
      </w:r>
      <w:r>
        <w:t xml:space="preserve">and species table live in the Report tool’s results panel instead (</w:t>
      </w:r>
      <w:hyperlink w:anchor="sec-atlas-places">
        <w:r>
          <w:rPr>
            <w:rStyle w:val="Hyperlink"/>
          </w:rPr>
          <w:t xml:space="preserve">Section 21.6</w:t>
        </w:r>
      </w:hyperlink>
      <w:r>
        <w:t xml:space="preserv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522" w:name="fig-atlas-flower"/>
          <w:p>
            <w:pPr>
              <w:pStyle w:val="Compact"/>
              <w:jc w:val="center"/>
            </w:pPr>
            <w:r>
              <w:drawing>
                <wp:inline>
                  <wp:extent cx="5334000" cy="3333750"/>
                  <wp:effectExtent b="0" l="0" r="0" t="0"/>
                  <wp:docPr descr="" title="" id="520" name="Picture"/>
                  <a:graphic>
                    <a:graphicData uri="http://schemas.openxmlformats.org/drawingml/2006/picture">
                      <pic:pic>
                        <pic:nvPicPr>
                          <pic:cNvPr descr="images/atlas/desktop-flower.png" id="521" name="Picture"/>
                          <pic:cNvPicPr>
                            <a:picLocks noChangeArrowheads="1" noChangeAspect="1"/>
                          </pic:cNvPicPr>
                        </pic:nvPicPr>
                        <pic:blipFill>
                          <a:blip r:embed="rId51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21.10: The Details tool for a clicked cell in the Gulf of America: one petal per score component, and the values table below it. The panel is headed by the cell’s subject line, with Add to report and Open table buttons above the flower; the map shows the cell’s popup (score 50). The click, aimed at 28.3° N, 83.6° W, landed in cell 3369460 (centre 28.325° N, 83.675° W). Atlas 0.10.91, release v7, 2026-10-16.</w:t>
            </w:r>
          </w:p>
          <w:bookmarkEnd w:id="522"/>
        </w:tc>
      </w:tr>
    </w:tbl>
    <w:p>
      <w:pPr>
        <w:pStyle w:val="BodyText"/>
      </w:pPr>
      <w:r>
        <w:rPr>
          <w:b/>
          <w:bCs/>
        </w:rPr>
        <w:t xml:space="preserve">Table</w:t>
      </w:r>
      <w:r>
        <w:t xml:space="preserve"> </w:t>
      </w:r>
      <w:r>
        <w:t xml:space="preserve">takes the whole stage beside the rail, with a one-row header: a</w:t>
      </w:r>
      <w:r>
        <w:t xml:space="preserve"> </w:t>
      </w:r>
      <w:r>
        <w:rPr>
          <w:b/>
          <w:bCs/>
        </w:rPr>
        <w:t xml:space="preserve">← Map</w:t>
      </w:r>
      <w:r>
        <w:t xml:space="preserve"> </w:t>
      </w:r>
      <w:r>
        <w:t xml:space="preserve">button that collapses the panel, what is shown (</w:t>
      </w:r>
      <w:r>
        <w:t xml:space="preserve">“Species in Cell …”</w:t>
      </w:r>
      <w:r>
        <w:t xml:space="preserve">,</w:t>
      </w:r>
      <w:r>
        <w:t xml:space="preserve"> </w:t>
      </w:r>
      <w:r>
        <w:t xml:space="preserve">“Species in All US waters”</w:t>
      </w:r>
      <w:r>
        <w:t xml:space="preserve">,</w:t>
      </w:r>
      <w:r>
        <w:t xml:space="preserve"> </w:t>
      </w:r>
      <w:r>
        <w:t xml:space="preserve">“Species for 2 places”</w:t>
      </w:r>
      <w:r>
        <w:t xml:space="preserve">), the column glossary and the CSV download. In the Species lens the Table lists the species’</w:t>
      </w:r>
      <w:r>
        <w:t xml:space="preserve"> </w:t>
      </w:r>
      <w:r>
        <w:rPr>
          <w:b/>
          <w:bCs/>
        </w:rPr>
        <w:t xml:space="preserve">model inputs</w:t>
      </w:r>
      <w:r>
        <w:t xml:space="preserve"> </w:t>
      </w:r>
      <w:r>
        <w:t xml:space="preserve">instead (with its own CSV download). In the Scores lens it opens three underline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526" w:name="fig-atlas-table"/>
          <w:p>
            <w:pPr>
              <w:pStyle w:val="Compact"/>
              <w:jc w:val="center"/>
            </w:pPr>
            <w:r>
              <w:drawing>
                <wp:inline>
                  <wp:extent cx="5334000" cy="3333750"/>
                  <wp:effectExtent b="0" l="0" r="0" t="0"/>
                  <wp:docPr descr="" title="" id="524" name="Picture"/>
                  <a:graphic>
                    <a:graphicData uri="http://schemas.openxmlformats.org/drawingml/2006/picture">
                      <pic:pic>
                        <pic:nvPicPr>
                          <pic:cNvPr descr="images/atlas/desktop-table.png" id="525" name="Picture"/>
                          <pic:cNvPicPr>
                            <a:picLocks noChangeArrowheads="1" noChangeAspect="1"/>
                          </pic:cNvPicPr>
                        </pic:nvPicPr>
                        <pic:blipFill>
                          <a:blip r:embed="rId52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21.11: The Table tool’s Species tab for the clicked cell in</w:t>
            </w:r>
            <w:r>
              <w:t xml:space="preserve"> </w:t>
            </w:r>
            <w:hyperlink w:anchor="fig-atlas-flower">
              <w:r>
                <w:rPr>
                  <w:rStyle w:val="Hyperlink"/>
                </w:rPr>
                <w:t xml:space="preserve">Figure 21.10</w:t>
              </w:r>
            </w:hyperlink>
            <w:r>
              <w:t xml:space="preserve">. The Table fills the whole stage beside the rail, with a single header row (← Map, the subject, Species · Zones · Composition tabs, a glossary button and a CSV download). Atlas 0.10.91, release v7, 2026-10-16.</w:t>
            </w:r>
          </w:p>
          <w:bookmarkEnd w:id="526"/>
        </w:tc>
      </w:tr>
    </w:tbl>
    <w:bookmarkEnd w:id="527"/>
    <w:bookmarkStart w:id="536" w:name="report"/>
    <w:p>
      <w:pPr>
        <w:pStyle w:val="Heading2"/>
      </w:pPr>
      <w:r>
        <w:t xml:space="preserve">21.9 Report</w:t>
      </w:r>
    </w:p>
    <w:p>
      <w:pPr>
        <w:pStyle w:val="FirstParagraph"/>
      </w:pPr>
      <w:r>
        <w:t xml:space="preserve">The</w:t>
      </w:r>
      <w:r>
        <w:t xml:space="preserve"> </w:t>
      </w:r>
      <w:r>
        <w:rPr>
          <w:b/>
          <w:bCs/>
        </w:rPr>
        <w:t xml:space="preserve">Open report</w:t>
      </w:r>
      <w:r>
        <w:t xml:space="preserve"> </w:t>
      </w:r>
      <w:r>
        <w:t xml:space="preserve">button 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w:t>
      </w:r>
      <w:r>
        <w:t xml:space="preserve"> </w:t>
      </w:r>
      <w:r>
        <w:t xml:space="preserve">it reports the single selected Program Area, or the single clicked cell (its square, the same place</w:t>
      </w:r>
      <w:r>
        <w:t xml:space="preserve"> </w:t>
      </w:r>
      <w:r>
        <w:rPr>
          <w:b/>
          <w:bCs/>
        </w:rPr>
        <w:t xml:space="preserve">Add</w:t>
      </w:r>
      <w:r>
        <w:t xml:space="preserve"> </w:t>
      </w:r>
      <w:r>
        <w:t xml:space="preserve">puts in the list); with none of these, it is disabled and the footer says</w:t>
      </w:r>
      <w:r>
        <w:t xml:space="preserve"> </w:t>
      </w:r>
      <w:r>
        <w:t xml:space="preserve">“Add a place to open</w:t>
      </w:r>
      <w:r>
        <w:t xml:space="preserve"> </w:t>
      </w:r>
      <w:r>
        <w:t xml:space="preserve">a report.”</w:t>
      </w:r>
      <w:r>
        <w:t xml:space="preserve"> </w:t>
      </w:r>
      <w:r>
        <w:t xml:space="preserve">A row’s own</w:t>
      </w:r>
      <w:r>
        <w:t xml:space="preserve"> </w:t>
      </w:r>
      <w:r>
        <w:rPr>
          <w:b/>
          <w:bCs/>
        </w:rPr>
        <w:t xml:space="preserve">Open in report</w:t>
      </w:r>
      <w:r>
        <w:t xml:space="preserve"> </w:t>
      </w:r>
      <w:r>
        <w:t xml:space="preserve">reports just that row’s place. The report</w:t>
      </w:r>
      <w:r>
        <w:t xml:space="preserve"> </w:t>
      </w:r>
      <w:r>
        <w:t xml:space="preserve">opens in a new tab and renders progressively as its data arrives:</w:t>
      </w:r>
    </w:p>
    <w:p>
      <w:pPr>
        <w:pStyle w:val="Compact"/>
        <w:numPr>
          <w:ilvl w:val="0"/>
          <w:numId w:val="1057"/>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57"/>
        </w:numPr>
      </w:pPr>
      <w:r>
        <w:t xml:space="preserve">an</w:t>
      </w:r>
      <w:r>
        <w:t xml:space="preserve"> </w:t>
      </w:r>
      <w:r>
        <w:rPr>
          <w:b/>
          <w:bCs/>
        </w:rPr>
        <w:t xml:space="preserve">introduction</w:t>
      </w:r>
      <w:r>
        <w:t xml:space="preserve">;</w:t>
      </w:r>
    </w:p>
    <w:p>
      <w:pPr>
        <w:pStyle w:val="Compact"/>
        <w:numPr>
          <w:ilvl w:val="0"/>
          <w:numId w:val="1057"/>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57"/>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57"/>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57"/>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57"/>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57"/>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57"/>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531" w:name="fig-atlas-report"/>
          <w:p>
            <w:pPr>
              <w:pStyle w:val="Compact"/>
              <w:jc w:val="center"/>
            </w:pPr>
            <w:r>
              <w:drawing>
                <wp:inline>
                  <wp:extent cx="5334000" cy="3333750"/>
                  <wp:effectExtent b="0" l="0" r="0" t="0"/>
                  <wp:docPr descr="" title="" id="529" name="Picture"/>
                  <a:graphic>
                    <a:graphicData uri="http://schemas.openxmlformats.org/drawingml/2006/picture">
                      <pic:pic>
                        <pic:nvPicPr>
                          <pic:cNvPr descr="images/atlas/desktop-report.png" id="530" name="Picture"/>
                          <pic:cNvPicPr>
                            <a:picLocks noChangeArrowheads="1" noChangeAspect="1"/>
                          </pic:cNvPicPr>
                        </pic:nvPicPr>
                        <pic:blipFill>
                          <a:blip r:embed="rId52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21.12: The report document for the Program Area GAA, opened from the Report tool’s</w:t>
            </w:r>
            <w:r>
              <w:t xml:space="preserve"> </w:t>
            </w:r>
            <w:r>
              <w:rPr>
                <w:b/>
                <w:bCs/>
              </w:rPr>
              <w:t xml:space="preserve">Open report</w:t>
            </w:r>
            <w:r>
              <w:t xml:space="preserve"> </w:t>
            </w:r>
            <w:r>
              <w:t xml:space="preserve">button in a new tab: the export buttons, the MMA seal, a release chip, a permalink and QR code, the Introduction, a Parameters disclosure and the start of the interactive map. The title is the default</w:t>
            </w:r>
            <w:r>
              <w:t xml:space="preserve"> </w:t>
            </w:r>
            <w:r>
              <w:t xml:space="preserve">“Marine Sensitivity Report”</w:t>
            </w:r>
            <w:r>
              <w:t xml:space="preserve"> </w:t>
            </w:r>
            <w:r>
              <w:t xml:space="preserve">because the link carries no</w:t>
            </w:r>
            <w:r>
              <w:t xml:space="preserve"> </w:t>
            </w:r>
            <w:r>
              <w:rPr>
                <w:rStyle w:val="VerbatimChar"/>
              </w:rPr>
              <w:t xml:space="preserve">t=</w:t>
            </w:r>
            <w:r>
              <w:t xml:space="preserve"> </w:t>
            </w:r>
            <w:r>
              <w:t xml:space="preserve">title. Atlas 0.10.92, release v7, 2026-10-16.</w:t>
            </w:r>
          </w:p>
          <w:bookmarkEnd w:id="53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5" w:name="fig-atlas-report-scores"/>
          <w:p>
            <w:pPr>
              <w:pStyle w:val="Compact"/>
              <w:jc w:val="center"/>
            </w:pPr>
            <w:r>
              <w:drawing>
                <wp:inline>
                  <wp:extent cx="5334000" cy="3333750"/>
                  <wp:effectExtent b="0" l="0" r="0" t="0"/>
                  <wp:docPr descr="" title="" id="533" name="Picture"/>
                  <a:graphic>
                    <a:graphicData uri="http://schemas.openxmlformats.org/drawingml/2006/picture">
                      <pic:pic>
                        <pic:nvPicPr>
                          <pic:cNvPr descr="images/atlas/desktop-report-scores.png" id="534" name="Picture"/>
                          <pic:cNvPicPr>
                            <a:picLocks noChangeArrowheads="1" noChangeAspect="1"/>
                          </pic:cNvPicPr>
                        </pic:nvPicPr>
                        <pic:blipFill>
                          <a:blip r:embed="rId53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21.13: The report’s Table of Scores and the start of the Summary of Species, for the same Program Area (GOA Program Area A, GAA). The species-count table’s extinction-risk headings take two lines (code over score) so all of its columns fit the page. Atlas 0.10.92, release v7, 2026-10-16.</w:t>
            </w:r>
          </w:p>
          <w:bookmarkEnd w:id="535"/>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536"/>
    <w:bookmarkStart w:id="539" w:name="accessibility-and-performance-notes"/>
    <w:p>
      <w:pPr>
        <w:pStyle w:val="Heading2"/>
      </w:pPr>
      <w:r>
        <w:t xml:space="preserve">21.10 Accessibility and performance notes</w:t>
      </w:r>
    </w:p>
    <w:p>
      <w:pPr>
        <w:pStyle w:val="FirstParagraph"/>
      </w:pPr>
      <w:r>
        <w:t xml:space="preserve">The Atlas ships a written</w:t>
      </w:r>
      <w:r>
        <w:t xml:space="preserve"> </w:t>
      </w:r>
      <w:hyperlink r:id="rId537">
        <w:r>
          <w:rPr>
            <w:rStyle w:val="Hyperlink"/>
          </w:rPr>
          <w:t xml:space="preserve">WCAG 2.1 conformance note</w:t>
        </w:r>
      </w:hyperlink>
      <w:r>
        <w:t xml:space="preserve"> </w:t>
      </w:r>
      <w:r>
        <w:t xml:space="preserve">and a</w:t>
      </w:r>
      <w:r>
        <w:t xml:space="preserve"> </w:t>
      </w:r>
      <w:hyperlink r:id="rId538">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(it has been 460 KB since 0.10.89), plus</w:t>
      </w:r>
      <w:r>
        <w:t xml:space="preserve"> </w:t>
      </w:r>
      <w:r>
        <w:rPr>
          <w:b/>
          <w:bCs/>
        </w:rPr>
        <w:t xml:space="preserve">~140 KB</w:t>
      </w:r>
      <w:r>
        <w:t xml:space="preserve"> </w:t>
      </w:r>
      <w:r>
        <w:t xml:space="preserve">for the MapLibre worker</w:t>
      </w:r>
      <w:r>
        <w:t xml:space="preserve"> </w:t>
      </w:r>
      <w:r>
        <w:t xml:space="preserve">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The</w:t>
      </w:r>
      <w:r>
        <w:t xml:space="preserve"> </w:t>
      </w:r>
      <w:r>
        <w:t xml:space="preserve">measured numbers may have moved since; see the linked reports for current ones.</w:t>
      </w:r>
    </w:p>
    <w:bookmarkEnd w:id="539"/>
    <w:bookmarkStart w:id="540" w:name="when-a-service-is-down"/>
    <w:p>
      <w:pPr>
        <w:pStyle w:val="Heading2"/>
      </w:pPr>
      <w:r>
        <w:t xml:space="preserve">21.11 When a service is down</w:t>
      </w:r>
    </w:p>
    <w:p>
      <w:pPr>
        <w:pStyle w:val="FirstParagraph"/>
      </w:pPr>
      <w:r>
        <w:t xml:space="preserve">Since 0.10.58,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banner — since 0.10.62 it sits in the map stage, below the top bar, so it never covers</w:t>
      </w:r>
      <w:r>
        <w:t xml:space="preserve"> </w:t>
      </w:r>
      <w:r>
        <w:t xml:space="preserve">the top bar’s controls —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540"/>
    <w:bookmarkStart w:id="545" w:name="feedback-and-versions"/>
    <w:p>
      <w:pPr>
        <w:pStyle w:val="Heading2"/>
      </w:pPr>
      <w:r>
        <w:t xml:space="preserve">21.12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retired Shiny</w:t>
      </w:r>
      <w:r>
        <w:t xml:space="preserve"> </w:t>
      </w:r>
      <w:r>
        <w:rPr>
          <w:rStyle w:val="VerbatimChar"/>
        </w:rPr>
        <w:t xml:space="preserve">scores</w:t>
      </w:r>
      <w:r>
        <w:t xml:space="preserve">/</w:t>
      </w:r>
      <w:r>
        <w:rPr>
          <w:rStyle w:val="VerbatimChar"/>
        </w:rPr>
        <w:t xml:space="preserve">species</w:t>
      </w:r>
      <w:r>
        <w:t xml:space="preserve"> </w:t>
      </w:r>
      <w:r>
        <w:t xml:space="preserve">apps also wrote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reads, for example,</w:t>
      </w:r>
      <w:r>
        <w:t xml:space="preserve"> </w:t>
      </w:r>
      <w:r>
        <w:t xml:space="preserve">“v9 is a pre-release under review and is not shown on this</w:t>
      </w:r>
      <w:r>
        <w:t xml:space="preserve"> </w:t>
      </w:r>
      <w:r>
        <w:t xml:space="preserve">host”</w:t>
      </w:r>
      <w:r>
        <w:t xml:space="preserve"> </w:t>
      </w:r>
      <w:r>
        <w:t xml:space="preserve">and offers</w:t>
      </w:r>
      <w:r>
        <w:t xml:space="preserve"> </w:t>
      </w:r>
      <w:r>
        <w:t xml:space="preserve">“Continue on the preview host”</w:t>
      </w:r>
      <w:r>
        <w:t xml:space="preserve"> </w:t>
      </w:r>
      <w:r>
        <w:t xml:space="preserve">(a link straight to that release’s Atlas there, at</w:t>
      </w:r>
      <w:r>
        <w:t xml:space="preserve"> </w:t>
      </w:r>
      <w:r>
        <w:rPr>
          <w:rStyle w:val="VerbatimChar"/>
        </w:rPr>
        <w:t xml:space="preserve">https://preview.marinesensitivity.org/v9/atlas/?ver=v9</w:t>
      </w:r>
      <w:r>
        <w:t xml:space="preserve">), an unrecognized 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544" w:name="fig-atlas-versions"/>
          <w:p>
            <w:pPr>
              <w:pStyle w:val="Compact"/>
              <w:jc w:val="center"/>
            </w:pPr>
            <w:r>
              <w:drawing>
                <wp:inline>
                  <wp:extent cx="5334000" cy="3333750"/>
                  <wp:effectExtent b="0" l="0" r="0" t="0"/>
                  <wp:docPr descr="" title="" id="542" name="Picture"/>
                  <a:graphic>
                    <a:graphicData uri="http://schemas.openxmlformats.org/drawingml/2006/picture">
                      <pic:pic>
                        <pic:nvPicPr>
                          <pic:cNvPr descr="images/atlas/desktop-version-picker.png" id="543" name="Picture"/>
                          <pic:cNvPicPr>
                            <a:picLocks noChangeArrowheads="1" noChangeAspect="1"/>
                          </pic:cNvPicPr>
                        </pic:nvPicPr>
                        <pic:blipFill>
                          <a:blip r:embed="rId54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21.14: The release picker (the release chip’s dialog), listing v7c, v7b, v9 and v8 as restricted pre-releases each with a Continue on the preview host link, v7 as current, and v6 down to v1 as retired, each with a Switch link and a date. Atlas 0.10.91, release v7, 2026-10-16.</w:t>
            </w:r>
          </w:p>
          <w:bookmarkEnd w:id="544"/>
        </w:tc>
      </w:tr>
    </w:tbl>
    <w:bookmarkEnd w:id="545"/>
    <w:bookmarkStart w:id="546" w:name="known-limitations-as-of-0.10.93"/>
    <w:p>
      <w:pPr>
        <w:pStyle w:val="Heading2"/>
      </w:pPr>
      <w:r>
        <w:t xml:space="preserve">21.13 Known limitations (as of 0.10.93)</w:t>
      </w:r>
    </w:p>
    <w:p>
      <w:pPr>
        <w:pStyle w:val="Compact"/>
        <w:numPr>
          <w:ilvl w:val="0"/>
          <w:numId w:val="1058"/>
        </w:numPr>
      </w:pPr>
      <w:r>
        <w:t xml:space="preserve">In v7, 1,873 of the 2,619</w:t>
      </w:r>
      <w:r>
        <w:t xml:space="preserve"> </w:t>
      </w:r>
      <w:r>
        <w:rPr>
          <w:rStyle w:val="VerbatimChar"/>
        </w:rPr>
        <w:t xml:space="preserve">rng_iucn</w:t>
      </w:r>
      <w:r>
        <w:t xml:space="preserve"> </w:t>
      </w:r>
      <w:r>
        <w:t xml:space="preserve">range inputs have no model-asset registry row, so their pills</w:t>
      </w:r>
      <w:r>
        <w:t xml:space="preserve"> </w:t>
      </w:r>
      <w:r>
        <w:t xml:space="preserve">in the Species lens show struck through (as they did in the retired Species Shiny app); every other</w:t>
      </w:r>
      <w:r>
        <w:t xml:space="preserve"> </w:t>
      </w:r>
      <w:r>
        <w:t xml:space="preserve">input of v3, v6 and v7 resolves. The other pre-v8 releases (v1, v2, v4, v4b, v5, v7b, v7c) were</w:t>
      </w:r>
      <w:r>
        <w:t xml:space="preserve"> </w:t>
      </w:r>
      <w:r>
        <w:t xml:space="preserve">not checked for this chapter.</w:t>
      </w:r>
    </w:p>
    <w:p>
      <w:pPr>
        <w:pStyle w:val="Compact"/>
        <w:numPr>
          <w:ilvl w:val="0"/>
          <w:numId w:val="1058"/>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58"/>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58"/>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58"/>
        </w:numPr>
      </w:pPr>
      <w:r>
        <w:t xml:space="preserve">The Atlas’s report is a print-first document built and exported entirely client-side</w:t>
      </w:r>
      <w:r>
        <w:t xml:space="preserve"> </w:t>
      </w:r>
      <w:r>
        <w:t xml:space="preserve">(HTML/ZIP/DOCX from the same source), not the retired Shiny apps’ report.</w:t>
      </w:r>
    </w:p>
    <w:bookmarkEnd w:id="546"/>
    <w:bookmarkStart w:id="548" w:name="generating-screenshots"/>
    <w:p>
      <w:pPr>
        <w:pStyle w:val="Heading2"/>
      </w:pPr>
      <w:r>
        <w:t xml:space="preserve">21.14 Generating Screenshots</w:t>
      </w:r>
    </w:p>
    <w:p>
      <w:pPr>
        <w:pStyle w:val="FirstParagraph"/>
      </w:pPr>
      <w:r>
        <w:t xml:space="preserve">Every figure in this chapter was recaptured on 2026-10-16 from the live Atlas (0.10.91, release v7,</w:t>
      </w:r>
      <w:r>
        <w:t xml:space="preserve"> </w:t>
      </w:r>
      <w:r>
        <w:t xml:space="preserve">dark theme;</w:t>
      </w:r>
      <w:r>
        <w:t xml:space="preserve"> </w:t>
      </w:r>
      <w:hyperlink w:anchor="fig-atlas-places">
        <w:r>
          <w:rPr>
            <w:rStyle w:val="Hyperlink"/>
          </w:rPr>
          <w:t xml:space="preserve">Figure 21.6</w:t>
        </w:r>
      </w:hyperlink>
      <w:r>
        <w:t xml:space="preserve">,</w:t>
      </w:r>
      <w:r>
        <w:t xml:space="preserve"> </w:t>
      </w:r>
      <w:hyperlink w:anchor="fig-atlas-share-ladder">
        <w:r>
          <w:rPr>
            <w:rStyle w:val="Hyperlink"/>
          </w:rPr>
          <w:t xml:space="preserve">Figure 21.9</w:t>
        </w:r>
      </w:hyperlink>
      <w:r>
        <w:t xml:space="preserve">,</w:t>
      </w:r>
      <w:r>
        <w:t xml:space="preserve"> </w:t>
      </w:r>
      <w:hyperlink w:anchor="fig-atlas-report">
        <w:r>
          <w:rPr>
            <w:rStyle w:val="Hyperlink"/>
          </w:rPr>
          <w:t xml:space="preserve">Figure 21.12</w:t>
        </w:r>
      </w:hyperlink>
      <w:r>
        <w:t xml:space="preserve"> </w:t>
      </w:r>
      <w:r>
        <w:t xml:space="preserve">and</w:t>
      </w:r>
      <w:r>
        <w:t xml:space="preserve"> </w:t>
      </w:r>
      <w:hyperlink w:anchor="fig-atlas-report-scores">
        <w:r>
          <w:rPr>
            <w:rStyle w:val="Hyperlink"/>
          </w:rPr>
          <w:t xml:space="preserve">Figure 21.13</w:t>
        </w:r>
      </w:hyperlink>
      <w:r>
        <w:t xml:space="preserve"> </w:t>
      </w:r>
      <w:r>
        <w:t xml:space="preserve">from 0.10.92 later that day, after its Report fixes) with Playwright’s Chromium: desktop at 1280×800 and 1x, phone at 390×844 and 2x with</w:t>
      </w:r>
      <w:r>
        <w:t xml:space="preserve"> </w:t>
      </w:r>
      <w:r>
        <w:t xml:space="preserve">touch, at</w:t>
      </w:r>
      <w:r>
        <w:t xml:space="preserve"> </w:t>
      </w:r>
      <w:r>
        <w:rPr>
          <w:rStyle w:val="VerbatimChar"/>
        </w:rPr>
        <w:t xml:space="preserve">https://marinesensitivity.org/atlas/</w:t>
      </w:r>
      <w:r>
        <w:t xml:space="preserve">. The atlas repository’s own</w:t>
      </w:r>
      <w:r>
        <w:t xml:space="preserve"> </w:t>
      </w:r>
      <w:r>
        <w:rPr>
          <w:rStyle w:val="VerbatimChar"/>
        </w:rPr>
        <w:t xml:space="preserve">scripts/eyes-shots.mjs</w:t>
      </w:r>
      <w:r>
        <w:t xml:space="preserve"> </w:t>
      </w:r>
      <w:r>
        <w:t xml:space="preserve">covers the standard states (about 20 numbered shots per viewport) and was run against the live site:</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VariableTok"/>
        </w:rPr>
        <w:t xml:space="preserve">ONLY</w:t>
      </w:r>
      <w:r>
        <w:rPr>
          <w:rStyle w:val="OperatorTok"/>
        </w:rPr>
        <w:t xml:space="preserve">=</w:t>
      </w:r>
      <w:r>
        <w:rPr>
          <w:rStyle w:val="NormalTok"/>
        </w:rPr>
        <w:t xml:space="preserve">map,layers,more </w:t>
      </w:r>
      <w:r>
        <w:rPr>
          <w:rStyle w:val="ExtensionTok"/>
        </w:rPr>
        <w:t xml:space="preserve">node</w:t>
      </w:r>
      <w:r>
        <w:rPr>
          <w:rStyle w:val="NormalTok"/>
        </w:rPr>
        <w:t xml:space="preserve"> scripts/eyes-shots.mjs</w:t>
      </w:r>
    </w:p>
    <w:p>
      <w:pPr>
        <w:pStyle w:val="FirstParagraph"/>
      </w:pPr>
      <w:r>
        <w:t xml:space="preserve">It does not reach every state in this chapter, so the figures were taken by one driver script</w:t>
      </w:r>
      <w:r>
        <w:t xml:space="preserve"> </w:t>
      </w:r>
      <w:r>
        <w:t xml:space="preserve">(</w:t>
      </w:r>
      <w:r>
        <w:rPr>
          <w:rStyle w:val="VerbatimChar"/>
        </w:rPr>
        <w:t xml:space="preserve">figs.mjs</w:t>
      </w:r>
      <w:r>
        <w:t xml:space="preserve">, kept outside both repositories) that uses the same helpers (</w:t>
      </w:r>
      <w:r>
        <w:rPr>
          <w:rStyle w:val="VerbatimChar"/>
        </w:rPr>
        <w:t xml:space="preserve">go</w:t>
      </w:r>
      <w:r>
        <w:t xml:space="preserve">,</w:t>
      </w:r>
      <w:r>
        <w:t xml:space="preserve"> </w:t>
      </w:r>
      <w:r>
        <w:rPr>
          <w:rStyle w:val="VerbatimChar"/>
        </w:rPr>
        <w:t xml:space="preserve">explore</w:t>
      </w:r>
      <w:r>
        <w:t xml:space="preserve">,</w:t>
      </w:r>
      <w:r>
        <w:t xml:space="preserve"> </w:t>
      </w:r>
      <w:r>
        <w:rPr>
          <w:rStyle w:val="VerbatimChar"/>
        </w:rPr>
        <w:t xml:space="preserve">tool</w:t>
      </w:r>
      <w:r>
        <w:t xml:space="preserve">, and</w:t>
      </w:r>
      <w:r>
        <w:t xml:space="preserve"> </w:t>
      </w:r>
      <w:r>
        <w:rPr>
          <w:rStyle w:val="VerbatimChar"/>
        </w:rPr>
        <w:t xml:space="preserve">screenPointFor</w:t>
      </w:r>
      <w:r>
        <w:t xml:space="preserve"> </w:t>
      </w:r>
      <w:r>
        <w:t xml:space="preserve">to click a map coordinate by projecting it) and loads each state from a URL or</w:t>
      </w:r>
      <w:r>
        <w:t xml:space="preserve"> </w:t>
      </w:r>
      <w:r>
        <w:t xml:space="preserve">UI steps:</w:t>
      </w:r>
      <w:r>
        <w:t xml:space="preserve"> </w:t>
      </w:r>
      <w:r>
        <w:rPr>
          <w:rStyle w:val="VerbatimChar"/>
        </w:rPr>
        <w:t xml:space="preserve">?ver=v7&amp;theme=dark</w:t>
      </w:r>
      <w:r>
        <w:t xml:space="preserve"> </w:t>
      </w:r>
      <w:r>
        <w:t xml:space="preserve">for the map, Layers, the version picker and the phone figures (the</w:t>
      </w:r>
      <w:r>
        <w:t xml:space="preserve"> </w:t>
      </w:r>
      <w:r>
        <w:t xml:space="preserve">release chip opens the picker,</w:t>
      </w:r>
      <w:r>
        <w:t xml:space="preserve"> </w:t>
      </w:r>
      <w:r>
        <w:rPr>
          <w:b/>
          <w:bCs/>
        </w:rPr>
        <w:t xml:space="preserve">More</w:t>
      </w:r>
      <w:r>
        <w:t xml:space="preserve"> </w:t>
      </w:r>
      <w:r>
        <w:t xml:space="preserve">the phone menu); a click at 28.3° N, 83.6° W for the flower</w:t>
      </w:r>
      <w:r>
        <w:t xml:space="preserve"> </w:t>
      </w:r>
      <w:r>
        <w:t xml:space="preserve">and the Table;</w:t>
      </w:r>
      <w:r>
        <w:t xml:space="preserve"> </w:t>
      </w:r>
      <w:r>
        <w:rPr>
          <w:rStyle w:val="VerbatimChar"/>
        </w:rPr>
        <w:t xml:space="preserve">?ver=v7&amp;lens=species</w:t>
      </w:r>
      <w:r>
        <w:t xml:space="preserve"> </w:t>
      </w:r>
      <w:r>
        <w:t xml:space="preserve">and a search for</w:t>
      </w:r>
      <w:r>
        <w:t xml:space="preserve"> </w:t>
      </w:r>
      <w:r>
        <w:t xml:space="preserve">“leatherback”</w:t>
      </w:r>
      <w:r>
        <w:t xml:space="preserve"> </w:t>
      </w:r>
      <w:r>
        <w:t xml:space="preserve">for the Species lens;</w:t>
      </w:r>
      <w:r>
        <w:t xml:space="preserve"> </w:t>
      </w:r>
      <w:r>
        <w:rPr>
          <w:rStyle w:val="VerbatimChar"/>
        </w:rPr>
        <w:t xml:space="preserve">#pl=z.pa.GAA</w:t>
      </w:r>
      <w:r>
        <w:t xml:space="preserve"> </w:t>
      </w:r>
      <w:r>
        <w:t xml:space="preserve">plus</w:t>
      </w:r>
      <w:r>
        <w:t xml:space="preserve"> </w:t>
      </w:r>
      <w:r>
        <w:rPr>
          <w:b/>
          <w:bCs/>
        </w:rPr>
        <w:t xml:space="preserve">Open report</w:t>
      </w:r>
      <w:r>
        <w:t xml:space="preserve"> </w:t>
      </w:r>
      <w:r>
        <w:t xml:space="preserve">(a new tab, then scrolled to the</w:t>
      </w:r>
      <w:r>
        <w:t xml:space="preserve"> </w:t>
      </w:r>
      <w:r>
        <w:rPr>
          <w:b/>
          <w:bCs/>
        </w:rPr>
        <w:t xml:space="preserve">Table of Scores</w:t>
      </w:r>
      <w:r>
        <w:t xml:space="preserve"> </w:t>
      </w:r>
      <w:r>
        <w:t xml:space="preserve">heading) for</w:t>
      </w:r>
      <w:r>
        <w:t xml:space="preserve"> </w:t>
      </w:r>
      <w:r>
        <w:t xml:space="preserve">the two report figures and the Share dialog;</w:t>
      </w:r>
      <w:r>
        <w:t xml:space="preserve"> </w:t>
      </w:r>
      <w:r>
        <w:rPr>
          <w:b/>
          <w:bCs/>
        </w:rPr>
        <w:t xml:space="preserve">Add a Program Area</w:t>
      </w:r>
      <w:r>
        <w:t xml:space="preserve"> </w:t>
      </w:r>
      <w:r>
        <w:t xml:space="preserve">(Aleutian Arc) plus</w:t>
      </w:r>
      <w:r>
        <w:t xml:space="preserve"> </w:t>
      </w:r>
      <w:r>
        <w:rPr>
          <w:b/>
          <w:bCs/>
        </w:rPr>
        <w:t xml:space="preserve">Enter</w:t>
      </w:r>
      <w:r>
        <w:rPr>
          <w:b/>
          <w:bCs/>
        </w:rPr>
        <w:t xml:space="preserve"> </w:t>
      </w:r>
      <w:r>
        <w:rPr>
          <w:b/>
          <w:bCs/>
        </w:rPr>
        <w:t xml:space="preserve">coordinates</w:t>
      </w:r>
      <w:r>
        <w:t xml:space="preserve"> </w:t>
      </w:r>
      <w:r>
        <w:t xml:space="preserve">(</w:t>
      </w:r>
      <w:r>
        <w:rPr>
          <w:rStyle w:val="VerbatimChar"/>
        </w:rPr>
        <w:t xml:space="preserve">-93, 26, -90, 29</w:t>
      </w:r>
      <w:r>
        <w:t xml:space="preserve">) for the places list; a single point (</w:t>
      </w:r>
      <w:r>
        <w:rPr>
          <w:rStyle w:val="VerbatimChar"/>
        </w:rPr>
        <w:t xml:space="preserve">-124.1, 40.2</w:t>
      </w:r>
      <w:r>
        <w:t xml:space="preserve">) for the</w:t>
      </w:r>
      <w:r>
        <w:t xml:space="preserve"> </w:t>
      </w:r>
      <w:r>
        <w:t xml:space="preserve">refusal; and a 3,600-vertex noisy outline pasted into</w:t>
      </w:r>
      <w:r>
        <w:t xml:space="preserve"> </w:t>
      </w:r>
      <w:r>
        <w:rPr>
          <w:b/>
          <w:bCs/>
        </w:rPr>
        <w:t xml:space="preserve">Enter coordinates</w:t>
      </w:r>
      <w:r>
        <w:t xml:space="preserve">, then</w:t>
      </w:r>
      <w:r>
        <w:t xml:space="preserve"> </w:t>
      </w:r>
      <w:r>
        <w:rPr>
          <w:b/>
          <w:bCs/>
        </w:rPr>
        <w:t xml:space="preserve">Share</w:t>
      </w:r>
      <w:r>
        <w:t xml:space="preserve">, for the</w:t>
      </w:r>
      <w:r>
        <w:t xml:space="preserve"> </w:t>
      </w:r>
      <w:r>
        <w:t xml:space="preserve">simplification ladder. Each PNG was then reduced with</w:t>
      </w:r>
      <w:r>
        <w:t xml:space="preserve"> </w:t>
      </w:r>
      <w:r>
        <w:rPr>
          <w:rStyle w:val="VerbatimChar"/>
        </w:rPr>
        <w:t xml:space="preserve">pngquant --quality=85-98</w:t>
      </w:r>
      <w:r>
        <w:t xml:space="preserve">. The guided-tour</w:t>
      </w:r>
      <w:r>
        <w:t xml:space="preserve"> </w:t>
      </w:r>
      <w:r>
        <w:t xml:space="preserve">images of the</w:t>
      </w:r>
      <w:r>
        <w:t xml:space="preserve"> </w:t>
      </w:r>
      <w:hyperlink r:id="rId547">
        <w:r>
          <w:rPr>
            <w:rStyle w:val="Hyperlink"/>
          </w:rPr>
          <w:t xml:space="preserve">Atlas user guide</w:t>
        </w:r>
      </w:hyperlink>
      <w:r>
        <w:t xml:space="preserve"> </w:t>
      </w:r>
      <w:r>
        <w:t xml:space="preserve">come from a different script,</w:t>
      </w:r>
      <w:r>
        <w:t xml:space="preserve"> </w:t>
      </w:r>
      <w:r>
        <w:rPr>
          <w:rStyle w:val="VerbatimChar"/>
        </w:rPr>
        <w:t xml:space="preserve">npm run tour:guide</w:t>
      </w:r>
      <w:r>
        <w:t xml:space="preserve"> </w:t>
      </w:r>
      <w:r>
        <w:t xml:space="preserve">(</w:t>
      </w:r>
      <w:r>
        <w:rPr>
          <w:rStyle w:val="VerbatimChar"/>
        </w:rPr>
        <w:t xml:space="preserve">scripts/tour-guide.mjs</w:t>
      </w:r>
      <w:r>
        <w:t xml:space="preserve">, from atlas 0.10.90).</w:t>
      </w:r>
    </w:p>
    <w:bookmarkEnd w:id="548"/>
    <w:bookmarkStart w:id="550" w:name="source-code"/>
    <w:p>
      <w:pPr>
        <w:pStyle w:val="Heading2"/>
      </w:pPr>
      <w:r>
        <w:t xml:space="preserve">21.15 Source Code</w:t>
      </w:r>
    </w:p>
    <w:p>
      <w:pPr>
        <w:pStyle w:val="FirstParagraph"/>
      </w:pPr>
      <w:hyperlink r:id="rId549">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 retired</w:t>
      </w:r>
      <w:r>
        <w:t xml:space="preserve"> </w:t>
      </w:r>
      <w:hyperlink r:id="rId472">
        <w:r>
          <w:rPr>
            <w:rStyle w:val="Hyperlink"/>
          </w:rPr>
          <w:t xml:space="preserve">Scores</w:t>
        </w:r>
      </w:hyperlink>
      <w:r>
        <w:t xml:space="preserve"> </w:t>
      </w:r>
      <w:r>
        <w:t xml:space="preserve">and</w:t>
      </w:r>
      <w:r>
        <w:t xml:space="preserve"> </w:t>
      </w:r>
      <w:hyperlink r:id="rId473">
        <w:r>
          <w:rPr>
            <w:rStyle w:val="Hyperlink"/>
          </w:rPr>
          <w:t xml:space="preserve">Species</w:t>
        </w:r>
      </w:hyperlink>
      <w:r>
        <w:t xml:space="preserve"> </w:t>
      </w:r>
      <w:r>
        <w:t xml:space="preserve">apps followed.</w:t>
      </w:r>
    </w:p>
    <w:bookmarkEnd w:id="550"/>
    <w:bookmarkEnd w:id="551"/>
    <w:bookmarkStart w:id="632" w:name="atlas-user-guide"/>
    <w:p>
      <w:pPr>
        <w:pStyle w:val="Heading1"/>
      </w:pPr>
      <w:r>
        <w:t xml:space="preserve">22. Atlas User Guide</w:t>
      </w:r>
    </w:p>
    <w:p>
      <w:pPr>
        <w:pStyle w:val="FirstParagraph"/>
      </w:pPr>
      <w:r>
        <w:t xml:space="preserve">Step-by-step walkthrough of the Atlas, one control at a time</w:t>
      </w:r>
    </w:p>
    <w:p>
      <w:pPr>
        <w:pStyle w:val="BodyText"/>
      </w:pPr>
      <w:r>
        <w:br/>
      </w:r>
    </w:p>
    <w:p>
      <w:pPr>
        <w:pStyle w:val="BodyText"/>
      </w:pPr>
      <w:r>
        <w:t xml:space="preserve">This guide walks through the</w:t>
      </w:r>
      <w:r>
        <w:t xml:space="preserve"> </w:t>
      </w:r>
      <w:r>
        <w:rPr>
          <w:b/>
          <w:bCs/>
        </w:rPr>
        <w:t xml:space="preserve">Atlas</w:t>
      </w:r>
      <w:r>
        <w:t xml:space="preserve"> </w:t>
      </w:r>
      <w:r>
        <w:t xml:space="preserve">(</w:t>
      </w:r>
      <w:hyperlink r:id="rId24">
        <w:r>
          <w:rPr>
            <w:rStyle w:val="Hyperlink"/>
          </w:rPr>
          <w:t xml:space="preserve">preview.marinesensitivity.org/v7b/atlas/</w:t>
        </w:r>
      </w:hyperlink>
      <w:r>
        <w:t xml:space="preserve">) one control at a</w:t>
      </w:r>
      <w:r>
        <w:t xml:space="preserve"> </w:t>
      </w:r>
      <w:r>
        <w:t xml:space="preserve">time. Each numbered step below mirrors a step in the Atlas’s built-in</w:t>
      </w:r>
      <w:r>
        <w:t xml:space="preserve"> </w:t>
      </w:r>
      <w:r>
        <w:rPr>
          <w:b/>
          <w:bCs/>
        </w:rPr>
        <w:t xml:space="preserve">Take a tour</w:t>
      </w:r>
      <w:r>
        <w:t xml:space="preserve"> </w:t>
      </w:r>
      <w:r>
        <w:t xml:space="preserve">(click</w:t>
      </w:r>
      <w:r>
        <w:t xml:space="preserve"> </w:t>
      </w:r>
      <w:r>
        <w:rPr>
          <w:b/>
          <w:bCs/>
        </w:rPr>
        <w:t xml:space="preserve">(?) Help › Take a tour</w:t>
      </w:r>
      <w:r>
        <w:t xml:space="preserve"> </w:t>
      </w:r>
      <w:r>
        <w:t xml:space="preserve">on a desktop, or</w:t>
      </w:r>
      <w:r>
        <w:t xml:space="preserve"> </w:t>
      </w:r>
      <w:r>
        <w:rPr>
          <w:b/>
          <w:bCs/>
        </w:rPr>
        <w:t xml:space="preserve">⋯ More › Take a tour</w:t>
      </w:r>
      <w:r>
        <w:t xml:space="preserve"> </w:t>
      </w:r>
      <w:r>
        <w:t xml:space="preserve">on a phone, to</w:t>
      </w:r>
      <w:r>
        <w:t xml:space="preserve"> </w:t>
      </w:r>
      <w:r>
        <w:t xml:space="preserve">walk the same path live), with the relevant control highlighted on the screenshot, and links</w:t>
      </w:r>
      <w:r>
        <w:t xml:space="preserve"> </w:t>
      </w:r>
      <w:r>
        <w:t xml:space="preserve">to open that step’s view in the Atlas itself.</w:t>
      </w:r>
    </w:p>
    <w:p>
      <w:pPr>
        <w:pStyle w:val="BodyText"/>
      </w:pPr>
      <w:r>
        <w:t xml:space="preserve">For a feature-by-feature reference instead, see the</w:t>
      </w:r>
      <w:r>
        <w:t xml:space="preserve"> </w:t>
      </w:r>
      <w:hyperlink w:anchor="Xdb7596251ccac05cc02bb08ef65d814effe7d92">
        <w:r>
          <w:rPr>
            <w:rStyle w:val="Hyperlink"/>
          </w:rPr>
          <w:t xml:space="preserve">Atlas</w:t>
        </w:r>
      </w:hyperlink>
      <w:r>
        <w:t xml:space="preserve"> </w:t>
      </w:r>
      <w:r>
        <w:t xml:space="preserve">chapter</w:t>
      </w:r>
      <w:r>
        <w:t xml:space="preserve"> </w:t>
      </w:r>
      <w:r>
        <w:t xml:space="preserve">(</w:t>
      </w:r>
      <w:hyperlink w:anchor="sec-app-atlas">
        <w:r>
          <w:rPr>
            <w:rStyle w:val="Hyperlink"/>
          </w:rPr>
          <w:t xml:space="preserve">Chapter 21</w:t>
        </w:r>
      </w:hyperlink>
      <w:r>
        <w:t xml:space="preserve">). The Scores and Species Shiny apps that came before the Atlas have their own,</w:t>
      </w:r>
      <w:r>
        <w:t xml:space="preserve"> </w:t>
      </w:r>
      <w:r>
        <w:t xml:space="preserve">frozen</w:t>
      </w:r>
      <w:r>
        <w:t xml:space="preserve"> </w:t>
      </w:r>
      <w:hyperlink r:id="rId467">
        <w:r>
          <w:rPr>
            <w:rStyle w:val="Hyperlink"/>
          </w:rPr>
          <w:t xml:space="preserve">step-by-step guide</w:t>
        </w:r>
      </w:hyperlink>
      <w:r>
        <w:t xml:space="preserve"> </w:t>
      </w:r>
      <w:r>
        <w:t xml:space="preserve">in the Legacy appendix.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2" name="Picture"/>
                  <a:graphic>
                    <a:graphicData uri="http://schemas.openxmlformats.org/drawingml/2006/picture">
                      <pic:pic>
                        <pic:nvPicPr>
                          <pic:cNvPr descr="/Applications/quarto/share/formats/docx/tip.png" id="553"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 the Atlas’s own</w:t>
            </w:r>
            <w:r>
              <w:t xml:space="preserve"> </w:t>
            </w:r>
            <w:r>
              <w:t xml:space="preserve">guided tour (the driver.js step data in</w:t>
            </w:r>
            <w:r>
              <w:t xml:space="preserve"> </w:t>
            </w:r>
            <w:r>
              <w:rPr>
                <w:rStyle w:val="VerbatimChar"/>
              </w:rPr>
              <w:t xml:space="preserve">src/shell/tour.ts</w:t>
            </w:r>
            <w:r>
              <w:t xml:space="preserve"> </w:t>
            </w:r>
            <w:r>
              <w:t xml:space="preserve">of the</w:t>
            </w:r>
            <w:r>
              <w:t xml:space="preserve"> </w:t>
            </w:r>
            <w:hyperlink r:id="rId549">
              <w:r>
                <w:rPr>
                  <w:rStyle w:val="VerbatimChar"/>
                </w:rPr>
                <w:t xml:space="preserve">atlas</w:t>
              </w:r>
            </w:hyperlink>
            <w:r>
              <w:t xml:space="preserve"> </w:t>
            </w:r>
            <w:r>
              <w:t xml:space="preserve">repository). From the atlas repository,</w:t>
            </w:r>
            <w:r>
              <w:t xml:space="preserve"> </w:t>
            </w:r>
            <w:r>
              <w:rPr>
                <w:rStyle w:val="VerbatimChar"/>
              </w:rPr>
              <w:t xml:space="preserve">node scripts/tour-guide.mjs --out &lt;docs&gt;/figures/atlas-guide</w:t>
            </w:r>
            <w:r>
              <w:t xml:space="preserve"> </w:t>
            </w:r>
            <w:r>
              <w:t xml:space="preserve">walks the tour on a running</w:t>
            </w:r>
            <w:r>
              <w:t xml:space="preserve"> </w:t>
            </w:r>
            <w:r>
              <w:t xml:space="preserve">build of the Atlas, re-captures a screenshot with each step’s control highlighted, and writes</w:t>
            </w:r>
            <w:r>
              <w:t xml:space="preserve"> </w:t>
            </w:r>
            <w:r>
              <w:rPr>
                <w:rStyle w:val="VerbatimChar"/>
              </w:rPr>
              <w:t xml:space="preserve">figures/atlas-guide/steps.json</w:t>
            </w:r>
            <w:r>
              <w:t xml:space="preserve"> </w:t>
            </w:r>
            <w:r>
              <w:t xml:space="preserve">into this book. So whenever the tour changes, re-running that</w:t>
            </w:r>
            <w:r>
              <w:t xml:space="preserve"> </w:t>
            </w:r>
            <w:r>
              <w:t xml:space="preserve">one script refreshes this whole page.</w:t>
            </w:r>
          </w:p>
          <w:p/>
        </w:tc>
      </w:tr>
    </w:tbl>
    <w:p>
      <w:pPr>
        <w:pStyle w:val="BodyText"/>
      </w:pPr>
      <w:r>
        <w:t xml:space="preserve">Screenshots captured from the live Atlas 0.10.91 (7e6d326), release v7, 2026-10-16.</w:t>
      </w:r>
    </w:p>
    <w:bookmarkStart w:id="603" w:name="atlas-scores-lens"/>
    <w:p>
      <w:pPr>
        <w:pStyle w:val="Heading2"/>
      </w:pPr>
      <w:r>
        <w:t xml:space="preserve">22.1 Atlas — Scores lens</w:t>
      </w:r>
    </w:p>
    <w:bookmarkStart w:id="558" w:name="the-map"/>
    <w:p>
      <w:pPr>
        <w:pStyle w:val="Heading3"/>
      </w:pPr>
      <w:r>
        <w:t xml:space="preserve">22.1.1 1. The map</w:t>
      </w:r>
    </w:p>
    <w:p>
      <w:pPr>
        <w:pStyle w:val="FirstParagraph"/>
      </w:pPr>
      <w:r>
        <w:t xml:space="preserve">Colour is the combined sensitivity score for each 0.05° cell of US waters (red high, blue low).</w:t>
      </w:r>
    </w:p>
    <w:tbl>
      <w:tblPr>
        <w:tblStyle w:val="Table"/>
        <w:tblW w:type="pct" w:w="5000"/>
        <w:tblLayout w:type="fixed"/>
        <w:tblLook w:firstRow="0" w:lastRow="0" w:firstColumn="0" w:lastColumn="0" w:noHBand="0" w:noVBand="0" w:val="0000"/>
      </w:tblPr>
      <w:tblGrid>
        <w:gridCol w:w="7920"/>
      </w:tblGrid>
      <w:tr>
        <w:tc>
          <w:tcPr/>
          <w:bookmarkStart w:id="557" w:name="fig-atlas-scores-01"/>
          <w:p>
            <w:pPr>
              <w:pStyle w:val="Compact"/>
              <w:jc w:val="center"/>
            </w:pPr>
            <w:r>
              <w:drawing>
                <wp:inline>
                  <wp:extent cx="5334000" cy="3333750"/>
                  <wp:effectExtent b="0" l="0" r="0" t="0"/>
                  <wp:docPr descr="" title="" id="555" name="Picture"/>
                  <a:graphic>
                    <a:graphicData uri="http://schemas.openxmlformats.org/drawingml/2006/picture">
                      <pic:pic>
                        <pic:nvPicPr>
                          <pic:cNvPr descr="figures/atlas-guide/atlas-scores-01.png" id="556" name="Picture"/>
                          <pic:cNvPicPr>
                            <a:picLocks noChangeArrowheads="1" noChangeAspect="1"/>
                          </pic:cNvPicPr>
                        </pic:nvPicPr>
                        <pic:blipFill>
                          <a:blip r:embed="rId55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The map</w:t>
            </w:r>
          </w:p>
          <w:bookmarkEnd w:id="557"/>
        </w:tc>
      </w:tr>
    </w:tbl>
    <w:p>
      <w:pPr>
        <w:pStyle w:val="BodyText"/>
      </w:pPr>
      <w:hyperlink r:id="rId24">
        <w:r>
          <w:rPr>
            <w:rStyle w:val="Hyperlink"/>
          </w:rPr>
          <w:t xml:space="preserve">Open this step in the Atlas</w:t>
        </w:r>
      </w:hyperlink>
    </w:p>
    <w:bookmarkEnd w:id="558"/>
    <w:bookmarkStart w:id="563" w:name="the-release"/>
    <w:p>
      <w:pPr>
        <w:pStyle w:val="Heading3"/>
      </w:pPr>
      <w:r>
        <w:t xml:space="preserve">22.1.2 2. The release</w:t>
      </w:r>
    </w:p>
    <w:p>
      <w:pPr>
        <w:pStyle w:val="FirstParagraph"/>
      </w:pPr>
      <w:r>
        <w:t xml:space="preserve">You are looking at this release; every published release is here.</w:t>
      </w:r>
    </w:p>
    <w:tbl>
      <w:tblPr>
        <w:tblStyle w:val="Table"/>
        <w:tblW w:type="pct" w:w="5000"/>
        <w:tblLayout w:type="fixed"/>
        <w:tblLook w:firstRow="0" w:lastRow="0" w:firstColumn="0" w:lastColumn="0" w:noHBand="0" w:noVBand="0" w:val="0000"/>
      </w:tblPr>
      <w:tblGrid>
        <w:gridCol w:w="7920"/>
      </w:tblGrid>
      <w:tr>
        <w:tc>
          <w:tcPr/>
          <w:bookmarkStart w:id="562" w:name="fig-atlas-scores-02"/>
          <w:p>
            <w:pPr>
              <w:pStyle w:val="Compact"/>
              <w:jc w:val="center"/>
            </w:pPr>
            <w:r>
              <w:drawing>
                <wp:inline>
                  <wp:extent cx="5334000" cy="3333750"/>
                  <wp:effectExtent b="0" l="0" r="0" t="0"/>
                  <wp:docPr descr="" title="" id="560" name="Picture"/>
                  <a:graphic>
                    <a:graphicData uri="http://schemas.openxmlformats.org/drawingml/2006/picture">
                      <pic:pic>
                        <pic:nvPicPr>
                          <pic:cNvPr descr="figures/atlas-guide/atlas-scores-02.png" id="561" name="Picture"/>
                          <pic:cNvPicPr>
                            <a:picLocks noChangeArrowheads="1" noChangeAspect="1"/>
                          </pic:cNvPicPr>
                        </pic:nvPicPr>
                        <pic:blipFill>
                          <a:blip r:embed="rId55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The release</w:t>
            </w:r>
          </w:p>
          <w:bookmarkEnd w:id="562"/>
        </w:tc>
      </w:tr>
    </w:tbl>
    <w:p>
      <w:pPr>
        <w:pStyle w:val="BodyText"/>
      </w:pPr>
      <w:hyperlink r:id="rId24">
        <w:r>
          <w:rPr>
            <w:rStyle w:val="Hyperlink"/>
          </w:rPr>
          <w:t xml:space="preserve">Open this step in the Atlas</w:t>
        </w:r>
      </w:hyperlink>
    </w:p>
    <w:bookmarkEnd w:id="563"/>
    <w:bookmarkStart w:id="568" w:name="the-lenses"/>
    <w:p>
      <w:pPr>
        <w:pStyle w:val="Heading3"/>
      </w:pPr>
      <w:r>
        <w:t xml:space="preserve">22.1.3 3. The lenses</w:t>
      </w:r>
    </w:p>
    <w:p>
      <w:pPr>
        <w:pStyle w:val="FirstParagraph"/>
      </w:pPr>
      <w:r>
        <w:t xml:space="preserve">Scores ranks places; Species shows one species’ distribution.</w:t>
      </w:r>
    </w:p>
    <w:tbl>
      <w:tblPr>
        <w:tblStyle w:val="Table"/>
        <w:tblW w:type="pct" w:w="5000"/>
        <w:tblLayout w:type="fixed"/>
        <w:tblLook w:firstRow="0" w:lastRow="0" w:firstColumn="0" w:lastColumn="0" w:noHBand="0" w:noVBand="0" w:val="0000"/>
      </w:tblPr>
      <w:tblGrid>
        <w:gridCol w:w="7920"/>
      </w:tblGrid>
      <w:tr>
        <w:tc>
          <w:tcPr/>
          <w:bookmarkStart w:id="567" w:name="fig-atlas-scores-03"/>
          <w:p>
            <w:pPr>
              <w:pStyle w:val="Compact"/>
              <w:jc w:val="center"/>
            </w:pPr>
            <w:r>
              <w:drawing>
                <wp:inline>
                  <wp:extent cx="5334000" cy="3333750"/>
                  <wp:effectExtent b="0" l="0" r="0" t="0"/>
                  <wp:docPr descr="" title="" id="565" name="Picture"/>
                  <a:graphic>
                    <a:graphicData uri="http://schemas.openxmlformats.org/drawingml/2006/picture">
                      <pic:pic>
                        <pic:nvPicPr>
                          <pic:cNvPr descr="figures/atlas-guide/atlas-scores-03.png" id="566" name="Picture"/>
                          <pic:cNvPicPr>
                            <a:picLocks noChangeArrowheads="1" noChangeAspect="1"/>
                          </pic:cNvPicPr>
                        </pic:nvPicPr>
                        <pic:blipFill>
                          <a:blip r:embed="rId56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22.3: The lenses</w:t>
            </w:r>
          </w:p>
          <w:bookmarkEnd w:id="567"/>
        </w:tc>
      </w:tr>
    </w:tbl>
    <w:p>
      <w:pPr>
        <w:pStyle w:val="BodyText"/>
      </w:pPr>
      <w:hyperlink r:id="rId24">
        <w:r>
          <w:rPr>
            <w:rStyle w:val="Hyperlink"/>
          </w:rPr>
          <w:t xml:space="preserve">Open this step in the Atlas</w:t>
        </w:r>
      </w:hyperlink>
    </w:p>
    <w:bookmarkEnd w:id="568"/>
    <w:bookmarkStart w:id="574" w:name="layers"/>
    <w:p>
      <w:pPr>
        <w:pStyle w:val="Heading3"/>
      </w:pPr>
      <w:r>
        <w:t xml:space="preserve">22.1.4 4. Layers</w:t>
      </w:r>
    </w:p>
    <w:p>
      <w:pPr>
        <w:pStyle w:val="FirstParagraph"/>
      </w:pPr>
      <w:r>
        <w:t xml:space="preserve">Choose the score layer, Program Areas or cells, and the colour ramp.</w:t>
      </w:r>
    </w:p>
    <w:tbl>
      <w:tblPr>
        <w:tblStyle w:val="Table"/>
        <w:tblW w:type="pct" w:w="5000"/>
        <w:tblLayout w:type="fixed"/>
        <w:tblLook w:firstRow="0" w:lastRow="0" w:firstColumn="0" w:lastColumn="0" w:noHBand="0" w:noVBand="0" w:val="0000"/>
      </w:tblPr>
      <w:tblGrid>
        <w:gridCol w:w="7920"/>
      </w:tblGrid>
      <w:tr>
        <w:tc>
          <w:tcPr/>
          <w:bookmarkStart w:id="572" w:name="fig-atlas-scores-04"/>
          <w:p>
            <w:pPr>
              <w:pStyle w:val="Compact"/>
              <w:jc w:val="center"/>
            </w:pPr>
            <w:r>
              <w:drawing>
                <wp:inline>
                  <wp:extent cx="5334000" cy="3333750"/>
                  <wp:effectExtent b="0" l="0" r="0" t="0"/>
                  <wp:docPr descr="" title="" id="570" name="Picture"/>
                  <a:graphic>
                    <a:graphicData uri="http://schemas.openxmlformats.org/drawingml/2006/picture">
                      <pic:pic>
                        <pic:nvPicPr>
                          <pic:cNvPr descr="figures/atlas-guide/atlas-scores-04.png" id="571" name="Picture"/>
                          <pic:cNvPicPr>
                            <a:picLocks noChangeArrowheads="1" noChangeAspect="1"/>
                          </pic:cNvPicPr>
                        </pic:nvPicPr>
                        <pic:blipFill>
                          <a:blip r:embed="rId56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22.4: Layers</w:t>
            </w:r>
          </w:p>
          <w:bookmarkEnd w:id="572"/>
        </w:tc>
      </w:tr>
    </w:tbl>
    <w:p>
      <w:pPr>
        <w:pStyle w:val="BodyText"/>
      </w:pPr>
      <w:hyperlink r:id="rId573">
        <w:r>
          <w:rPr>
            <w:rStyle w:val="Hyperlink"/>
          </w:rPr>
          <w:t xml:space="preserve">Open this step in the Atlas</w:t>
        </w:r>
      </w:hyperlink>
    </w:p>
    <w:bookmarkEnd w:id="574"/>
    <w:bookmarkStart w:id="579" w:name="click"/>
    <w:p>
      <w:pPr>
        <w:pStyle w:val="Heading3"/>
      </w:pPr>
      <w:r>
        <w:t xml:space="preserve">22.1.5 5. Click</w:t>
      </w:r>
    </w:p>
    <w:p>
      <w:pPr>
        <w:pStyle w:val="FirstParagraph"/>
      </w:pPr>
      <w:r>
        <w:t xml:space="preserve">Click a cell or a Program Area for its score and a link to its details.</w:t>
      </w:r>
    </w:p>
    <w:tbl>
      <w:tblPr>
        <w:tblStyle w:val="Table"/>
        <w:tblW w:type="pct" w:w="5000"/>
        <w:tblLayout w:type="fixed"/>
        <w:tblLook w:firstRow="0" w:lastRow="0" w:firstColumn="0" w:lastColumn="0" w:noHBand="0" w:noVBand="0" w:val="0000"/>
      </w:tblPr>
      <w:tblGrid>
        <w:gridCol w:w="7920"/>
      </w:tblGrid>
      <w:tr>
        <w:tc>
          <w:tcPr/>
          <w:bookmarkStart w:id="578" w:name="fig-atlas-scores-05"/>
          <w:p>
            <w:pPr>
              <w:pStyle w:val="Compact"/>
              <w:jc w:val="center"/>
            </w:pPr>
            <w:r>
              <w:drawing>
                <wp:inline>
                  <wp:extent cx="5334000" cy="3333750"/>
                  <wp:effectExtent b="0" l="0" r="0" t="0"/>
                  <wp:docPr descr="" title="" id="576" name="Picture"/>
                  <a:graphic>
                    <a:graphicData uri="http://schemas.openxmlformats.org/drawingml/2006/picture">
                      <pic:pic>
                        <pic:nvPicPr>
                          <pic:cNvPr descr="figures/atlas-guide/atlas-scores-05.png" id="577" name="Picture"/>
                          <pic:cNvPicPr>
                            <a:picLocks noChangeArrowheads="1" noChangeAspect="1"/>
                          </pic:cNvPicPr>
                        </pic:nvPicPr>
                        <pic:blipFill>
                          <a:blip r:embed="rId57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22.5: Click</w:t>
            </w:r>
          </w:p>
          <w:bookmarkEnd w:id="578"/>
        </w:tc>
      </w:tr>
    </w:tbl>
    <w:p>
      <w:pPr>
        <w:pStyle w:val="BodyText"/>
      </w:pPr>
      <w:hyperlink r:id="rId24">
        <w:r>
          <w:rPr>
            <w:rStyle w:val="Hyperlink"/>
          </w:rPr>
          <w:t xml:space="preserve">Open this step in the Atlas</w:t>
        </w:r>
      </w:hyperlink>
    </w:p>
    <w:bookmarkEnd w:id="579"/>
    <w:bookmarkStart w:id="585" w:name="details"/>
    <w:p>
      <w:pPr>
        <w:pStyle w:val="Heading3"/>
      </w:pPr>
      <w:r>
        <w:t xml:space="preserve">22.1.6 6. Details</w:t>
      </w:r>
    </w:p>
    <w:p>
      <w:pPr>
        <w:pStyle w:val="FirstParagraph"/>
      </w:pPr>
      <w:r>
        <w:t xml:space="preserve">The flower for what you clicked; add it to your report or open its table.</w:t>
      </w:r>
    </w:p>
    <w:tbl>
      <w:tblPr>
        <w:tblStyle w:val="Table"/>
        <w:tblW w:type="pct" w:w="5000"/>
        <w:tblLayout w:type="fixed"/>
        <w:tblLook w:firstRow="0" w:lastRow="0" w:firstColumn="0" w:lastColumn="0" w:noHBand="0" w:noVBand="0" w:val="0000"/>
      </w:tblPr>
      <w:tblGrid>
        <w:gridCol w:w="7920"/>
      </w:tblGrid>
      <w:tr>
        <w:tc>
          <w:tcPr/>
          <w:bookmarkStart w:id="583" w:name="fig-atlas-scores-06"/>
          <w:p>
            <w:pPr>
              <w:pStyle w:val="Compact"/>
              <w:jc w:val="center"/>
            </w:pPr>
            <w:r>
              <w:drawing>
                <wp:inline>
                  <wp:extent cx="5334000" cy="3333750"/>
                  <wp:effectExtent b="0" l="0" r="0" t="0"/>
                  <wp:docPr descr="" title="" id="581" name="Picture"/>
                  <a:graphic>
                    <a:graphicData uri="http://schemas.openxmlformats.org/drawingml/2006/picture">
                      <pic:pic>
                        <pic:nvPicPr>
                          <pic:cNvPr descr="figures/atlas-guide/atlas-scores-06.png" id="582" name="Picture"/>
                          <pic:cNvPicPr>
                            <a:picLocks noChangeArrowheads="1" noChangeAspect="1"/>
                          </pic:cNvPicPr>
                        </pic:nvPicPr>
                        <pic:blipFill>
                          <a:blip r:embed="rId58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22.6: Details</w:t>
            </w:r>
          </w:p>
          <w:bookmarkEnd w:id="583"/>
        </w:tc>
      </w:tr>
    </w:tbl>
    <w:p>
      <w:pPr>
        <w:pStyle w:val="BodyText"/>
      </w:pPr>
      <w:hyperlink r:id="rId584">
        <w:r>
          <w:rPr>
            <w:rStyle w:val="Hyperlink"/>
          </w:rPr>
          <w:t xml:space="preserve">Open this step in the Atlas</w:t>
        </w:r>
      </w:hyperlink>
    </w:p>
    <w:bookmarkEnd w:id="585"/>
    <w:bookmarkStart w:id="591" w:name="table"/>
    <w:p>
      <w:pPr>
        <w:pStyle w:val="Heading3"/>
      </w:pPr>
      <w:r>
        <w:t xml:space="preserve">22.1.7 7. Table</w:t>
      </w:r>
    </w:p>
    <w:p>
      <w:pPr>
        <w:pStyle w:val="FirstParagraph"/>
      </w:pPr>
      <w:r>
        <w:t xml:space="preserve">Every Program Area ranked; tick some and report on them.</w:t>
      </w:r>
    </w:p>
    <w:tbl>
      <w:tblPr>
        <w:tblStyle w:val="Table"/>
        <w:tblW w:type="pct" w:w="5000"/>
        <w:tblLayout w:type="fixed"/>
        <w:tblLook w:firstRow="0" w:lastRow="0" w:firstColumn="0" w:lastColumn="0" w:noHBand="0" w:noVBand="0" w:val="0000"/>
      </w:tblPr>
      <w:tblGrid>
        <w:gridCol w:w="7920"/>
      </w:tblGrid>
      <w:tr>
        <w:tc>
          <w:tcPr/>
          <w:bookmarkStart w:id="589" w:name="fig-atlas-scores-07"/>
          <w:p>
            <w:pPr>
              <w:pStyle w:val="Compact"/>
              <w:jc w:val="center"/>
            </w:pPr>
            <w:r>
              <w:drawing>
                <wp:inline>
                  <wp:extent cx="5334000" cy="3333750"/>
                  <wp:effectExtent b="0" l="0" r="0" t="0"/>
                  <wp:docPr descr="" title="" id="587" name="Picture"/>
                  <a:graphic>
                    <a:graphicData uri="http://schemas.openxmlformats.org/drawingml/2006/picture">
                      <pic:pic>
                        <pic:nvPicPr>
                          <pic:cNvPr descr="figures/atlas-guide/atlas-scores-07.png" id="588" name="Picture"/>
                          <pic:cNvPicPr>
                            <a:picLocks noChangeArrowheads="1" noChangeAspect="1"/>
                          </pic:cNvPicPr>
                        </pic:nvPicPr>
                        <pic:blipFill>
                          <a:blip r:embed="rId58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22.7: Table</w:t>
            </w:r>
          </w:p>
          <w:bookmarkEnd w:id="589"/>
        </w:tc>
      </w:tr>
    </w:tbl>
    <w:p>
      <w:pPr>
        <w:pStyle w:val="BodyText"/>
      </w:pPr>
      <w:hyperlink r:id="rId590">
        <w:r>
          <w:rPr>
            <w:rStyle w:val="Hyperlink"/>
          </w:rPr>
          <w:t xml:space="preserve">Open this step in the Atlas</w:t>
        </w:r>
      </w:hyperlink>
    </w:p>
    <w:bookmarkEnd w:id="591"/>
    <w:bookmarkStart w:id="597" w:name="places"/>
    <w:p>
      <w:pPr>
        <w:pStyle w:val="Heading3"/>
      </w:pPr>
      <w:r>
        <w:t xml:space="preserve">22.1.8 8. Places</w:t>
      </w:r>
    </w:p>
    <w:p>
      <w:pPr>
        <w:pStyle w:val="FirstParagraph"/>
      </w:pPr>
      <w:r>
        <w:t xml:space="preserve">Draw your own area, enter coordinates or upload a file.</w:t>
      </w:r>
    </w:p>
    <w:tbl>
      <w:tblPr>
        <w:tblStyle w:val="Table"/>
        <w:tblW w:type="pct" w:w="5000"/>
        <w:tblLayout w:type="fixed"/>
        <w:tblLook w:firstRow="0" w:lastRow="0" w:firstColumn="0" w:lastColumn="0" w:noHBand="0" w:noVBand="0" w:val="0000"/>
      </w:tblPr>
      <w:tblGrid>
        <w:gridCol w:w="7920"/>
      </w:tblGrid>
      <w:tr>
        <w:tc>
          <w:tcPr/>
          <w:bookmarkStart w:id="595" w:name="fig-atlas-scores-08"/>
          <w:p>
            <w:pPr>
              <w:pStyle w:val="Compact"/>
              <w:jc w:val="center"/>
            </w:pPr>
            <w:r>
              <w:drawing>
                <wp:inline>
                  <wp:extent cx="5334000" cy="3333750"/>
                  <wp:effectExtent b="0" l="0" r="0" t="0"/>
                  <wp:docPr descr="" title="" id="593" name="Picture"/>
                  <a:graphic>
                    <a:graphicData uri="http://schemas.openxmlformats.org/drawingml/2006/picture">
                      <pic:pic>
                        <pic:nvPicPr>
                          <pic:cNvPr descr="figures/atlas-guide/atlas-scores-08.png" id="594" name="Picture"/>
                          <pic:cNvPicPr>
                            <a:picLocks noChangeArrowheads="1" noChangeAspect="1"/>
                          </pic:cNvPicPr>
                        </pic:nvPicPr>
                        <pic:blipFill>
                          <a:blip r:embed="rId59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22.8: Places</w:t>
            </w:r>
          </w:p>
          <w:bookmarkEnd w:id="595"/>
        </w:tc>
      </w:tr>
    </w:tbl>
    <w:p>
      <w:pPr>
        <w:pStyle w:val="BodyText"/>
      </w:pPr>
      <w:hyperlink r:id="rId596">
        <w:r>
          <w:rPr>
            <w:rStyle w:val="Hyperlink"/>
          </w:rPr>
          <w:t xml:space="preserve">Open this step in the Atlas</w:t>
        </w:r>
      </w:hyperlink>
    </w:p>
    <w:bookmarkEnd w:id="597"/>
    <w:bookmarkStart w:id="602" w:name="report-1"/>
    <w:p>
      <w:pPr>
        <w:pStyle w:val="Heading3"/>
      </w:pPr>
      <w:r>
        <w:t xml:space="preserve">22.1.9 9. Report</w:t>
      </w:r>
    </w:p>
    <w:p>
      <w:pPr>
        <w:pStyle w:val="FirstParagraph"/>
      </w:pPr>
      <w:r>
        <w:t xml:space="preserve">Build a printable, downloadable report for what you selected.</w:t>
      </w:r>
    </w:p>
    <w:tbl>
      <w:tblPr>
        <w:tblStyle w:val="Table"/>
        <w:tblW w:type="pct" w:w="5000"/>
        <w:tblLayout w:type="fixed"/>
        <w:tblLook w:firstRow="0" w:lastRow="0" w:firstColumn="0" w:lastColumn="0" w:noHBand="0" w:noVBand="0" w:val="0000"/>
      </w:tblPr>
      <w:tblGrid>
        <w:gridCol w:w="7920"/>
      </w:tblGrid>
      <w:tr>
        <w:tc>
          <w:tcPr/>
          <w:bookmarkStart w:id="601" w:name="fig-atlas-scores-09"/>
          <w:p>
            <w:pPr>
              <w:pStyle w:val="Compact"/>
              <w:jc w:val="center"/>
            </w:pPr>
            <w:r>
              <w:drawing>
                <wp:inline>
                  <wp:extent cx="5334000" cy="3333750"/>
                  <wp:effectExtent b="0" l="0" r="0" t="0"/>
                  <wp:docPr descr="" title="" id="599" name="Picture"/>
                  <a:graphic>
                    <a:graphicData uri="http://schemas.openxmlformats.org/drawingml/2006/picture">
                      <pic:pic>
                        <pic:nvPicPr>
                          <pic:cNvPr descr="figures/atlas-guide/atlas-scores-09.png" id="600" name="Picture"/>
                          <pic:cNvPicPr>
                            <a:picLocks noChangeArrowheads="1" noChangeAspect="1"/>
                          </pic:cNvPicPr>
                        </pic:nvPicPr>
                        <pic:blipFill>
                          <a:blip r:embed="rId59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22.9: Report</w:t>
            </w:r>
          </w:p>
          <w:bookmarkEnd w:id="601"/>
        </w:tc>
      </w:tr>
    </w:tbl>
    <w:p>
      <w:pPr>
        <w:pStyle w:val="BodyText"/>
      </w:pPr>
      <w:hyperlink r:id="rId596">
        <w:r>
          <w:rPr>
            <w:rStyle w:val="Hyperlink"/>
          </w:rPr>
          <w:t xml:space="preserve">Open this step in the Atlas</w:t>
        </w:r>
      </w:hyperlink>
    </w:p>
    <w:bookmarkEnd w:id="602"/>
    <w:bookmarkEnd w:id="603"/>
    <w:bookmarkStart w:id="631" w:name="atlas-species-lens"/>
    <w:p>
      <w:pPr>
        <w:pStyle w:val="Heading2"/>
      </w:pPr>
      <w:r>
        <w:t xml:space="preserve">22.2 Atlas — Species lens</w:t>
      </w:r>
    </w:p>
    <w:bookmarkStart w:id="609" w:name="search"/>
    <w:p>
      <w:pPr>
        <w:pStyle w:val="Heading3"/>
      </w:pPr>
      <w:r>
        <w:t xml:space="preserve">22.2.1 1. Search</w:t>
      </w:r>
    </w:p>
    <w:p>
      <w:pPr>
        <w:pStyle w:val="FirstParagraph"/>
      </w:pPr>
      <w:r>
        <w:t xml:space="preserve">Find a species by common or scientific name.</w:t>
      </w:r>
    </w:p>
    <w:tbl>
      <w:tblPr>
        <w:tblStyle w:val="Table"/>
        <w:tblW w:type="pct" w:w="5000"/>
        <w:tblLayout w:type="fixed"/>
        <w:tblLook w:firstRow="0" w:lastRow="0" w:firstColumn="0" w:lastColumn="0" w:noHBand="0" w:noVBand="0" w:val="0000"/>
      </w:tblPr>
      <w:tblGrid>
        <w:gridCol w:w="7920"/>
      </w:tblGrid>
      <w:tr>
        <w:tc>
          <w:tcPr/>
          <w:bookmarkStart w:id="607" w:name="fig-atlas-species-01"/>
          <w:p>
            <w:pPr>
              <w:pStyle w:val="Compact"/>
              <w:jc w:val="center"/>
            </w:pPr>
            <w:r>
              <w:drawing>
                <wp:inline>
                  <wp:extent cx="5334000" cy="3333750"/>
                  <wp:effectExtent b="0" l="0" r="0" t="0"/>
                  <wp:docPr descr="" title="" id="605" name="Picture"/>
                  <a:graphic>
                    <a:graphicData uri="http://schemas.openxmlformats.org/drawingml/2006/picture">
                      <pic:pic>
                        <pic:nvPicPr>
                          <pic:cNvPr descr="figures/atlas-guide/atlas-species-01.png" id="606" name="Picture"/>
                          <pic:cNvPicPr>
                            <a:picLocks noChangeArrowheads="1" noChangeAspect="1"/>
                          </pic:cNvPicPr>
                        </pic:nvPicPr>
                        <pic:blipFill>
                          <a:blip r:embed="rId60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22.10: Search</w:t>
            </w:r>
          </w:p>
          <w:bookmarkEnd w:id="607"/>
        </w:tc>
      </w:tr>
    </w:tbl>
    <w:p>
      <w:pPr>
        <w:pStyle w:val="BodyText"/>
      </w:pPr>
      <w:hyperlink r:id="rId608">
        <w:r>
          <w:rPr>
            <w:rStyle w:val="Hyperlink"/>
          </w:rPr>
          <w:t xml:space="preserve">Open this step in the Atlas</w:t>
        </w:r>
      </w:hyperlink>
    </w:p>
    <w:bookmarkEnd w:id="609"/>
    <w:bookmarkStart w:id="615" w:name="the-card"/>
    <w:p>
      <w:pPr>
        <w:pStyle w:val="Heading3"/>
      </w:pPr>
      <w:r>
        <w:t xml:space="preserve">22.2.2 2. The card</w:t>
      </w:r>
    </w:p>
    <w:p>
      <w:pPr>
        <w:pStyle w:val="FirstParagraph"/>
      </w:pPr>
      <w:r>
        <w:t xml:space="preserve">The merged model and the inputs it combines.</w:t>
      </w:r>
    </w:p>
    <w:tbl>
      <w:tblPr>
        <w:tblStyle w:val="Table"/>
        <w:tblW w:type="pct" w:w="5000"/>
        <w:tblLayout w:type="fixed"/>
        <w:tblLook w:firstRow="0" w:lastRow="0" w:firstColumn="0" w:lastColumn="0" w:noHBand="0" w:noVBand="0" w:val="0000"/>
      </w:tblPr>
      <w:tblGrid>
        <w:gridCol w:w="7920"/>
      </w:tblGrid>
      <w:tr>
        <w:tc>
          <w:tcPr/>
          <w:bookmarkStart w:id="613" w:name="fig-atlas-species-02"/>
          <w:p>
            <w:pPr>
              <w:pStyle w:val="Compact"/>
              <w:jc w:val="center"/>
            </w:pPr>
            <w:r>
              <w:drawing>
                <wp:inline>
                  <wp:extent cx="5334000" cy="3333750"/>
                  <wp:effectExtent b="0" l="0" r="0" t="0"/>
                  <wp:docPr descr="" title="" id="611" name="Picture"/>
                  <a:graphic>
                    <a:graphicData uri="http://schemas.openxmlformats.org/drawingml/2006/picture">
                      <pic:pic>
                        <pic:nvPicPr>
                          <pic:cNvPr descr="figures/atlas-guide/atlas-species-02.png" id="612" name="Picture"/>
                          <pic:cNvPicPr>
                            <a:picLocks noChangeArrowheads="1" noChangeAspect="1"/>
                          </pic:cNvPicPr>
                        </pic:nvPicPr>
                        <pic:blipFill>
                          <a:blip r:embed="rId61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22.11: The card</w:t>
            </w:r>
          </w:p>
          <w:bookmarkEnd w:id="613"/>
        </w:tc>
      </w:tr>
    </w:tbl>
    <w:p>
      <w:pPr>
        <w:pStyle w:val="BodyText"/>
      </w:pPr>
      <w:hyperlink r:id="rId614">
        <w:r>
          <w:rPr>
            <w:rStyle w:val="Hyperlink"/>
          </w:rPr>
          <w:t xml:space="preserve">Open this step in the Atlas</w:t>
        </w:r>
      </w:hyperlink>
    </w:p>
    <w:bookmarkEnd w:id="615"/>
    <w:bookmarkStart w:id="620" w:name="the-map-1"/>
    <w:p>
      <w:pPr>
        <w:pStyle w:val="Heading3"/>
      </w:pPr>
      <w:r>
        <w:t xml:space="preserve">22.2.3 3. The map</w:t>
      </w:r>
    </w:p>
    <w:p>
      <w:pPr>
        <w:pStyle w:val="FirstParagraph"/>
      </w:pPr>
      <w:r>
        <w:t xml:space="preserve">Click anywhere for the modelled value.</w:t>
      </w:r>
    </w:p>
    <w:tbl>
      <w:tblPr>
        <w:tblStyle w:val="Table"/>
        <w:tblW w:type="pct" w:w="5000"/>
        <w:tblLayout w:type="fixed"/>
        <w:tblLook w:firstRow="0" w:lastRow="0" w:firstColumn="0" w:lastColumn="0" w:noHBand="0" w:noVBand="0" w:val="0000"/>
      </w:tblPr>
      <w:tblGrid>
        <w:gridCol w:w="7920"/>
      </w:tblGrid>
      <w:tr>
        <w:tc>
          <w:tcPr/>
          <w:bookmarkStart w:id="619" w:name="fig-atlas-species-03"/>
          <w:p>
            <w:pPr>
              <w:pStyle w:val="Compact"/>
              <w:jc w:val="center"/>
            </w:pPr>
            <w:r>
              <w:drawing>
                <wp:inline>
                  <wp:extent cx="5334000" cy="3333750"/>
                  <wp:effectExtent b="0" l="0" r="0" t="0"/>
                  <wp:docPr descr="" title="" id="617" name="Picture"/>
                  <a:graphic>
                    <a:graphicData uri="http://schemas.openxmlformats.org/drawingml/2006/picture">
                      <pic:pic>
                        <pic:nvPicPr>
                          <pic:cNvPr descr="figures/atlas-guide/atlas-species-03.png" id="618" name="Picture"/>
                          <pic:cNvPicPr>
                            <a:picLocks noChangeArrowheads="1" noChangeAspect="1"/>
                          </pic:cNvPicPr>
                        </pic:nvPicPr>
                        <pic:blipFill>
                          <a:blip r:embed="rId61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22.12: The map</w:t>
            </w:r>
          </w:p>
          <w:bookmarkEnd w:id="619"/>
        </w:tc>
      </w:tr>
    </w:tbl>
    <w:p>
      <w:pPr>
        <w:pStyle w:val="BodyText"/>
      </w:pPr>
      <w:hyperlink r:id="rId608">
        <w:r>
          <w:rPr>
            <w:rStyle w:val="Hyperlink"/>
          </w:rPr>
          <w:t xml:space="preserve">Open this step in the Atlas</w:t>
        </w:r>
      </w:hyperlink>
    </w:p>
    <w:bookmarkEnd w:id="620"/>
    <w:bookmarkStart w:id="625" w:name="the-legend"/>
    <w:p>
      <w:pPr>
        <w:pStyle w:val="Heading3"/>
      </w:pPr>
      <w:r>
        <w:t xml:space="preserve">22.2.4 4. The legend</w:t>
      </w:r>
    </w:p>
    <w:p>
      <w:pPr>
        <w:pStyle w:val="FirstParagraph"/>
      </w:pPr>
      <w:r>
        <w:t xml:space="preserve">What 1–100 means.</w:t>
      </w:r>
    </w:p>
    <w:tbl>
      <w:tblPr>
        <w:tblStyle w:val="Table"/>
        <w:tblW w:type="pct" w:w="5000"/>
        <w:tblLayout w:type="fixed"/>
        <w:tblLook w:firstRow="0" w:lastRow="0" w:firstColumn="0" w:lastColumn="0" w:noHBand="0" w:noVBand="0" w:val="0000"/>
      </w:tblPr>
      <w:tblGrid>
        <w:gridCol w:w="7920"/>
      </w:tblGrid>
      <w:tr>
        <w:tc>
          <w:tcPr/>
          <w:bookmarkStart w:id="624" w:name="fig-atlas-species-04"/>
          <w:p>
            <w:pPr>
              <w:pStyle w:val="Compact"/>
              <w:jc w:val="center"/>
            </w:pPr>
            <w:r>
              <w:drawing>
                <wp:inline>
                  <wp:extent cx="5334000" cy="3333750"/>
                  <wp:effectExtent b="0" l="0" r="0" t="0"/>
                  <wp:docPr descr="" title="" id="622" name="Picture"/>
                  <a:graphic>
                    <a:graphicData uri="http://schemas.openxmlformats.org/drawingml/2006/picture">
                      <pic:pic>
                        <pic:nvPicPr>
                          <pic:cNvPr descr="figures/atlas-guide/atlas-species-04.png" id="623" name="Picture"/>
                          <pic:cNvPicPr>
                            <a:picLocks noChangeArrowheads="1" noChangeAspect="1"/>
                          </pic:cNvPicPr>
                        </pic:nvPicPr>
                        <pic:blipFill>
                          <a:blip r:embed="rId62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22.13: The legend</w:t>
            </w:r>
          </w:p>
          <w:bookmarkEnd w:id="624"/>
        </w:tc>
      </w:tr>
    </w:tbl>
    <w:p>
      <w:pPr>
        <w:pStyle w:val="BodyText"/>
      </w:pPr>
      <w:hyperlink r:id="rId608">
        <w:r>
          <w:rPr>
            <w:rStyle w:val="Hyperlink"/>
          </w:rPr>
          <w:t xml:space="preserve">Open this step in the Atlas</w:t>
        </w:r>
      </w:hyperlink>
    </w:p>
    <w:bookmarkEnd w:id="625"/>
    <w:bookmarkStart w:id="630" w:name="back"/>
    <w:p>
      <w:pPr>
        <w:pStyle w:val="Heading3"/>
      </w:pPr>
      <w:r>
        <w:t xml:space="preserve">22.2.5 5. Back</w:t>
      </w:r>
    </w:p>
    <w:p>
      <w:pPr>
        <w:pStyle w:val="FirstParagraph"/>
      </w:pPr>
      <w:r>
        <w:t xml:space="preserve">Switch to Scores to see how this species contributes.</w:t>
      </w:r>
    </w:p>
    <w:tbl>
      <w:tblPr>
        <w:tblStyle w:val="Table"/>
        <w:tblW w:type="pct" w:w="5000"/>
        <w:tblLayout w:type="fixed"/>
        <w:tblLook w:firstRow="0" w:lastRow="0" w:firstColumn="0" w:lastColumn="0" w:noHBand="0" w:noVBand="0" w:val="0000"/>
      </w:tblPr>
      <w:tblGrid>
        <w:gridCol w:w="7920"/>
      </w:tblGrid>
      <w:tr>
        <w:tc>
          <w:tcPr/>
          <w:bookmarkStart w:id="629" w:name="fig-atlas-species-05"/>
          <w:p>
            <w:pPr>
              <w:pStyle w:val="Compact"/>
              <w:jc w:val="center"/>
            </w:pPr>
            <w:r>
              <w:drawing>
                <wp:inline>
                  <wp:extent cx="5334000" cy="3333750"/>
                  <wp:effectExtent b="0" l="0" r="0" t="0"/>
                  <wp:docPr descr="" title="" id="627" name="Picture"/>
                  <a:graphic>
                    <a:graphicData uri="http://schemas.openxmlformats.org/drawingml/2006/picture">
                      <pic:pic>
                        <pic:nvPicPr>
                          <pic:cNvPr descr="figures/atlas-guide/atlas-species-05.png" id="628" name="Picture"/>
                          <pic:cNvPicPr>
                            <a:picLocks noChangeArrowheads="1" noChangeAspect="1"/>
                          </pic:cNvPicPr>
                        </pic:nvPicPr>
                        <pic:blipFill>
                          <a:blip r:embed="rId62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22.14: Back</w:t>
            </w:r>
          </w:p>
          <w:bookmarkEnd w:id="629"/>
        </w:tc>
      </w:tr>
    </w:tbl>
    <w:p>
      <w:pPr>
        <w:pStyle w:val="BodyText"/>
      </w:pPr>
      <w:hyperlink r:id="rId608">
        <w:r>
          <w:rPr>
            <w:rStyle w:val="Hyperlink"/>
          </w:rPr>
          <w:t xml:space="preserve">Open this step in the Atlas</w:t>
        </w:r>
      </w:hyperlink>
    </w:p>
    <w:bookmarkEnd w:id="630"/>
    <w:bookmarkEnd w:id="631"/>
    <w:bookmarkEnd w:id="632"/>
    <w:bookmarkStart w:id="634" w:name="docs"/>
    <w:p>
      <w:pPr>
        <w:pStyle w:val="Heading1"/>
      </w:pPr>
      <w:r>
        <w:t xml:space="preserve">23. Docs</w:t>
      </w:r>
    </w:p>
    <w:p>
      <w:pPr>
        <w:pStyle w:val="FirstParagraph"/>
      </w:pPr>
      <w:r>
        <w:t xml:space="preserve">Technical documentation is principally in this book:</w:t>
      </w:r>
    </w:p>
    <w:p>
      <w:pPr>
        <w:numPr>
          <w:ilvl w:val="0"/>
          <w:numId w:val="1059"/>
        </w:numPr>
      </w:pPr>
      <w:hyperlink r:id="rId286">
        <w:r>
          <w:rPr>
            <w:rStyle w:val="Hyperlink"/>
          </w:rPr>
          <w:t xml:space="preserve">marinesensitivity.org/docs</w:t>
        </w:r>
      </w:hyperlink>
      <w:r>
        <w:br/>
      </w:r>
      <w:r>
        <w:t xml:space="preserve">the main documentation site</w:t>
      </w:r>
    </w:p>
    <w:p>
      <w:pPr>
        <w:numPr>
          <w:ilvl w:val="0"/>
          <w:numId w:val="1059"/>
        </w:numPr>
      </w:pPr>
      <w:hyperlink r:id="rId426">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60"/>
        </w:numPr>
      </w:pPr>
      <w:hyperlink r:id="rId633">
        <w:r>
          <w:rPr>
            <w:rStyle w:val="Hyperlink"/>
          </w:rPr>
          <w:t xml:space="preserve">marinesensitivity.org/</w:t>
        </w:r>
        <w:r>
          <w:rPr>
            <w:rStyle w:val="VerbatimChar"/>
          </w:rPr>
          <w:t xml:space="preserve">msens</w:t>
        </w:r>
      </w:hyperlink>
      <w:r>
        <w:br/>
      </w:r>
      <w:r>
        <w:t xml:space="preserve">documented R functions</w:t>
      </w:r>
    </w:p>
    <w:bookmarkEnd w:id="634"/>
    <w:bookmarkStart w:id="638" w:name="summary"/>
    <w:p>
      <w:pPr>
        <w:pStyle w:val="Heading1"/>
      </w:pPr>
      <w:r>
        <w:t xml:space="preserve">24.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v7b</w:t>
      </w:r>
      <w:r>
        <w:t xml:space="preserve">; figures are read from that release.</w:t>
      </w:r>
    </w:p>
    <w:bookmarkStart w:id="635" w:name="what-this-release-delivers"/>
    <w:p>
      <w:pPr>
        <w:pStyle w:val="Heading2"/>
      </w:pPr>
      <w:r>
        <w:t xml:space="preserve">24.1 What this release delivers</w:t>
      </w:r>
    </w:p>
    <w:p>
      <w:pPr>
        <w:numPr>
          <w:ilvl w:val="0"/>
          <w:numId w:val="1061"/>
        </w:numPr>
      </w:pPr>
      <w:r>
        <w:rPr>
          <w:b/>
          <w:bCs/>
        </w:rPr>
        <w:t xml:space="preserve">16,153 valid marine species</w:t>
      </w:r>
      <w:r>
        <w:t xml:space="preserve"> </w:t>
      </w:r>
      <w:r>
        <w:t xml:space="preserve">on a 0.05° grid (~4 km cells) across the US EEZ study area, of which</w:t>
      </w:r>
      <w:r>
        <w:t xml:space="preserve"> </w:t>
      </w:r>
      <w:r>
        <w:rPr>
          <w:b/>
          <w:bCs/>
        </w:rPr>
        <w:t xml:space="preserve">9,230</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8 source datasets</w:t>
      </w:r>
      <w:r>
        <w:t xml:space="preserve"> </w:t>
      </w:r>
      <w:r>
        <w:t xml:space="preserve">— continuous suitability models, regulatory habitat designations and expert range maps.</w:t>
      </w:r>
    </w:p>
    <w:p>
      <w:pPr>
        <w:numPr>
          <w:ilvl w:val="0"/>
          <w:numId w:val="1061"/>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bird</w:t>
      </w:r>
      <w:r>
        <w:t xml:space="preserve">,</w:t>
      </w:r>
      <w:r>
        <w:t xml:space="preserve"> </w:t>
      </w:r>
      <w:r>
        <w:rPr>
          <w:rStyle w:val="VerbatimChar"/>
        </w:rPr>
        <w:t xml:space="preserve">coral</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61"/>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61"/>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61"/>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61"/>
        </w:numPr>
      </w:pPr>
      <w:r>
        <w:rPr>
          <w:b/>
          <w:bCs/>
        </w:rPr>
        <w:t xml:space="preserve">The Atlas</w:t>
      </w:r>
      <w:r>
        <w:t xml:space="preserve">, the interactive application (Scores and Species lenses, plus Places and Reports), renders</w:t>
      </w:r>
      <w:r>
        <w:t xml:space="preserve"> </w:t>
      </w:r>
      <w:r>
        <w:rPr>
          <w:b/>
          <w:bCs/>
        </w:rPr>
        <w:t xml:space="preserve">any published release</w:t>
      </w:r>
      <w:r>
        <w:t xml:space="preserve"> </w:t>
      </w:r>
      <w:r>
        <w:t xml:space="preserve">(e.g. </w:t>
      </w:r>
      <w:r>
        <w:rPr>
          <w:rStyle w:val="VerbatimChar"/>
        </w:rPr>
        <w:t xml:space="preserve">?ver=v3</w:t>
      </w:r>
      <w:r>
        <w:t xml:space="preserve">; a restricted pre-release only on the review host, at</w:t>
      </w:r>
      <w:r>
        <w:t xml:space="preserve"> </w:t>
      </w:r>
      <w:r>
        <w:rPr>
          <w:rStyle w:val="VerbatimChar"/>
        </w:rPr>
        <w:t xml:space="preserve">/{version}/atlas/</w:t>
      </w:r>
      <w:r>
        <w:t xml:space="preserve">), so a reader can look at the release a report cited rather than only the newest one. The earlier Scores and Species Shiny apps are retired and their links redirect to the Atlas.</w:t>
      </w:r>
    </w:p>
    <w:bookmarkEnd w:id="635"/>
    <w:bookmarkStart w:id="636" w:name="delivered-since-the-first-release"/>
    <w:p>
      <w:pPr>
        <w:pStyle w:val="Heading2"/>
      </w:pPr>
      <w:r>
        <w:t xml:space="preserve">24.2 Delivered since the first release</w:t>
      </w:r>
    </w:p>
    <w:p>
      <w:pPr>
        <w:pStyle w:val="FirstParagraph"/>
      </w:pPr>
      <w:r>
        <w:t xml:space="preserve">Several capabilities listed as future work in earlier editions of this documentation have since shipped:</w:t>
      </w:r>
    </w:p>
    <w:p>
      <w:pPr>
        <w:pStyle w:val="Compact"/>
        <w:numPr>
          <w:ilvl w:val="0"/>
          <w:numId w:val="1062"/>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62"/>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62"/>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62"/>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62"/>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636"/>
    <w:bookmarkStart w:id="637" w:name="future-directions"/>
    <w:p>
      <w:pPr>
        <w:pStyle w:val="Heading2"/>
      </w:pPr>
      <w:r>
        <w:t xml:space="preserve">24.3 Future directions</w:t>
      </w:r>
    </w:p>
    <w:p>
      <w:pPr>
        <w:pStyle w:val="Compact"/>
        <w:numPr>
          <w:ilvl w:val="0"/>
          <w:numId w:val="1063"/>
        </w:numPr>
      </w:pPr>
      <w:r>
        <w:rPr>
          <w:b/>
          <w:bCs/>
        </w:rPr>
        <w:t xml:space="preserve">OBIS/GBIF validation</w:t>
      </w:r>
      <w:r>
        <w:t xml:space="preserve"> </w:t>
      </w:r>
      <w:r>
        <w:t xml:space="preserve">— refine distributions against occurrence records, with temporal filters.</w:t>
      </w:r>
    </w:p>
    <w:p>
      <w:pPr>
        <w:pStyle w:val="Compact"/>
        <w:numPr>
          <w:ilvl w:val="0"/>
          <w:numId w:val="1063"/>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3"/>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3"/>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3"/>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3"/>
        </w:numPr>
      </w:pPr>
      <w:r>
        <w:rPr>
          <w:b/>
          <w:bCs/>
        </w:rPr>
        <w:t xml:space="preserve">Infrastructure transfer</w:t>
      </w:r>
      <w:r>
        <w:t xml:space="preserve"> </w:t>
      </w:r>
      <w:r>
        <w:t xml:space="preserve">— support moving the data and applications onto BOEM infrastructure for long-term operation.</w:t>
      </w:r>
    </w:p>
    <w:bookmarkEnd w:id="637"/>
    <w:bookmarkEnd w:id="638"/>
    <w:bookmarkStart w:id="679" w:name="references"/>
    <w:p>
      <w:pPr>
        <w:pStyle w:val="Heading1"/>
      </w:pPr>
      <w:r>
        <w:t xml:space="preserve">References</w:t>
      </w:r>
    </w:p>
    <w:bookmarkStart w:id="678" w:name="refs"/>
    <w:bookmarkStart w:id="640"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639">
        <w:r>
          <w:rPr>
            <w:rStyle w:val="Hyperlink"/>
          </w:rPr>
          <w:t xml:space="preserve">https://doi.org/10.4319/lo.1997.42.1.0001</w:t>
        </w:r>
      </w:hyperlink>
      <w:r>
        <w:t xml:space="preserve">.</w:t>
      </w:r>
    </w:p>
    <w:bookmarkEnd w:id="640"/>
    <w:bookmarkStart w:id="642"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641">
        <w:r>
          <w:rPr>
            <w:rStyle w:val="Hyperlink"/>
          </w:rPr>
          <w:t xml:space="preserve">https://doi.org/10.1371/journal.pone.0000140</w:t>
        </w:r>
      </w:hyperlink>
      <w:r>
        <w:t xml:space="preserve">.</w:t>
      </w:r>
    </w:p>
    <w:bookmarkEnd w:id="642"/>
    <w:bookmarkStart w:id="644"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643">
        <w:r>
          <w:rPr>
            <w:rStyle w:val="Hyperlink"/>
          </w:rPr>
          <w:t xml:space="preserve">https://doi.org/10.1371/journal.pbio.0020383</w:t>
        </w:r>
      </w:hyperlink>
      <w:r>
        <w:t xml:space="preserve">.</w:t>
      </w:r>
    </w:p>
    <w:bookmarkEnd w:id="644"/>
    <w:bookmarkStart w:id="646"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645">
        <w:r>
          <w:rPr>
            <w:rStyle w:val="Hyperlink"/>
          </w:rPr>
          <w:t xml:space="preserve">https://CRAN.R-project.org/package=shiny</w:t>
        </w:r>
      </w:hyperlink>
      <w:r>
        <w:t xml:space="preserve">.</w:t>
      </w:r>
    </w:p>
    <w:bookmarkEnd w:id="646"/>
    <w:bookmarkStart w:id="648"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647">
        <w:r>
          <w:rPr>
            <w:rStyle w:val="Hyperlink"/>
          </w:rPr>
          <w:t xml:space="preserve">https://doi.org/10.1080/09640568.2014.973483</w:t>
        </w:r>
      </w:hyperlink>
      <w:r>
        <w:t xml:space="preserve">.</w:t>
      </w:r>
    </w:p>
    <w:bookmarkEnd w:id="648"/>
    <w:bookmarkStart w:id="650"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649">
        <w:r>
          <w:rPr>
            <w:rStyle w:val="Hyperlink"/>
          </w:rPr>
          <w:t xml:space="preserve">https://doi.org/10.1038/nature11397</w:t>
        </w:r>
      </w:hyperlink>
      <w:r>
        <w:t xml:space="preserve">.</w:t>
      </w:r>
    </w:p>
    <w:bookmarkEnd w:id="650"/>
    <w:bookmarkStart w:id="652"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651">
        <w:r>
          <w:rPr>
            <w:rStyle w:val="Hyperlink"/>
          </w:rPr>
          <w:t xml:space="preserve">https://doi.org/10.1111/j.1523-1739.2007.00752.x</w:t>
        </w:r>
      </w:hyperlink>
      <w:r>
        <w:t xml:space="preserve">.</w:t>
      </w:r>
    </w:p>
    <w:bookmarkEnd w:id="652"/>
    <w:bookmarkStart w:id="654"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653">
        <w:r>
          <w:rPr>
            <w:rStyle w:val="Hyperlink"/>
          </w:rPr>
          <w:t xml:space="preserve">https://doi.org/10.1371/journal.pone.0146756</w:t>
        </w:r>
      </w:hyperlink>
      <w:r>
        <w:t xml:space="preserve">.</w:t>
      </w:r>
    </w:p>
    <w:bookmarkEnd w:id="654"/>
    <w:bookmarkStart w:id="655" w:name="ref-hodgewing2000"/>
    <w:p>
      <w:pPr>
        <w:pStyle w:val="Bibliography"/>
      </w:pPr>
      <w:r>
        <w:t xml:space="preserve">Hodge, R. P., and B. L. Wing. 2000.</w:t>
      </w:r>
      <w:r>
        <w:t xml:space="preserve"> </w:t>
      </w:r>
      <w:r>
        <w:t xml:space="preserve">“Occurrences of Marine Turtles in</w:t>
      </w:r>
      <w:r>
        <w:t xml:space="preserve"> </w:t>
      </w:r>
      <w:r>
        <w:t xml:space="preserve">Alaska</w:t>
      </w:r>
      <w:r>
        <w:t xml:space="preserve"> </w:t>
      </w:r>
      <w:r>
        <w:t xml:space="preserve">Waters: 1960–1998.”</w:t>
      </w:r>
      <w:r>
        <w:t xml:space="preserve"> </w:t>
      </w:r>
      <w:r>
        <w:rPr>
          <w:i/>
          <w:iCs/>
        </w:rPr>
        <w:t xml:space="preserve">Herpetological Review</w:t>
      </w:r>
      <w:r>
        <w:t xml:space="preserve"> </w:t>
      </w:r>
      <w:r>
        <w:t xml:space="preserve">31: 148–51.</w:t>
      </w:r>
    </w:p>
    <w:bookmarkEnd w:id="655"/>
    <w:bookmarkStart w:id="656"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656"/>
    <w:bookmarkStart w:id="657"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31">
        <w:r>
          <w:rPr>
            <w:rStyle w:val="Hyperlink"/>
          </w:rPr>
          <w:t xml:space="preserve">https://www.aquamaps.org</w:t>
        </w:r>
      </w:hyperlink>
      <w:r>
        <w:t xml:space="preserve">.</w:t>
      </w:r>
    </w:p>
    <w:bookmarkEnd w:id="657"/>
    <w:bookmarkStart w:id="659" w:name="ref-kaschner2011"/>
    <w:p>
      <w:pPr>
        <w:pStyle w:val="Bibliography"/>
      </w:pPr>
      <w:r>
        <w:t xml:space="preserve">Kaschner, Kristin, Derek P. Tittensor, Jonathan Ready, Tim Gerrodette, and Boris Worm. 2011.</w:t>
      </w:r>
      <w:r>
        <w:t xml:space="preserve"> </w:t>
      </w:r>
      <w:r>
        <w:t xml:space="preserve">“Current and Future Patterns of Global Marine Mammal Biodiversity.”</w:t>
      </w:r>
      <w:r>
        <w:t xml:space="preserve"> </w:t>
      </w:r>
      <w:r>
        <w:rPr>
          <w:i/>
          <w:iCs/>
        </w:rPr>
        <w:t xml:space="preserve">PLoS ONE</w:t>
      </w:r>
      <w:r>
        <w:t xml:space="preserve"> </w:t>
      </w:r>
      <w:r>
        <w:t xml:space="preserve">6 (5): e19653.</w:t>
      </w:r>
      <w:r>
        <w:t xml:space="preserve"> </w:t>
      </w:r>
      <w:hyperlink r:id="rId658">
        <w:r>
          <w:rPr>
            <w:rStyle w:val="Hyperlink"/>
          </w:rPr>
          <w:t xml:space="preserve">https://doi.org/10.1371/journal.pone.0019653</w:t>
        </w:r>
      </w:hyperlink>
      <w:r>
        <w:t xml:space="preserve">.</w:t>
      </w:r>
    </w:p>
    <w:bookmarkEnd w:id="659"/>
    <w:bookmarkStart w:id="661"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660">
        <w:r>
          <w:rPr>
            <w:rStyle w:val="Hyperlink"/>
          </w:rPr>
          <w:t xml:space="preserve">https://doi.org/10.1038/s41559-017-0160</w:t>
        </w:r>
      </w:hyperlink>
      <w:r>
        <w:t xml:space="preserve">.</w:t>
      </w:r>
    </w:p>
    <w:bookmarkEnd w:id="661"/>
    <w:bookmarkStart w:id="663"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662">
        <w:r>
          <w:rPr>
            <w:rStyle w:val="Hyperlink"/>
          </w:rPr>
          <w:t xml:space="preserve">https://doi.org/10.1038/s41559-021-01432-0</w:t>
        </w:r>
      </w:hyperlink>
      <w:r>
        <w:t xml:space="preserve">.</w:t>
      </w:r>
    </w:p>
    <w:bookmarkEnd w:id="663"/>
    <w:bookmarkStart w:id="665"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664">
        <w:r>
          <w:rPr>
            <w:rStyle w:val="Hyperlink"/>
          </w:rPr>
          <w:t xml:space="preserve">https://doi.org/10.1002/ece3.70030</w:t>
        </w:r>
      </w:hyperlink>
      <w:r>
        <w:t xml:space="preserve">.</w:t>
      </w:r>
    </w:p>
    <w:bookmarkEnd w:id="665"/>
    <w:bookmarkStart w:id="667"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666">
        <w:r>
          <w:rPr>
            <w:rStyle w:val="Hyperlink"/>
          </w:rPr>
          <w:t xml:space="preserve">https://doi.org/10.1371/journal.pone.0003700</w:t>
        </w:r>
      </w:hyperlink>
      <w:r>
        <w:t xml:space="preserve">.</w:t>
      </w:r>
    </w:p>
    <w:bookmarkEnd w:id="667"/>
    <w:bookmarkStart w:id="669"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668">
        <w:r>
          <w:rPr>
            <w:rStyle w:val="Hyperlink"/>
          </w:rPr>
          <w:t xml:space="preserve">https://www.boem.gov/sites/default/files/environmental-stewardship/Environmental-Studies/Pacific-Region/Studies/BOEM-2018-031-Vol1.pdf</w:t>
        </w:r>
      </w:hyperlink>
      <w:r>
        <w:t xml:space="preserve">.</w:t>
      </w:r>
    </w:p>
    <w:bookmarkEnd w:id="669"/>
    <w:bookmarkStart w:id="670"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670"/>
    <w:bookmarkStart w:id="672"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71">
        <w:r>
          <w:rPr>
            <w:rStyle w:val="Hyperlink"/>
          </w:rPr>
          <w:t xml:space="preserve">https://noaa.maps.arcgis.com/home/search.html?searchTerm=turtle+dps</w:t>
        </w:r>
      </w:hyperlink>
      <w:r>
        <w:t xml:space="preserve">.</w:t>
      </w:r>
    </w:p>
    <w:bookmarkEnd w:id="672"/>
    <w:bookmarkStart w:id="673"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73"/>
    <w:bookmarkStart w:id="675"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74">
        <w:r>
          <w:rPr>
            <w:rStyle w:val="Hyperlink"/>
          </w:rPr>
          <w:t xml:space="preserve">https://doi.org/10.3354/esr01243</w:t>
        </w:r>
      </w:hyperlink>
      <w:r>
        <w:t xml:space="preserve">.</w:t>
      </w:r>
    </w:p>
    <w:bookmarkEnd w:id="675"/>
    <w:bookmarkStart w:id="677"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76">
        <w:r>
          <w:rPr>
            <w:rStyle w:val="Hyperlink"/>
          </w:rPr>
          <w:t xml:space="preserve">https://doi.org/10.1038/sdata.2016.18</w:t>
        </w:r>
      </w:hyperlink>
      <w:r>
        <w:t xml:space="preserve">.</w:t>
      </w:r>
    </w:p>
    <w:bookmarkEnd w:id="677"/>
    <w:bookmarkEnd w:id="678"/>
    <w:bookmarkEnd w:id="679"/>
    <w:bookmarkStart w:id="681"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80">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81"/>
    <w:bookmarkStart w:id="682" w:name="X0866deb9de13c5a949683d88efa8b94747e10df"/>
    <w:p>
      <w:pPr>
        <w:pStyle w:val="Heading1"/>
      </w:pPr>
      <w:r>
        <w:t xml:space="preserve">Appendix A — Scores — mapper of aggregate sensitivity scores</w:t>
      </w:r>
    </w:p>
    <w:bookmarkEnd w:id="682"/>
    <w:bookmarkStart w:id="703" w:name="sec-app-scores"/>
    <w:p>
      <w:pPr>
        <w:pStyle w:val="Heading1"/>
      </w:pPr>
      <w:r>
        <w:t xml:space="preserve">Appendix A — Scores</w:t>
      </w:r>
    </w:p>
    <w:bookmarkStart w:id="693" w:name="overview-2"/>
    <w:p>
      <w:pPr>
        <w:pStyle w:val="Heading2"/>
      </w:pPr>
      <w:r>
        <w:t xml:space="preserve">A.1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Applications/quarto/share/formats/docx/important.png" id="68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app.marinesensitivity.org/{ver}/scores/</w:t>
            </w:r>
            <w:r>
              <w:t xml:space="preserve">, the older</w:t>
            </w:r>
            <w:r>
              <w:t xml:space="preserve"> </w:t>
            </w:r>
            <w:r>
              <w:rPr>
                <w:rStyle w:val="VerbatimChar"/>
              </w:rPr>
              <w:t xml:space="preserve">?ver=</w:t>
            </w:r>
            <w:r>
              <w:t xml:space="preserve"> </w:t>
            </w:r>
            <w:r>
              <w:t xml:space="preserve">form) now redirect to the Atlas’s Scores lens with the query carried, and its source stays in the</w:t>
            </w:r>
            <w:r>
              <w:t xml:space="preserve"> </w:t>
            </w:r>
            <w:hyperlink r:id="rId466">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Scores</w:t>
      </w:r>
      <w:r>
        <w:t xml:space="preserve"> </w:t>
      </w:r>
      <w:r>
        <w:t xml:space="preserve">application (</w:t>
      </w:r>
      <w:r>
        <w:rPr>
          <w:rStyle w:val="VerbatimChar"/>
        </w:rPr>
        <w:t xml:space="preserve">app.marinesensitivity.org/{ver}/scores/</w:t>
      </w:r>
      <w:r>
        <w:t xml:space="preserve">) was the project’s interactive tool for exploring composite marine sensitivity scores. It rendered</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showed v3 — defaulting to the promoted release when none was given. It let users visualize extinction risk weighted species presence at multiple spatial resolutions, with integrated flower plot and treemap summaries.</w:t>
      </w:r>
    </w:p>
    <w:p>
      <w:pPr>
        <w:pStyle w:val="BodyText"/>
      </w:pPr>
      <w:hyperlink w:anchor="fig-scores-map">
        <w:r>
          <w:rPr>
            <w:rStyle w:val="Hyperlink"/>
          </w:rPr>
          <w:t xml:space="preserve">Figure B.1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88" w:name="fig-scores-map"/>
          <w:p>
            <w:pPr>
              <w:pStyle w:val="Compact"/>
              <w:jc w:val="center"/>
            </w:pPr>
            <w:r>
              <w:drawing>
                <wp:inline>
                  <wp:extent cx="5334000" cy="3018971"/>
                  <wp:effectExtent b="0" l="0" r="0" t="0"/>
                  <wp:docPr descr="" title="" id="686" name="Picture"/>
                  <a:graphic>
                    <a:graphicData uri="http://schemas.openxmlformats.org/drawingml/2006/picture">
                      <pic:pic>
                        <pic:nvPicPr>
                          <pic:cNvPr descr="figures/apps/scores-map.png" id="687" name="Picture"/>
                          <pic:cNvPicPr>
                            <a:picLocks noChangeArrowheads="1" noChangeAspect="1"/>
                          </pic:cNvPicPr>
                        </pic:nvPicPr>
                        <pic:blipFill>
                          <a:blip r:embed="rId685"/>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88"/>
        </w:tc>
      </w:tr>
    </w:tbl>
    <w:p>
      <w:pPr>
        <w:pStyle w:val="BodyText"/>
      </w:pPr>
      <w:hyperlink w:anchor="fig-scores-flower">
        <w:r>
          <w:rPr>
            <w:rStyle w:val="Hyperlink"/>
          </w:rPr>
          <w:t xml:space="preserve">Figure B.2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92" w:name="fig-scores-flower"/>
          <w:p>
            <w:pPr>
              <w:pStyle w:val="Compact"/>
              <w:jc w:val="center"/>
            </w:pPr>
            <w:r>
              <w:drawing>
                <wp:inline>
                  <wp:extent cx="5334000" cy="3018971"/>
                  <wp:effectExtent b="0" l="0" r="0" t="0"/>
                  <wp:docPr descr="" title="" id="690" name="Picture"/>
                  <a:graphic>
                    <a:graphicData uri="http://schemas.openxmlformats.org/drawingml/2006/picture">
                      <pic:pic>
                        <pic:nvPicPr>
                          <pic:cNvPr descr="figures/apps/scores-flower.png" id="691" name="Picture"/>
                          <pic:cNvPicPr>
                            <a:picLocks noChangeArrowheads="1" noChangeAspect="1"/>
                          </pic:cNvPicPr>
                        </pic:nvPicPr>
                        <pic:blipFill>
                          <a:blip r:embed="rId689"/>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B.2: The Scores application showing the flower plot panel for Southern California. Petal length represents each category’s rescaled sensitivity score; petal width represents its weight. The center value (29) is the weighted mean across all categories.</w:t>
            </w:r>
          </w:p>
          <w:bookmarkEnd w:id="692"/>
        </w:tc>
      </w:tr>
    </w:tbl>
    <w:bookmarkEnd w:id="693"/>
    <w:bookmarkStart w:id="699" w:name="features"/>
    <w:p>
      <w:pPr>
        <w:pStyle w:val="Heading2"/>
      </w:pPr>
      <w:r>
        <w:t xml:space="preserve">A.2 Features</w:t>
      </w:r>
    </w:p>
    <w:bookmarkStart w:id="694" w:name="map-display"/>
    <w:p>
      <w:pPr>
        <w:pStyle w:val="Heading3"/>
      </w:pPr>
      <w:r>
        <w:t xml:space="preserve">A.2.1 Map Display</w:t>
      </w:r>
    </w:p>
    <w:p>
      <w:pPr>
        <w:pStyle w:val="Compact"/>
        <w:numPr>
          <w:ilvl w:val="0"/>
          <w:numId w:val="1064"/>
        </w:numPr>
      </w:pPr>
      <w:r>
        <w:rPr>
          <w:b/>
          <w:bCs/>
        </w:rPr>
        <w:t xml:space="preserve">Cell-level view</w:t>
      </w:r>
      <w:r>
        <w:t xml:space="preserve">: 0.05° grid cells colored by sensitivity score for the selected metric</w:t>
      </w:r>
    </w:p>
    <w:p>
      <w:pPr>
        <w:pStyle w:val="Compact"/>
        <w:numPr>
          <w:ilvl w:val="0"/>
          <w:numId w:val="1064"/>
        </w:numPr>
      </w:pPr>
      <w:r>
        <w:rPr>
          <w:b/>
          <w:bCs/>
        </w:rPr>
        <w:t xml:space="preserve">Program area view</w:t>
      </w:r>
      <w:r>
        <w:t xml:space="preserve">: aggregated scores by BOEM Program Area, with boundaries overlaid</w:t>
      </w:r>
    </w:p>
    <w:p>
      <w:pPr>
        <w:pStyle w:val="Compact"/>
        <w:numPr>
          <w:ilvl w:val="0"/>
          <w:numId w:val="1064"/>
        </w:numPr>
      </w:pPr>
      <w:r>
        <w:rPr>
          <w:b/>
          <w:bCs/>
        </w:rPr>
        <w:t xml:space="preserve">Base maps</w:t>
      </w:r>
      <w:r>
        <w:t xml:space="preserve">: multiple MapBox base layers (satellite, streets, light, dark)</w:t>
      </w:r>
    </w:p>
    <w:p>
      <w:pPr>
        <w:pStyle w:val="Compact"/>
        <w:numPr>
          <w:ilvl w:val="0"/>
          <w:numId w:val="1064"/>
        </w:numPr>
      </w:pPr>
      <w:r>
        <w:rPr>
          <w:b/>
          <w:bCs/>
        </w:rPr>
        <w:t xml:space="preserve">Study area selection</w:t>
      </w:r>
      <w:r>
        <w:t xml:space="preserve">: click a program area to focus the view and update summary panels</w:t>
      </w:r>
    </w:p>
    <w:bookmarkEnd w:id="694"/>
    <w:bookmarkStart w:id="695" w:name="sensitivity-metrics"/>
    <w:p>
      <w:pPr>
        <w:pStyle w:val="Heading3"/>
      </w:pPr>
      <w:r>
        <w:t xml:space="preserve">A.2.2 Sensitivity Metrics</w:t>
      </w:r>
    </w:p>
    <w:p>
      <w:pPr>
        <w:pStyle w:val="FirstParagraph"/>
      </w:pPr>
      <w:r>
        <w:t xml:space="preserve">The map can display any of the following layers:</w:t>
      </w:r>
    </w:p>
    <w:p>
      <w:pPr>
        <w:pStyle w:val="Compact"/>
        <w:numPr>
          <w:ilvl w:val="0"/>
          <w:numId w:val="1065"/>
        </w:numPr>
      </w:pPr>
      <w:r>
        <w:t xml:space="preserve">Composite extinction risk (weighted sum across all species categories)</w:t>
      </w:r>
    </w:p>
    <w:p>
      <w:pPr>
        <w:pStyle w:val="Compact"/>
        <w:numPr>
          <w:ilvl w:val="0"/>
          <w:numId w:val="1065"/>
        </w:numPr>
      </w:pPr>
      <w:r>
        <w:t xml:space="preserve">Individual category scores, one per scored species category in the release being viewed</w:t>
      </w:r>
    </w:p>
    <w:p>
      <w:pPr>
        <w:pStyle w:val="Compact"/>
        <w:numPr>
          <w:ilvl w:val="0"/>
          <w:numId w:val="1065"/>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695"/>
    <w:bookmarkStart w:id="696" w:name="flower-plot-1"/>
    <w:p>
      <w:pPr>
        <w:pStyle w:val="Heading3"/>
      </w:pPr>
      <w:r>
        <w:t xml:space="preserve">A.2.3 Flower Plot</w:t>
      </w:r>
    </w:p>
    <w:p>
      <w:pPr>
        <w:pStyle w:val="FirstParagraph"/>
      </w:pPr>
      <w:r>
        <w:t xml:space="preserve">Selecting a program area displays a flower plot summarizing the sensitivity profile:</w:t>
      </w:r>
    </w:p>
    <w:p>
      <w:pPr>
        <w:pStyle w:val="Compact"/>
        <w:numPr>
          <w:ilvl w:val="0"/>
          <w:numId w:val="1066"/>
        </w:numPr>
      </w:pPr>
      <w:r>
        <w:t xml:space="preserve">Each petal represents a species category</w:t>
      </w:r>
    </w:p>
    <w:p>
      <w:pPr>
        <w:pStyle w:val="Compact"/>
        <w:numPr>
          <w:ilvl w:val="0"/>
          <w:numId w:val="1066"/>
        </w:numPr>
      </w:pPr>
      <w:r>
        <w:t xml:space="preserve">Petal length = rescaled sensitivity score (0–100)</w:t>
      </w:r>
    </w:p>
    <w:p>
      <w:pPr>
        <w:pStyle w:val="Compact"/>
        <w:numPr>
          <w:ilvl w:val="0"/>
          <w:numId w:val="1066"/>
        </w:numPr>
      </w:pPr>
      <w:r>
        <w:t xml:space="preserve">Petal width = category weight</w:t>
      </w:r>
    </w:p>
    <w:p>
      <w:pPr>
        <w:pStyle w:val="Compact"/>
        <w:numPr>
          <w:ilvl w:val="0"/>
          <w:numId w:val="1066"/>
        </w:numPr>
      </w:pPr>
      <w:r>
        <w:t xml:space="preserve">Center value = weighted mean across categories</w:t>
      </w:r>
    </w:p>
    <w:bookmarkEnd w:id="696"/>
    <w:bookmarkStart w:id="697" w:name="species-table"/>
    <w:p>
      <w:pPr>
        <w:pStyle w:val="Heading3"/>
      </w:pPr>
      <w:r>
        <w:t xml:space="preserve">A.2.4 Species Table</w:t>
      </w:r>
    </w:p>
    <w:p>
      <w:pPr>
        <w:pStyle w:val="FirstParagraph"/>
      </w:pPr>
      <w:r>
        <w:t xml:space="preserve">A sortable table of all valid species present in the selected area, showing:</w:t>
      </w:r>
    </w:p>
    <w:p>
      <w:pPr>
        <w:pStyle w:val="Compact"/>
        <w:numPr>
          <w:ilvl w:val="0"/>
          <w:numId w:val="1067"/>
        </w:numPr>
      </w:pPr>
      <w:r>
        <w:t xml:space="preserve">Scientific and common name</w:t>
      </w:r>
    </w:p>
    <w:p>
      <w:pPr>
        <w:pStyle w:val="Compact"/>
        <w:numPr>
          <w:ilvl w:val="0"/>
          <w:numId w:val="1067"/>
        </w:numPr>
      </w:pPr>
      <w:r>
        <w:t xml:space="preserve">Species category</w:t>
      </w:r>
    </w:p>
    <w:p>
      <w:pPr>
        <w:pStyle w:val="Compact"/>
        <w:numPr>
          <w:ilvl w:val="0"/>
          <w:numId w:val="1067"/>
        </w:numPr>
      </w:pPr>
      <w:r>
        <w:t xml:space="preserve">ESA listing, IUCN Red List status</w:t>
      </w:r>
    </w:p>
    <w:p>
      <w:pPr>
        <w:pStyle w:val="Compact"/>
        <w:numPr>
          <w:ilvl w:val="0"/>
          <w:numId w:val="1067"/>
        </w:numPr>
      </w:pPr>
      <w:r>
        <w:t xml:space="preserve">MMPA/MBTA protection flags</w:t>
      </w:r>
    </w:p>
    <w:p>
      <w:pPr>
        <w:pStyle w:val="Compact"/>
        <w:numPr>
          <w:ilvl w:val="0"/>
          <w:numId w:val="1067"/>
        </w:numPr>
      </w:pPr>
      <w:r>
        <w:t xml:space="preserve">Extinction risk score</w:t>
      </w:r>
    </w:p>
    <w:bookmarkEnd w:id="697"/>
    <w:bookmarkStart w:id="698" w:name="data-export"/>
    <w:p>
      <w:pPr>
        <w:pStyle w:val="Heading3"/>
      </w:pPr>
      <w:r>
        <w:t xml:space="preserve">A.2.5 Data Export</w:t>
      </w:r>
    </w:p>
    <w:p>
      <w:pPr>
        <w:pStyle w:val="FirstParagraph"/>
      </w:pPr>
      <w:r>
        <w:t xml:space="preserve">Users can download CSV files of scores and species lists for the selected program area or custom area of interest.</w:t>
      </w:r>
    </w:p>
    <w:bookmarkEnd w:id="698"/>
    <w:bookmarkEnd w:id="699"/>
    <w:bookmarkStart w:id="700" w:name="generating-screenshots-1"/>
    <w:p>
      <w:pPr>
        <w:pStyle w:val="Heading2"/>
      </w:pPr>
      <w:r>
        <w:t xml:space="preserve">A.3 Generating Screenshots</w:t>
      </w:r>
    </w:p>
    <w:bookmarkEnd w:id="700"/>
    <w:bookmarkStart w:id="702" w:name="source-code-1"/>
    <w:p>
      <w:pPr>
        <w:pStyle w:val="Heading2"/>
      </w:pPr>
      <w:r>
        <w:t xml:space="preserve">A.4 Source Code</w:t>
      </w:r>
    </w:p>
    <w:p>
      <w:pPr>
        <w:pStyle w:val="FirstParagraph"/>
      </w:pPr>
      <w:hyperlink r:id="rId701">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were retired earlier; since the Atlas cutover they, the</w:t>
      </w:r>
      <w:r>
        <w:t xml:space="preserve"> </w:t>
      </w:r>
      <w:r>
        <w:rPr>
          <w:rStyle w:val="VerbatimChar"/>
        </w:rPr>
        <w:t xml:space="preserve">/v{n}/scores/</w:t>
      </w:r>
      <w:r>
        <w:t xml:space="preserve"> </w:t>
      </w:r>
      <w:r>
        <w:t xml:space="preserve">path and an older</w:t>
      </w:r>
      <w:r>
        <w:t xml:space="preserve"> </w:t>
      </w:r>
      <w:r>
        <w:rPr>
          <w:rStyle w:val="VerbatimChar"/>
        </w:rPr>
        <w:t xml:space="preserve">?ver=</w:t>
      </w:r>
      <w:r>
        <w:t xml:space="preserve"> </w:t>
      </w:r>
      <w:r>
        <w:t xml:space="preserve">deep link all redirect (HTTP 302) straight to the Atlas in one hop, a restricted release’s to its Atlas on the preview host.</w:t>
      </w:r>
    </w:p>
    <w:bookmarkEnd w:id="702"/>
    <w:bookmarkEnd w:id="703"/>
    <w:bookmarkStart w:id="704" w:name="X3680c5fb3e20b6a91c613e2235f302b13356ea8"/>
    <w:p>
      <w:pPr>
        <w:pStyle w:val="Heading1"/>
      </w:pPr>
      <w:r>
        <w:t xml:space="preserve">Appendix B — Species — mapper of individual species distributions</w:t>
      </w:r>
    </w:p>
    <w:bookmarkEnd w:id="704"/>
    <w:bookmarkStart w:id="720" w:name="sec-app-species"/>
    <w:p>
      <w:pPr>
        <w:pStyle w:val="Heading1"/>
      </w:pPr>
      <w:r>
        <w:t xml:space="preserve">Appendix B — Species</w:t>
      </w:r>
    </w:p>
    <w:bookmarkStart w:id="711" w:name="overview-3"/>
    <w:p>
      <w:pPr>
        <w:pStyle w:val="Heading2"/>
      </w:pPr>
      <w:r>
        <w:t xml:space="preserve">B.1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05" name="Picture"/>
                  <a:graphic>
                    <a:graphicData uri="http://schemas.openxmlformats.org/drawingml/2006/picture">
                      <pic:pic>
                        <pic:nvPicPr>
                          <pic:cNvPr descr="/Applications/quarto/share/formats/docx/important.png" id="70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Species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forms) now redirect to the Atlas’s Species lens with the query carried, and its source stays in the</w:t>
            </w:r>
            <w:r>
              <w:t xml:space="preserve"> </w:t>
            </w:r>
            <w:hyperlink r:id="rId466">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Species</w:t>
      </w:r>
      <w:r>
        <w:t xml:space="preserve"> </w:t>
      </w:r>
      <w:r>
        <w:t xml:space="preserve">application (</w:t>
      </w:r>
      <w:r>
        <w:rPr>
          <w:rStyle w:val="VerbatimChar"/>
        </w:rPr>
        <w:t xml:space="preserve">app.marinesensitivity.org/{ver}/species/</w:t>
      </w:r>
      <w:r>
        <w:t xml:space="preserve">) enabled exploration of individual species distribution models. Like the Scores app it rendered</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showed v3. Users could view merged and source-level models, compare masked vs. unmasked distributions, and access detailed species regulatory status information.</w:t>
      </w:r>
    </w:p>
    <w:p>
      <w:pPr>
        <w:pStyle w:val="BodyText"/>
      </w:pPr>
      <w:hyperlink w:anchor="fig-species-blue-whale">
        <w:r>
          <w:rPr>
            <w:rStyle w:val="Hyperlink"/>
          </w:rPr>
          <w:t xml:space="preserve">Figure D.1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10" w:name="fig-species-blue-whale"/>
          <w:p>
            <w:pPr>
              <w:pStyle w:val="Compact"/>
              <w:jc w:val="center"/>
            </w:pPr>
            <w:r>
              <w:drawing>
                <wp:inline>
                  <wp:extent cx="5334000" cy="3018971"/>
                  <wp:effectExtent b="0" l="0" r="0" t="0"/>
                  <wp:docPr descr="" title="" id="708" name="Picture"/>
                  <a:graphic>
                    <a:graphicData uri="http://schemas.openxmlformats.org/drawingml/2006/picture">
                      <pic:pic>
                        <pic:nvPicPr>
                          <pic:cNvPr descr="figures/apps/species-blue-whale.png" id="709" name="Picture"/>
                          <pic:cNvPicPr>
                            <a:picLocks noChangeArrowheads="1" noChangeAspect="1"/>
                          </pic:cNvPicPr>
                        </pic:nvPicPr>
                        <pic:blipFill>
                          <a:blip r:embed="rId707"/>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10"/>
        </w:tc>
      </w:tr>
    </w:tbl>
    <w:bookmarkEnd w:id="711"/>
    <w:bookmarkStart w:id="716" w:name="features-1"/>
    <w:p>
      <w:pPr>
        <w:pStyle w:val="Heading2"/>
      </w:pPr>
      <w:r>
        <w:t xml:space="preserve">B.2 Features</w:t>
      </w:r>
    </w:p>
    <w:bookmarkStart w:id="712" w:name="species-selection"/>
    <w:p>
      <w:pPr>
        <w:pStyle w:val="Heading3"/>
      </w:pPr>
      <w:r>
        <w:t xml:space="preserve">B.2.1 Species Selection</w:t>
      </w:r>
    </w:p>
    <w:p>
      <w:pPr>
        <w:pStyle w:val="Compact"/>
        <w:numPr>
          <w:ilvl w:val="0"/>
          <w:numId w:val="1068"/>
        </w:numPr>
      </w:pPr>
      <w:r>
        <w:rPr>
          <w:b/>
          <w:bCs/>
        </w:rPr>
        <w:t xml:space="preserve">Search</w:t>
      </w:r>
      <w:r>
        <w:t xml:space="preserve">: find species by common name or scientific name</w:t>
      </w:r>
    </w:p>
    <w:p>
      <w:pPr>
        <w:pStyle w:val="Compact"/>
        <w:numPr>
          <w:ilvl w:val="0"/>
          <w:numId w:val="1068"/>
        </w:numPr>
      </w:pPr>
      <w:r>
        <w:rPr>
          <w:b/>
          <w:bCs/>
        </w:rPr>
        <w:t xml:space="preserve">Category filter</w:t>
      </w:r>
      <w:r>
        <w:t xml:space="preserve">: narrow results by species category, as defined in the release being viewed</w:t>
      </w:r>
    </w:p>
    <w:p>
      <w:pPr>
        <w:pStyle w:val="Compact"/>
        <w:numPr>
          <w:ilvl w:val="0"/>
          <w:numId w:val="1068"/>
        </w:numPr>
      </w:pPr>
      <w:r>
        <w:rPr>
          <w:b/>
          <w:bCs/>
        </w:rPr>
        <w:t xml:space="preserve">Alphabetical browsing</w:t>
      </w:r>
      <w:r>
        <w:t xml:space="preserve">: scroll through species lists within each category</w:t>
      </w:r>
    </w:p>
    <w:bookmarkEnd w:id="712"/>
    <w:bookmarkStart w:id="713" w:name="model-display"/>
    <w:p>
      <w:pPr>
        <w:pStyle w:val="Heading3"/>
      </w:pPr>
      <w:r>
        <w:t xml:space="preserve">B.2.2 Model Display</w:t>
      </w:r>
    </w:p>
    <w:p>
      <w:pPr>
        <w:pStyle w:val="Compact"/>
        <w:numPr>
          <w:ilvl w:val="0"/>
          <w:numId w:val="1069"/>
        </w:numPr>
      </w:pPr>
      <w:r>
        <w:rPr>
          <w:b/>
          <w:bCs/>
        </w:rPr>
        <w:t xml:space="preserve">Merged model</w:t>
      </w:r>
      <w:r>
        <w:t xml:space="preserve">: the final merged distribution showing MAX values across all source datasets, with masking and spatial floors applied</w:t>
      </w:r>
    </w:p>
    <w:p>
      <w:pPr>
        <w:pStyle w:val="Compact"/>
        <w:numPr>
          <w:ilvl w:val="0"/>
          <w:numId w:val="1069"/>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69"/>
        </w:numPr>
      </w:pPr>
      <w:r>
        <w:rPr>
          <w:b/>
          <w:bCs/>
        </w:rPr>
        <w:t xml:space="preserve">IUCN masking toggle</w:t>
      </w:r>
      <w:r>
        <w:t xml:space="preserve">: compare the unmasked AquaMaps SDM with the masked merged model to visualize the effect of range constraints</w:t>
      </w:r>
    </w:p>
    <w:bookmarkEnd w:id="713"/>
    <w:bookmarkStart w:id="714" w:name="species-info-panel"/>
    <w:p>
      <w:pPr>
        <w:pStyle w:val="Heading3"/>
      </w:pPr>
      <w:r>
        <w:t xml:space="preserve">B.2.3 Species Info Panel</w:t>
      </w:r>
    </w:p>
    <w:p>
      <w:pPr>
        <w:pStyle w:val="FirstParagraph"/>
      </w:pPr>
      <w:r>
        <w:t xml:space="preserve">Detailed information for the selected species:</w:t>
      </w:r>
    </w:p>
    <w:p>
      <w:pPr>
        <w:pStyle w:val="Compact"/>
        <w:numPr>
          <w:ilvl w:val="0"/>
          <w:numId w:val="1070"/>
        </w:numPr>
      </w:pPr>
      <w:r>
        <w:t xml:space="preserve">Scientific name and common name</w:t>
      </w:r>
    </w:p>
    <w:p>
      <w:pPr>
        <w:pStyle w:val="Compact"/>
        <w:numPr>
          <w:ilvl w:val="0"/>
          <w:numId w:val="1070"/>
        </w:numPr>
      </w:pPr>
      <w:r>
        <w:t xml:space="preserve">Species category (bird, fish, mammal, etc.)</w:t>
      </w:r>
    </w:p>
    <w:p>
      <w:pPr>
        <w:pStyle w:val="Compact"/>
        <w:numPr>
          <w:ilvl w:val="0"/>
          <w:numId w:val="1070"/>
        </w:numPr>
      </w:pPr>
      <w:r>
        <w:t xml:space="preserve">ESA listing status (Endangered, Threatened, or not listed)</w:t>
      </w:r>
    </w:p>
    <w:p>
      <w:pPr>
        <w:pStyle w:val="Compact"/>
        <w:numPr>
          <w:ilvl w:val="0"/>
          <w:numId w:val="1070"/>
        </w:numPr>
      </w:pPr>
      <w:r>
        <w:t xml:space="preserve">IUCN Red List category</w:t>
      </w:r>
    </w:p>
    <w:p>
      <w:pPr>
        <w:pStyle w:val="Compact"/>
        <w:numPr>
          <w:ilvl w:val="0"/>
          <w:numId w:val="1070"/>
        </w:numPr>
      </w:pPr>
      <w:r>
        <w:t xml:space="preserve">MMPA protection flag</w:t>
      </w:r>
    </w:p>
    <w:p>
      <w:pPr>
        <w:pStyle w:val="Compact"/>
        <w:numPr>
          <w:ilvl w:val="0"/>
          <w:numId w:val="1070"/>
        </w:numPr>
      </w:pPr>
      <w:r>
        <w:t xml:space="preserve">MBTA protection flag</w:t>
      </w:r>
    </w:p>
    <w:p>
      <w:pPr>
        <w:pStyle w:val="Compact"/>
        <w:numPr>
          <w:ilvl w:val="0"/>
          <w:numId w:val="1070"/>
        </w:numPr>
      </w:pPr>
      <w:r>
        <w:t xml:space="preserve">Computed extinction risk score (1–100)</w:t>
      </w:r>
    </w:p>
    <w:p>
      <w:pPr>
        <w:pStyle w:val="Compact"/>
        <w:numPr>
          <w:ilvl w:val="0"/>
          <w:numId w:val="1070"/>
        </w:numPr>
      </w:pPr>
      <w:r>
        <w:t xml:space="preserve">Number of source datasets contributing to the merged model</w:t>
      </w:r>
    </w:p>
    <w:bookmarkEnd w:id="714"/>
    <w:bookmarkStart w:id="715" w:name="deep-linking"/>
    <w:p>
      <w:pPr>
        <w:pStyle w:val="Heading3"/>
      </w:pPr>
      <w:r>
        <w:t xml:space="preserve">B.2.4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15"/>
    <w:bookmarkEnd w:id="716"/>
    <w:bookmarkStart w:id="717" w:name="generating-screenshots-2"/>
    <w:p>
      <w:pPr>
        <w:pStyle w:val="Heading2"/>
      </w:pPr>
      <w:r>
        <w:t xml:space="preserve">B.3 Generating Screenshots</w:t>
      </w:r>
    </w:p>
    <w:bookmarkEnd w:id="717"/>
    <w:bookmarkStart w:id="719" w:name="source-code-2"/>
    <w:p>
      <w:pPr>
        <w:pStyle w:val="Heading2"/>
      </w:pPr>
      <w:r>
        <w:t xml:space="preserve">B.4 Source Code</w:t>
      </w:r>
    </w:p>
    <w:p>
      <w:pPr>
        <w:pStyle w:val="FirstParagraph"/>
      </w:pPr>
      <w:hyperlink r:id="rId718">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19"/>
    <w:bookmarkEnd w:id="720"/>
    <w:bookmarkStart w:id="807" w:name="shiny-apps-user-guide-retired"/>
    <w:p>
      <w:pPr>
        <w:pStyle w:val="Heading1"/>
      </w:pPr>
      <w:r>
        <w:t xml:space="preserve">Appendix C — Shiny Apps User Guide (retired)</w:t>
      </w:r>
    </w:p>
    <w:p>
      <w:pPr>
        <w:pStyle w:val="FirstParagraph"/>
      </w:pPr>
      <w:r>
        <w:t xml:space="preserve">Step-by-step walkthrough of the retired Scores and Species Shiny</w:t>
      </w:r>
      <w:r>
        <w:t xml:space="preserve"> </w:t>
      </w:r>
      <w:r>
        <w:t xml:space="preserve">applications</w:t>
      </w:r>
    </w:p>
    <w:p>
      <w:pPr>
        <w:pStyle w:val="BodyText"/>
      </w:pPr>
      <w:r>
        <w:br/>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21" name="Picture"/>
                  <a:graphic>
                    <a:graphicData uri="http://schemas.openxmlformats.org/drawingml/2006/picture">
                      <pic:pic>
                        <pic:nvPicPr>
                          <pic:cNvPr descr="/Applications/quarto/share/formats/docx/important.png" id="72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and Species Shiny apps this guide walks through were retired in October 2026 when the</w:t>
            </w:r>
            <w:r>
              <w:t xml:space="preserve"> </w:t>
            </w:r>
            <w:r>
              <w:t xml:space="preserve">Atlas became the project’s application; their URLs now redirect to the Atlas. The screenshots below</w:t>
            </w:r>
            <w:r>
              <w:t xml:space="preserve"> </w:t>
            </w:r>
            <w:r>
              <w:t xml:space="preserve">were captured on 2026-06-05; the apps changed after that until their retirement, so they may differ in detail from the last build. They are kept as a record. For the current app see the</w:t>
            </w:r>
            <w:r>
              <w:t xml:space="preserve"> </w:t>
            </w:r>
            <w:hyperlink w:anchor="atlas-user-guide">
              <w:r>
                <w:rPr>
                  <w:rStyle w:val="Hyperlink"/>
                </w:rPr>
                <w:t xml:space="preserve">Atlas user guide</w:t>
              </w:r>
            </w:hyperlink>
            <w:r>
              <w:t xml:space="preserve">.</w:t>
            </w:r>
          </w:p>
          <w:p/>
        </w:tc>
      </w:tr>
    </w:tbl>
    <w:p>
      <w:pPr>
        <w:pStyle w:val="BodyText"/>
      </w:pPr>
      <w:r>
        <w:t xml:space="preserve">This guide walked through the two interactive Shiny applications —</w:t>
      </w:r>
      <w:r>
        <w:t xml:space="preserve"> </w:t>
      </w:r>
      <w:r>
        <w:rPr>
          <w:b/>
          <w:bCs/>
        </w:rPr>
        <w:t xml:space="preserve">Scores</w:t>
      </w:r>
      <w:r>
        <w:t xml:space="preserve"> </w:t>
      </w:r>
      <w:r>
        <w:t xml:space="preserve">(</w:t>
      </w:r>
      <w:r>
        <w:rPr>
          <w:rStyle w:val="VerbatimChar"/>
        </w:rPr>
        <w:t xml:space="preserve">app.marinesensitivity.org/{ver}/scores/</w:t>
      </w:r>
      <w:r>
        <w:t xml:space="preserve">) and</w:t>
      </w:r>
      <w:r>
        <w:t xml:space="preserve"> </w:t>
      </w:r>
      <w:r>
        <w:rPr>
          <w:b/>
          <w:bCs/>
        </w:rPr>
        <w:t xml:space="preserve">Species</w:t>
      </w:r>
      <w:r>
        <w:t xml:space="preserve"> </w:t>
      </w:r>
      <w:r>
        <w:t xml:space="preserve">(</w:t>
      </w:r>
      <w:r>
        <w:rPr>
          <w:rStyle w:val="VerbatimChar"/>
        </w:rPr>
        <w:t xml:space="preserve">app.marinesensitivity.org/{ver}/species/</w:t>
      </w:r>
      <w:r>
        <w:t xml:space="preserve">) — one control at a time. Each numbered step below mirrors</w:t>
      </w:r>
      <w:r>
        <w:t xml:space="preserve"> </w:t>
      </w:r>
      <w:r>
        <w:t xml:space="preserve">a step in that app’s built-in</w:t>
      </w:r>
      <w:r>
        <w:t xml:space="preserve"> </w:t>
      </w:r>
      <w:r>
        <w:rPr>
          <w:b/>
          <w:bCs/>
        </w:rPr>
        <w:t xml:space="preserve">Take a Tour</w:t>
      </w:r>
      <w:r>
        <w:t xml:space="preserve"> </w:t>
      </w:r>
      <w:r>
        <w:t xml:space="preserve">(</w:t>
      </w:r>
      <w:r>
        <w:rPr>
          <w:i/>
          <w:iCs/>
        </w:rPr>
        <w:t xml:space="preserve">About → Take a Tour</w:t>
      </w:r>
      <w:r>
        <w:t xml:space="preserve"> </w:t>
      </w:r>
      <w:r>
        <w:t xml:space="preserve">in either app), with the relevant</w:t>
      </w:r>
      <w:r>
        <w:t xml:space="preserve"> </w:t>
      </w:r>
      <w:r>
        <w:t xml:space="preserve">control highlighted on the screenshot.</w:t>
      </w:r>
    </w:p>
    <w:p>
      <w:pPr>
        <w:pStyle w:val="BodyText"/>
      </w:pPr>
      <w:r>
        <w:t xml:space="preserve">For a feature-by-feature reference instead, see the</w:t>
      </w:r>
      <w:r>
        <w:t xml:space="preserve"> </w:t>
      </w:r>
      <w:hyperlink w:anchor="X0866deb9de13c5a949683d88efa8b94747e10df">
        <w:r>
          <w:rPr>
            <w:rStyle w:val="Hyperlink"/>
          </w:rPr>
          <w:t xml:space="preserve">Scores</w:t>
        </w:r>
      </w:hyperlink>
      <w:r>
        <w:t xml:space="preserve"> </w:t>
      </w:r>
      <w:r>
        <w:t xml:space="preserve">and</w:t>
      </w:r>
      <w:r>
        <w:t xml:space="preserve"> </w:t>
      </w:r>
      <w:hyperlink w:anchor="X3680c5fb3e20b6a91c613e2235f302b13356ea8">
        <w:r>
          <w:rPr>
            <w:rStyle w:val="Hyperlink"/>
          </w:rPr>
          <w:t xml:space="preserve">Species</w:t>
        </w:r>
      </w:hyperlink>
      <w:r>
        <w:t xml:space="preserve"> </w:t>
      </w:r>
      <w:r>
        <w:t xml:space="preserve">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Applications/quarto/share/formats/docx/tip.png" id="724"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was generated</w:t>
            </w:r>
          </w:p>
        </w:tc>
      </w:tr>
      <w:tr>
        <w:trPr>
          <w:cantSplit/>
        </w:trPr>
        <w:tc>
          <w:tcPr>
            <w:tcMar>
              <w:top w:w="108" w:type="dxa"/>
              <w:bottom w:w="108" w:type="dxa"/>
            </w:tcMar>
          </w:tcPr>
          <w:p>
            <w:pPr>
              <w:pStyle w:val="BodyText"/>
            </w:pPr>
            <w:pPr>
              <w:spacing w:before="16" w:after="16"/>
            </w:pPr>
            <w:r>
              <w:t xml:space="preserve">The steps, captions, and highlighted screenshots were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by</w:t>
            </w:r>
            <w:r>
              <w:t xml:space="preserve"> </w:t>
            </w:r>
            <w:r>
              <w:rPr>
                <w:rStyle w:val="VerbatimChar"/>
              </w:rPr>
              <w:t xml:space="preserve">libs/apps-guide-regenerate.R</w:t>
            </w:r>
            <w:r>
              <w:t xml:space="preserve">, which wrote</w:t>
            </w:r>
            <w:r>
              <w:t xml:space="preserve"> </w:t>
            </w:r>
            <w:r>
              <w:rPr>
                <w:rStyle w:val="VerbatimChar"/>
              </w:rPr>
              <w:t xml:space="preserve">figures/apps-guide/steps.json</w:t>
            </w:r>
            <w:r>
              <w:t xml:space="preserve">. The apps are retired and unreachable, so that</w:t>
            </w:r>
            <w:r>
              <w:t xml:space="preserve"> </w:t>
            </w:r>
            <w:r>
              <w:t xml:space="preserve">script can no longer run and this page is frozen at the last capture.</w:t>
            </w:r>
          </w:p>
          <w:p/>
        </w:tc>
      </w:tr>
    </w:tbl>
    <w:bookmarkStart w:id="780" w:name="scores-app"/>
    <w:p>
      <w:pPr>
        <w:pStyle w:val="Heading2"/>
      </w:pPr>
      <w:r>
        <w:t xml:space="preserve">C.1 Scores app</w:t>
      </w:r>
    </w:p>
    <w:bookmarkStart w:id="729" w:name="study-area"/>
    <w:p>
      <w:pPr>
        <w:pStyle w:val="Heading3"/>
      </w:pPr>
      <w:r>
        <w:t xml:space="preserve">C.1.1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728" w:name="fig-scores-01"/>
          <w:p>
            <w:pPr>
              <w:pStyle w:val="Compact"/>
              <w:jc w:val="center"/>
            </w:pPr>
            <w:r>
              <w:drawing>
                <wp:inline>
                  <wp:extent cx="5334000" cy="3583781"/>
                  <wp:effectExtent b="0" l="0" r="0" t="0"/>
                  <wp:docPr descr="" title="" id="726" name="Picture"/>
                  <a:graphic>
                    <a:graphicData uri="http://schemas.openxmlformats.org/drawingml/2006/picture">
                      <pic:pic>
                        <pic:nvPicPr>
                          <pic:cNvPr descr="figures/apps-guide/scores-01.png" id="727" name="Picture"/>
                          <pic:cNvPicPr>
                            <a:picLocks noChangeArrowheads="1" noChangeAspect="1"/>
                          </pic:cNvPicPr>
                        </pic:nvPicPr>
                        <pic:blipFill>
                          <a:blip r:embed="rId72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 Study Area</w:t>
            </w:r>
          </w:p>
          <w:bookmarkEnd w:id="728"/>
        </w:tc>
      </w:tr>
    </w:tbl>
    <w:bookmarkEnd w:id="729"/>
    <w:bookmarkStart w:id="734" w:name="spatial-units-1"/>
    <w:p>
      <w:pPr>
        <w:pStyle w:val="Heading3"/>
      </w:pPr>
      <w:r>
        <w:t xml:space="preserve">C.1.2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733" w:name="fig-scores-02"/>
          <w:p>
            <w:pPr>
              <w:pStyle w:val="Compact"/>
              <w:jc w:val="center"/>
            </w:pPr>
            <w:r>
              <w:drawing>
                <wp:inline>
                  <wp:extent cx="5334000" cy="3583781"/>
                  <wp:effectExtent b="0" l="0" r="0" t="0"/>
                  <wp:docPr descr="" title="" id="731" name="Picture"/>
                  <a:graphic>
                    <a:graphicData uri="http://schemas.openxmlformats.org/drawingml/2006/picture">
                      <pic:pic>
                        <pic:nvPicPr>
                          <pic:cNvPr descr="figures/apps-guide/scores-02.png" id="732" name="Picture"/>
                          <pic:cNvPicPr>
                            <a:picLocks noChangeArrowheads="1" noChangeAspect="1"/>
                          </pic:cNvPicPr>
                        </pic:nvPicPr>
                        <pic:blipFill>
                          <a:blip r:embed="rId73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E.2: Spatial Units</w:t>
            </w:r>
          </w:p>
          <w:bookmarkEnd w:id="733"/>
        </w:tc>
      </w:tr>
    </w:tbl>
    <w:bookmarkEnd w:id="734"/>
    <w:bookmarkStart w:id="739" w:name="layer-selection"/>
    <w:p>
      <w:pPr>
        <w:pStyle w:val="Heading3"/>
      </w:pPr>
      <w:r>
        <w:t xml:space="preserve">C.1.3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38" w:name="fig-scores-03"/>
          <w:p>
            <w:pPr>
              <w:pStyle w:val="Compact"/>
              <w:jc w:val="center"/>
            </w:pPr>
            <w:r>
              <w:drawing>
                <wp:inline>
                  <wp:extent cx="5334000" cy="3583781"/>
                  <wp:effectExtent b="0" l="0" r="0" t="0"/>
                  <wp:docPr descr="" title="" id="736" name="Picture"/>
                  <a:graphic>
                    <a:graphicData uri="http://schemas.openxmlformats.org/drawingml/2006/picture">
                      <pic:pic>
                        <pic:nvPicPr>
                          <pic:cNvPr descr="figures/apps-guide/scores-03.png" id="737" name="Picture"/>
                          <pic:cNvPicPr>
                            <a:picLocks noChangeArrowheads="1" noChangeAspect="1"/>
                          </pic:cNvPicPr>
                        </pic:nvPicPr>
                        <pic:blipFill>
                          <a:blip r:embed="rId73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E.3: Layer Selection</w:t>
            </w:r>
          </w:p>
          <w:bookmarkEnd w:id="738"/>
        </w:tc>
      </w:tr>
    </w:tbl>
    <w:bookmarkEnd w:id="739"/>
    <w:bookmarkStart w:id="744" w:name="map-tab"/>
    <w:p>
      <w:pPr>
        <w:pStyle w:val="Heading3"/>
      </w:pPr>
      <w:r>
        <w:t xml:space="preserve">C.1.4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743" w:name="fig-scores-04"/>
          <w:p>
            <w:pPr>
              <w:pStyle w:val="Compact"/>
              <w:jc w:val="center"/>
            </w:pPr>
            <w:r>
              <w:drawing>
                <wp:inline>
                  <wp:extent cx="5334000" cy="3583781"/>
                  <wp:effectExtent b="0" l="0" r="0" t="0"/>
                  <wp:docPr descr="" title="" id="741" name="Picture"/>
                  <a:graphic>
                    <a:graphicData uri="http://schemas.openxmlformats.org/drawingml/2006/picture">
                      <pic:pic>
                        <pic:nvPicPr>
                          <pic:cNvPr descr="figures/apps-guide/scores-04.png" id="742" name="Picture"/>
                          <pic:cNvPicPr>
                            <a:picLocks noChangeArrowheads="1" noChangeAspect="1"/>
                          </pic:cNvPicPr>
                        </pic:nvPicPr>
                        <pic:blipFill>
                          <a:blip r:embed="rId74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E.4: Map tab</w:t>
            </w:r>
          </w:p>
          <w:bookmarkEnd w:id="743"/>
        </w:tc>
      </w:tr>
    </w:tbl>
    <w:bookmarkEnd w:id="744"/>
    <w:bookmarkStart w:id="749" w:name="layers-control"/>
    <w:p>
      <w:pPr>
        <w:pStyle w:val="Heading3"/>
      </w:pPr>
      <w:r>
        <w:t xml:space="preserve">C.1.5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48" w:name="fig-scores-05"/>
          <w:p>
            <w:pPr>
              <w:pStyle w:val="Compact"/>
              <w:jc w:val="center"/>
            </w:pPr>
            <w:r>
              <w:drawing>
                <wp:inline>
                  <wp:extent cx="5334000" cy="3583781"/>
                  <wp:effectExtent b="0" l="0" r="0" t="0"/>
                  <wp:docPr descr="" title="" id="746" name="Picture"/>
                  <a:graphic>
                    <a:graphicData uri="http://schemas.openxmlformats.org/drawingml/2006/picture">
                      <pic:pic>
                        <pic:nvPicPr>
                          <pic:cNvPr descr="figures/apps-guide/scores-05.png" id="747" name="Picture"/>
                          <pic:cNvPicPr>
                            <a:picLocks noChangeArrowheads="1" noChangeAspect="1"/>
                          </pic:cNvPicPr>
                        </pic:nvPicPr>
                        <pic:blipFill>
                          <a:blip r:embed="rId74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E.5: Layers control</w:t>
            </w:r>
          </w:p>
          <w:bookmarkEnd w:id="748"/>
        </w:tc>
      </w:tr>
    </w:tbl>
    <w:bookmarkEnd w:id="749"/>
    <w:bookmarkStart w:id="754" w:name="go-to-location"/>
    <w:p>
      <w:pPr>
        <w:pStyle w:val="Heading3"/>
      </w:pPr>
      <w:r>
        <w:t xml:space="preserve">C.1.6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753" w:name="fig-scores-06"/>
          <w:p>
            <w:pPr>
              <w:pStyle w:val="Compact"/>
              <w:jc w:val="center"/>
            </w:pPr>
            <w:r>
              <w:drawing>
                <wp:inline>
                  <wp:extent cx="5334000" cy="3583781"/>
                  <wp:effectExtent b="0" l="0" r="0" t="0"/>
                  <wp:docPr descr="" title="" id="751" name="Picture"/>
                  <a:graphic>
                    <a:graphicData uri="http://schemas.openxmlformats.org/drawingml/2006/picture">
                      <pic:pic>
                        <pic:nvPicPr>
                          <pic:cNvPr descr="figures/apps-guide/scores-06.png" id="752" name="Picture"/>
                          <pic:cNvPicPr>
                            <a:picLocks noChangeArrowheads="1" noChangeAspect="1"/>
                          </pic:cNvPicPr>
                        </pic:nvPicPr>
                        <pic:blipFill>
                          <a:blip r:embed="rId75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E.6: Go to location</w:t>
            </w:r>
          </w:p>
          <w:bookmarkEnd w:id="753"/>
        </w:tc>
      </w:tr>
    </w:tbl>
    <w:bookmarkEnd w:id="754"/>
    <w:bookmarkStart w:id="759" w:name="full-screen"/>
    <w:p>
      <w:pPr>
        <w:pStyle w:val="Heading3"/>
      </w:pPr>
      <w:r>
        <w:t xml:space="preserve">C.1.7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758" w:name="fig-scores-07"/>
          <w:p>
            <w:pPr>
              <w:pStyle w:val="Compact"/>
              <w:jc w:val="center"/>
            </w:pPr>
            <w:r>
              <w:drawing>
                <wp:inline>
                  <wp:extent cx="5334000" cy="3583781"/>
                  <wp:effectExtent b="0" l="0" r="0" t="0"/>
                  <wp:docPr descr="" title="" id="756" name="Picture"/>
                  <a:graphic>
                    <a:graphicData uri="http://schemas.openxmlformats.org/drawingml/2006/picture">
                      <pic:pic>
                        <pic:nvPicPr>
                          <pic:cNvPr descr="figures/apps-guide/scores-07.png" id="757" name="Picture"/>
                          <pic:cNvPicPr>
                            <a:picLocks noChangeArrowheads="1" noChangeAspect="1"/>
                          </pic:cNvPicPr>
                        </pic:nvPicPr>
                        <pic:blipFill>
                          <a:blip r:embed="rId75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E.7: Full screen</w:t>
            </w:r>
          </w:p>
          <w:bookmarkEnd w:id="758"/>
        </w:tc>
      </w:tr>
    </w:tbl>
    <w:bookmarkEnd w:id="759"/>
    <w:bookmarkStart w:id="764" w:name="zoom-in-out"/>
    <w:p>
      <w:pPr>
        <w:pStyle w:val="Heading3"/>
      </w:pPr>
      <w:r>
        <w:t xml:space="preserve">C.1.8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763" w:name="fig-scores-08"/>
          <w:p>
            <w:pPr>
              <w:pStyle w:val="Compact"/>
              <w:jc w:val="center"/>
            </w:pPr>
            <w:r>
              <w:drawing>
                <wp:inline>
                  <wp:extent cx="5334000" cy="3583781"/>
                  <wp:effectExtent b="0" l="0" r="0" t="0"/>
                  <wp:docPr descr="" title="" id="761" name="Picture"/>
                  <a:graphic>
                    <a:graphicData uri="http://schemas.openxmlformats.org/drawingml/2006/picture">
                      <pic:pic>
                        <pic:nvPicPr>
                          <pic:cNvPr descr="figures/apps-guide/scores-08.png" id="762" name="Picture"/>
                          <pic:cNvPicPr>
                            <a:picLocks noChangeArrowheads="1" noChangeAspect="1"/>
                          </pic:cNvPicPr>
                        </pic:nvPicPr>
                        <pic:blipFill>
                          <a:blip r:embed="rId76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E.8: Zoom in / out</w:t>
            </w:r>
          </w:p>
          <w:bookmarkEnd w:id="763"/>
        </w:tc>
      </w:tr>
    </w:tbl>
    <w:bookmarkEnd w:id="764"/>
    <w:bookmarkStart w:id="769" w:name="plot-of-scores-tab"/>
    <w:p>
      <w:pPr>
        <w:pStyle w:val="Heading3"/>
      </w:pPr>
      <w:r>
        <w:t xml:space="preserve">C.1.9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768" w:name="fig-scores-09"/>
          <w:p>
            <w:pPr>
              <w:pStyle w:val="Compact"/>
              <w:jc w:val="center"/>
            </w:pPr>
            <w:r>
              <w:drawing>
                <wp:inline>
                  <wp:extent cx="5334000" cy="3583781"/>
                  <wp:effectExtent b="0" l="0" r="0" t="0"/>
                  <wp:docPr descr="" title="" id="766" name="Picture"/>
                  <a:graphic>
                    <a:graphicData uri="http://schemas.openxmlformats.org/drawingml/2006/picture">
                      <pic:pic>
                        <pic:nvPicPr>
                          <pic:cNvPr descr="figures/apps-guide/scores-09.png" id="767" name="Picture"/>
                          <pic:cNvPicPr>
                            <a:picLocks noChangeArrowheads="1" noChangeAspect="1"/>
                          </pic:cNvPicPr>
                        </pic:nvPicPr>
                        <pic:blipFill>
                          <a:blip r:embed="rId76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E.9: Plot of Scores tab</w:t>
            </w:r>
          </w:p>
          <w:bookmarkEnd w:id="768"/>
        </w:tc>
      </w:tr>
    </w:tbl>
    <w:bookmarkEnd w:id="769"/>
    <w:bookmarkStart w:id="774" w:name="table-of-species-tab"/>
    <w:p>
      <w:pPr>
        <w:pStyle w:val="Heading3"/>
      </w:pPr>
      <w:r>
        <w:t xml:space="preserve">C.1.10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773" w:name="fig-scores-10"/>
          <w:p>
            <w:pPr>
              <w:pStyle w:val="Compact"/>
              <w:jc w:val="center"/>
            </w:pPr>
            <w:r>
              <w:drawing>
                <wp:inline>
                  <wp:extent cx="5334000" cy="3583781"/>
                  <wp:effectExtent b="0" l="0" r="0" t="0"/>
                  <wp:docPr descr="" title="" id="771" name="Picture"/>
                  <a:graphic>
                    <a:graphicData uri="http://schemas.openxmlformats.org/drawingml/2006/picture">
                      <pic:pic>
                        <pic:nvPicPr>
                          <pic:cNvPr descr="figures/apps-guide/scores-10.png" id="772" name="Picture"/>
                          <pic:cNvPicPr>
                            <a:picLocks noChangeArrowheads="1" noChangeAspect="1"/>
                          </pic:cNvPicPr>
                        </pic:nvPicPr>
                        <pic:blipFill>
                          <a:blip r:embed="rId77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E.10: Table of Species tab</w:t>
            </w:r>
          </w:p>
          <w:bookmarkEnd w:id="773"/>
        </w:tc>
      </w:tr>
    </w:tbl>
    <w:bookmarkEnd w:id="774"/>
    <w:bookmarkStart w:id="779" w:name="report-tab"/>
    <w:p>
      <w:pPr>
        <w:pStyle w:val="Heading3"/>
      </w:pPr>
      <w:r>
        <w:t xml:space="preserve">C.1.11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778" w:name="fig-scores-11"/>
          <w:p>
            <w:pPr>
              <w:pStyle w:val="Compact"/>
              <w:jc w:val="center"/>
            </w:pPr>
            <w:r>
              <w:drawing>
                <wp:inline>
                  <wp:extent cx="5334000" cy="3583781"/>
                  <wp:effectExtent b="0" l="0" r="0" t="0"/>
                  <wp:docPr descr="" title="" id="776" name="Picture"/>
                  <a:graphic>
                    <a:graphicData uri="http://schemas.openxmlformats.org/drawingml/2006/picture">
                      <pic:pic>
                        <pic:nvPicPr>
                          <pic:cNvPr descr="figures/apps-guide/scores-11.png" id="777" name="Picture"/>
                          <pic:cNvPicPr>
                            <a:picLocks noChangeArrowheads="1" noChangeAspect="1"/>
                          </pic:cNvPicPr>
                        </pic:nvPicPr>
                        <pic:blipFill>
                          <a:blip r:embed="rId77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E.11: Report tab</w:t>
            </w:r>
          </w:p>
          <w:bookmarkEnd w:id="778"/>
        </w:tc>
      </w:tr>
    </w:tbl>
    <w:bookmarkEnd w:id="779"/>
    <w:bookmarkEnd w:id="780"/>
    <w:bookmarkStart w:id="806" w:name="species-app"/>
    <w:p>
      <w:pPr>
        <w:pStyle w:val="Heading2"/>
      </w:pPr>
      <w:r>
        <w:t xml:space="preserve">C.2 Species app</w:t>
      </w:r>
    </w:p>
    <w:bookmarkStart w:id="785" w:name="select-a-species"/>
    <w:p>
      <w:pPr>
        <w:pStyle w:val="Heading3"/>
      </w:pPr>
      <w:r>
        <w:t xml:space="preserve">C.2.1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784" w:name="fig-species-01"/>
          <w:p>
            <w:pPr>
              <w:pStyle w:val="Compact"/>
              <w:jc w:val="center"/>
            </w:pPr>
            <w:r>
              <w:drawing>
                <wp:inline>
                  <wp:extent cx="5334000" cy="3583781"/>
                  <wp:effectExtent b="0" l="0" r="0" t="0"/>
                  <wp:docPr descr="" title="" id="782" name="Picture"/>
                  <a:graphic>
                    <a:graphicData uri="http://schemas.openxmlformats.org/drawingml/2006/picture">
                      <pic:pic>
                        <pic:nvPicPr>
                          <pic:cNvPr descr="figures/apps-guide/species-01.png" id="783" name="Picture"/>
                          <pic:cNvPicPr>
                            <a:picLocks noChangeArrowheads="1" noChangeAspect="1"/>
                          </pic:cNvPicPr>
                        </pic:nvPicPr>
                        <pic:blipFill>
                          <a:blip r:embed="rId78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E.12: Select a Species</w:t>
            </w:r>
          </w:p>
          <w:bookmarkEnd w:id="784"/>
        </w:tc>
      </w:tr>
    </w:tbl>
    <w:bookmarkEnd w:id="785"/>
    <w:bookmarkStart w:id="790" w:name="mask-selection"/>
    <w:p>
      <w:pPr>
        <w:pStyle w:val="Heading3"/>
      </w:pPr>
      <w:r>
        <w:t xml:space="preserve">C.2.2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789" w:name="fig-species-02"/>
          <w:p>
            <w:pPr>
              <w:pStyle w:val="Compact"/>
              <w:jc w:val="center"/>
            </w:pPr>
            <w:r>
              <w:drawing>
                <wp:inline>
                  <wp:extent cx="5334000" cy="3583781"/>
                  <wp:effectExtent b="0" l="0" r="0" t="0"/>
                  <wp:docPr descr="" title="" id="787" name="Picture"/>
                  <a:graphic>
                    <a:graphicData uri="http://schemas.openxmlformats.org/drawingml/2006/picture">
                      <pic:pic>
                        <pic:nvPicPr>
                          <pic:cNvPr descr="figures/apps-guide/species-02.png" id="788" name="Picture"/>
                          <pic:cNvPicPr>
                            <a:picLocks noChangeArrowheads="1" noChangeAspect="1"/>
                          </pic:cNvPicPr>
                        </pic:nvPicPr>
                        <pic:blipFill>
                          <a:blip r:embed="rId78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E.13: Mask Selection</w:t>
            </w:r>
          </w:p>
          <w:bookmarkEnd w:id="789"/>
        </w:tc>
      </w:tr>
    </w:tbl>
    <w:bookmarkEnd w:id="790"/>
    <w:bookmarkStart w:id="795" w:name="layer-selector"/>
    <w:p>
      <w:pPr>
        <w:pStyle w:val="Heading3"/>
      </w:pPr>
      <w:r>
        <w:t xml:space="preserve">C.2.3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794" w:name="fig-species-03"/>
          <w:p>
            <w:pPr>
              <w:pStyle w:val="Compact"/>
              <w:jc w:val="center"/>
            </w:pPr>
            <w:r>
              <w:drawing>
                <wp:inline>
                  <wp:extent cx="5334000" cy="3583781"/>
                  <wp:effectExtent b="0" l="0" r="0" t="0"/>
                  <wp:docPr descr="" title="" id="792" name="Picture"/>
                  <a:graphic>
                    <a:graphicData uri="http://schemas.openxmlformats.org/drawingml/2006/picture">
                      <pic:pic>
                        <pic:nvPicPr>
                          <pic:cNvPr descr="figures/apps-guide/species-03.png" id="793" name="Picture"/>
                          <pic:cNvPicPr>
                            <a:picLocks noChangeArrowheads="1" noChangeAspect="1"/>
                          </pic:cNvPicPr>
                        </pic:nvPicPr>
                        <pic:blipFill>
                          <a:blip r:embed="rId79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E.14: Layer Selector</w:t>
            </w:r>
          </w:p>
          <w:bookmarkEnd w:id="794"/>
        </w:tc>
      </w:tr>
    </w:tbl>
    <w:bookmarkEnd w:id="795"/>
    <w:bookmarkStart w:id="800" w:name="species-map"/>
    <w:p>
      <w:pPr>
        <w:pStyle w:val="Heading3"/>
      </w:pPr>
      <w:r>
        <w:t xml:space="preserve">C.2.4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799" w:name="fig-species-04"/>
          <w:p>
            <w:pPr>
              <w:pStyle w:val="Compact"/>
              <w:jc w:val="center"/>
            </w:pPr>
            <w:r>
              <w:drawing>
                <wp:inline>
                  <wp:extent cx="5334000" cy="3583781"/>
                  <wp:effectExtent b="0" l="0" r="0" t="0"/>
                  <wp:docPr descr="" title="" id="797" name="Picture"/>
                  <a:graphic>
                    <a:graphicData uri="http://schemas.openxmlformats.org/drawingml/2006/picture">
                      <pic:pic>
                        <pic:nvPicPr>
                          <pic:cNvPr descr="figures/apps-guide/species-04.png" id="798" name="Picture"/>
                          <pic:cNvPicPr>
                            <a:picLocks noChangeArrowheads="1" noChangeAspect="1"/>
                          </pic:cNvPicPr>
                        </pic:nvPicPr>
                        <pic:blipFill>
                          <a:blip r:embed="rId79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E.15: Species Map</w:t>
            </w:r>
          </w:p>
          <w:bookmarkEnd w:id="799"/>
        </w:tc>
      </w:tr>
    </w:tbl>
    <w:bookmarkEnd w:id="800"/>
    <w:bookmarkStart w:id="805" w:name="species-info"/>
    <w:p>
      <w:pPr>
        <w:pStyle w:val="Heading3"/>
      </w:pPr>
      <w:r>
        <w:t xml:space="preserve">C.2.5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804" w:name="fig-species-05"/>
          <w:p>
            <w:pPr>
              <w:pStyle w:val="Compact"/>
              <w:jc w:val="center"/>
            </w:pPr>
            <w:r>
              <w:drawing>
                <wp:inline>
                  <wp:extent cx="5334000" cy="3583781"/>
                  <wp:effectExtent b="0" l="0" r="0" t="0"/>
                  <wp:docPr descr="" title="" id="802" name="Picture"/>
                  <a:graphic>
                    <a:graphicData uri="http://schemas.openxmlformats.org/drawingml/2006/picture">
                      <pic:pic>
                        <pic:nvPicPr>
                          <pic:cNvPr descr="figures/apps-guide/species-05.png" id="803" name="Picture"/>
                          <pic:cNvPicPr>
                            <a:picLocks noChangeArrowheads="1" noChangeAspect="1"/>
                          </pic:cNvPicPr>
                        </pic:nvPicPr>
                        <pic:blipFill>
                          <a:blip r:embed="rId80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E.16: Species Info</w:t>
            </w:r>
          </w:p>
          <w:bookmarkEnd w:id="804"/>
        </w:tc>
      </w:tr>
    </w:tbl>
    <w:bookmarkEnd w:id="805"/>
    <w:bookmarkEnd w:id="806"/>
    <w:bookmarkEnd w:id="807"/>
    <w:bookmarkStart w:id="813"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1"/>
        </w:numPr>
      </w:pPr>
      <w:hyperlink r:id="rId808">
        <w:r>
          <w:rPr>
            <w:rStyle w:val="Hyperlink"/>
          </w:rPr>
          <w:t xml:space="preserve"> </w:t>
        </w:r>
        <w:r>
          <w:rPr>
            <w:rStyle w:val="Hyperlink"/>
          </w:rPr>
          <w:t xml:space="preserve">website</w:t>
        </w:r>
      </w:hyperlink>
    </w:p>
    <w:p>
      <w:pPr>
        <w:numPr>
          <w:ilvl w:val="0"/>
          <w:numId w:val="1071"/>
        </w:numPr>
      </w:pPr>
      <w:hyperlink r:id="rId809">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811" name="Picture"/>
            <a:graphic>
              <a:graphicData uri="http://schemas.openxmlformats.org/drawingml/2006/picture">
                <pic:pic>
                  <pic:nvPicPr>
                    <pic:cNvPr descr="figures/apps/aoi.png" id="812" name="Picture"/>
                    <pic:cNvPicPr>
                      <a:picLocks noChangeArrowheads="1" noChangeAspect="1"/>
                    </pic:cNvPicPr>
                  </pic:nvPicPr>
                  <pic:blipFill>
                    <a:blip r:embed="rId810"/>
                    <a:stretch>
                      <a:fillRect/>
                    </a:stretch>
                  </pic:blipFill>
                  <pic:spPr bwMode="auto">
                    <a:xfrm>
                      <a:off x="0" y="0"/>
                      <a:ext cx="5334000" cy="2988079"/>
                    </a:xfrm>
                    <a:prstGeom prst="rect">
                      <a:avLst/>
                    </a:prstGeom>
                    <a:noFill/>
                    <a:ln w="9525">
                      <a:noFill/>
                      <a:headEnd/>
                      <a:tailEnd/>
                    </a:ln>
                  </pic:spPr>
                </pic:pic>
              </a:graphicData>
            </a:graphic>
          </wp:inline>
        </w:drawing>
      </w:r>
    </w:p>
    <w:bookmarkEnd w:id="813"/>
    <w:bookmarkStart w:id="819"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2"/>
        </w:numPr>
      </w:pPr>
      <w:hyperlink r:id="rId814">
        <w:r>
          <w:rPr>
            <w:rStyle w:val="Hyperlink"/>
          </w:rPr>
          <w:t xml:space="preserve"> </w:t>
        </w:r>
        <w:r>
          <w:rPr>
            <w:rStyle w:val="Hyperlink"/>
          </w:rPr>
          <w:t xml:space="preserve">website</w:t>
        </w:r>
      </w:hyperlink>
    </w:p>
    <w:p>
      <w:pPr>
        <w:numPr>
          <w:ilvl w:val="0"/>
          <w:numId w:val="1072"/>
        </w:numPr>
      </w:pPr>
      <w:hyperlink r:id="rId815">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817" name="Picture"/>
            <a:graphic>
              <a:graphicData uri="http://schemas.openxmlformats.org/drawingml/2006/picture">
                <pic:pic>
                  <pic:nvPicPr>
                    <pic:cNvPr descr="figures/apps/bird_hotspots.png" id="818" name="Picture"/>
                    <pic:cNvPicPr>
                      <a:picLocks noChangeArrowheads="1" noChangeAspect="1"/>
                    </pic:cNvPicPr>
                  </pic:nvPicPr>
                  <pic:blipFill>
                    <a:blip r:embed="rId816"/>
                    <a:stretch>
                      <a:fillRect/>
                    </a:stretch>
                  </pic:blipFill>
                  <pic:spPr bwMode="auto">
                    <a:xfrm>
                      <a:off x="0" y="0"/>
                      <a:ext cx="5334000" cy="2948423"/>
                    </a:xfrm>
                    <a:prstGeom prst="rect">
                      <a:avLst/>
                    </a:prstGeom>
                    <a:noFill/>
                    <a:ln w="9525">
                      <a:noFill/>
                      <a:headEnd/>
                      <a:tailEnd/>
                    </a:ln>
                  </pic:spPr>
                </pic:pic>
              </a:graphicData>
            </a:graphic>
          </wp:inline>
        </w:drawing>
      </w:r>
    </w:p>
    <w:bookmarkEnd w:id="819"/>
    <w:bookmarkStart w:id="825" w:name="regional-map"/>
    <w:p>
      <w:pPr>
        <w:pStyle w:val="Heading1"/>
      </w:pPr>
      <w:r>
        <w:t xml:space="preserve">Regional Map</w:t>
      </w:r>
    </w:p>
    <w:p>
      <w:pPr>
        <w:pStyle w:val="FirstParagraph"/>
      </w:pPr>
      <w:r>
        <w:t xml:space="preserve">Basic interactive map of BOEM regions.</w:t>
      </w:r>
    </w:p>
    <w:p>
      <w:pPr>
        <w:numPr>
          <w:ilvl w:val="0"/>
          <w:numId w:val="1073"/>
        </w:numPr>
      </w:pPr>
      <w:hyperlink r:id="rId820">
        <w:r>
          <w:rPr>
            <w:rStyle w:val="Hyperlink"/>
          </w:rPr>
          <w:t xml:space="preserve"> </w:t>
        </w:r>
        <w:r>
          <w:rPr>
            <w:rStyle w:val="Hyperlink"/>
          </w:rPr>
          <w:t xml:space="preserve">website</w:t>
        </w:r>
      </w:hyperlink>
    </w:p>
    <w:p>
      <w:pPr>
        <w:numPr>
          <w:ilvl w:val="0"/>
          <w:numId w:val="1073"/>
        </w:numPr>
      </w:pPr>
      <w:hyperlink r:id="rId821">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823" name="Picture"/>
            <a:graphic>
              <a:graphicData uri="http://schemas.openxmlformats.org/drawingml/2006/picture">
                <pic:pic>
                  <pic:nvPicPr>
                    <pic:cNvPr descr="figures/apps/map.png" id="824" name="Picture"/>
                    <pic:cNvPicPr>
                      <a:picLocks noChangeArrowheads="1" noChangeAspect="1"/>
                    </pic:cNvPicPr>
                  </pic:nvPicPr>
                  <pic:blipFill>
                    <a:blip r:embed="rId822"/>
                    <a:stretch>
                      <a:fillRect/>
                    </a:stretch>
                  </pic:blipFill>
                  <pic:spPr bwMode="auto">
                    <a:xfrm>
                      <a:off x="0" y="0"/>
                      <a:ext cx="5334000" cy="3012314"/>
                    </a:xfrm>
                    <a:prstGeom prst="rect">
                      <a:avLst/>
                    </a:prstGeom>
                    <a:noFill/>
                    <a:ln w="9525">
                      <a:noFill/>
                      <a:headEnd/>
                      <a:tailEnd/>
                    </a:ln>
                  </pic:spPr>
                </pic:pic>
              </a:graphicData>
            </a:graphic>
          </wp:inline>
        </w:drawing>
      </w:r>
    </w:p>
    <w:bookmarkEnd w:id="825"/>
    <w:bookmarkStart w:id="830"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4"/>
        </w:numPr>
      </w:pPr>
      <w:hyperlink r:id="rId826">
        <w:r>
          <w:rPr>
            <w:rStyle w:val="Hyperlink"/>
          </w:rPr>
          <w:t xml:space="preserve"> </w:t>
        </w:r>
        <w:r>
          <w:rPr>
            <w:rStyle w:val="Hyperlink"/>
          </w:rPr>
          <w:t xml:space="preserve">website</w:t>
        </w:r>
      </w:hyperlink>
    </w:p>
    <w:p>
      <w:pPr>
        <w:numPr>
          <w:ilvl w:val="0"/>
          <w:numId w:val="1074"/>
        </w:numPr>
      </w:pPr>
      <w:hyperlink r:id="rId701">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828" name="Picture"/>
            <a:graphic>
              <a:graphicData uri="http://schemas.openxmlformats.org/drawingml/2006/picture">
                <pic:pic>
                  <pic:nvPicPr>
                    <pic:cNvPr descr="figures/apps/scores_0.png" id="829" name="Picture"/>
                    <pic:cNvPicPr>
                      <a:picLocks noChangeArrowheads="1" noChangeAspect="1"/>
                    </pic:cNvPicPr>
                  </pic:nvPicPr>
                  <pic:blipFill>
                    <a:blip r:embed="rId827"/>
                    <a:stretch>
                      <a:fillRect/>
                    </a:stretch>
                  </pic:blipFill>
                  <pic:spPr bwMode="auto">
                    <a:xfrm>
                      <a:off x="0" y="0"/>
                      <a:ext cx="5334000" cy="3018971"/>
                    </a:xfrm>
                    <a:prstGeom prst="rect">
                      <a:avLst/>
                    </a:prstGeom>
                    <a:noFill/>
                    <a:ln w="9525">
                      <a:noFill/>
                      <a:headEnd/>
                      <a:tailEnd/>
                    </a:ln>
                  </pic:spPr>
                </pic:pic>
              </a:graphicData>
            </a:graphic>
          </wp:inline>
        </w:drawing>
      </w:r>
    </w:p>
    <w:bookmarkEnd w:id="830"/>
    <w:bookmarkStart w:id="836"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5"/>
        </w:numPr>
      </w:pPr>
      <w:hyperlink r:id="rId831">
        <w:r>
          <w:rPr>
            <w:rStyle w:val="Hyperlink"/>
          </w:rPr>
          <w:t xml:space="preserve"> </w:t>
        </w:r>
        <w:r>
          <w:rPr>
            <w:rStyle w:val="Hyperlink"/>
          </w:rPr>
          <w:t xml:space="preserve">website</w:t>
        </w:r>
      </w:hyperlink>
    </w:p>
    <w:p>
      <w:pPr>
        <w:numPr>
          <w:ilvl w:val="0"/>
          <w:numId w:val="1075"/>
        </w:numPr>
      </w:pPr>
      <w:hyperlink r:id="rId832">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834" name="Picture"/>
            <a:graphic>
              <a:graphicData uri="http://schemas.openxmlformats.org/drawingml/2006/picture">
                <pic:pic>
                  <pic:nvPicPr>
                    <pic:cNvPr descr="figures/apps/sdm.png" id="835" name="Picture"/>
                    <pic:cNvPicPr>
                      <a:picLocks noChangeArrowheads="1" noChangeAspect="1"/>
                    </pic:cNvPicPr>
                  </pic:nvPicPr>
                  <pic:blipFill>
                    <a:blip r:embed="rId833"/>
                    <a:stretch>
                      <a:fillRect/>
                    </a:stretch>
                  </pic:blipFill>
                  <pic:spPr bwMode="auto">
                    <a:xfrm>
                      <a:off x="0" y="0"/>
                      <a:ext cx="5334000" cy="2983171"/>
                    </a:xfrm>
                    <a:prstGeom prst="rect">
                      <a:avLst/>
                    </a:prstGeom>
                    <a:noFill/>
                    <a:ln w="9525">
                      <a:noFill/>
                      <a:headEnd/>
                      <a:tailEnd/>
                    </a:ln>
                  </pic:spPr>
                </pic:pic>
              </a:graphicData>
            </a:graphic>
          </wp:inline>
        </w:drawing>
      </w:r>
    </w:p>
    <w:bookmarkEnd w:id="836"/>
    <w:bookmarkStart w:id="842"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6"/>
        </w:numPr>
      </w:pPr>
      <w:hyperlink r:id="rId837">
        <w:r>
          <w:rPr>
            <w:rStyle w:val="Hyperlink"/>
          </w:rPr>
          <w:t xml:space="preserve"> </w:t>
        </w:r>
        <w:r>
          <w:rPr>
            <w:rStyle w:val="Hyperlink"/>
          </w:rPr>
          <w:t xml:space="preserve">website</w:t>
        </w:r>
      </w:hyperlink>
    </w:p>
    <w:p>
      <w:pPr>
        <w:numPr>
          <w:ilvl w:val="0"/>
          <w:numId w:val="1076"/>
        </w:numPr>
      </w:pPr>
      <w:hyperlink r:id="rId838">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840" name="Picture"/>
            <a:graphic>
              <a:graphicData uri="http://schemas.openxmlformats.org/drawingml/2006/picture">
                <pic:pic>
                  <pic:nvPicPr>
                    <pic:cNvPr descr="figures/apps/sdm-cog.png" id="841" name="Picture"/>
                    <pic:cNvPicPr>
                      <a:picLocks noChangeArrowheads="1" noChangeAspect="1"/>
                    </pic:cNvPicPr>
                  </pic:nvPicPr>
                  <pic:blipFill>
                    <a:blip r:embed="rId839"/>
                    <a:stretch>
                      <a:fillRect/>
                    </a:stretch>
                  </pic:blipFill>
                  <pic:spPr bwMode="auto">
                    <a:xfrm>
                      <a:off x="0" y="0"/>
                      <a:ext cx="5334000" cy="2951752"/>
                    </a:xfrm>
                    <a:prstGeom prst="rect">
                      <a:avLst/>
                    </a:prstGeom>
                    <a:noFill/>
                    <a:ln w="9525">
                      <a:noFill/>
                      <a:headEnd/>
                      <a:tailEnd/>
                    </a:ln>
                  </pic:spPr>
                </pic:pic>
              </a:graphicData>
            </a:graphic>
          </wp:inline>
        </w:drawing>
      </w:r>
    </w:p>
    <w:bookmarkEnd w:id="842"/>
    <w:bookmarkStart w:id="848"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7"/>
        </w:numPr>
      </w:pPr>
      <w:hyperlink r:id="rId843">
        <w:r>
          <w:rPr>
            <w:rStyle w:val="Hyperlink"/>
          </w:rPr>
          <w:t xml:space="preserve"> </w:t>
        </w:r>
        <w:r>
          <w:rPr>
            <w:rStyle w:val="Hyperlink"/>
          </w:rPr>
          <w:t xml:space="preserve">website</w:t>
        </w:r>
      </w:hyperlink>
    </w:p>
    <w:p>
      <w:pPr>
        <w:numPr>
          <w:ilvl w:val="0"/>
          <w:numId w:val="1077"/>
        </w:numPr>
      </w:pPr>
      <w:hyperlink r:id="rId844">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846" name="Picture"/>
            <a:graphic>
              <a:graphicData uri="http://schemas.openxmlformats.org/drawingml/2006/picture">
                <pic:pic>
                  <pic:nvPicPr>
                    <pic:cNvPr descr="figures/apps/vmap.png" id="847" name="Picture"/>
                    <pic:cNvPicPr>
                      <a:picLocks noChangeArrowheads="1" noChangeAspect="1"/>
                    </pic:cNvPicPr>
                  </pic:nvPicPr>
                  <pic:blipFill>
                    <a:blip r:embed="rId845"/>
                    <a:stretch>
                      <a:fillRect/>
                    </a:stretch>
                  </pic:blipFill>
                  <pic:spPr bwMode="auto">
                    <a:xfrm>
                      <a:off x="0" y="0"/>
                      <a:ext cx="5334000" cy="2955021"/>
                    </a:xfrm>
                    <a:prstGeom prst="rect">
                      <a:avLst/>
                    </a:prstGeom>
                    <a:noFill/>
                    <a:ln w="9525">
                      <a:noFill/>
                      <a:headEnd/>
                      <a:tailEnd/>
                    </a:ln>
                  </pic:spPr>
                </pic:pic>
              </a:graphicData>
            </a:graphic>
          </wp:inline>
        </w:drawing>
      </w:r>
    </w:p>
    <w:bookmarkEnd w:id="8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0" Target="media/rId100.png" /><Relationship Type="http://schemas.openxmlformats.org/officeDocument/2006/relationships/image" Id="rId13" Target="media/rId13.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414" Target="media/rId414.png" /><Relationship Type="http://schemas.openxmlformats.org/officeDocument/2006/relationships/image" Id="rId450" Target="media/rId450.png" /><Relationship Type="http://schemas.openxmlformats.org/officeDocument/2006/relationships/image" Id="rId725" Target="media/rId725.png" /><Relationship Type="http://schemas.openxmlformats.org/officeDocument/2006/relationships/image" Id="rId730" Target="media/rId730.png" /><Relationship Type="http://schemas.openxmlformats.org/officeDocument/2006/relationships/image" Id="rId735" Target="media/rId735.png" /><Relationship Type="http://schemas.openxmlformats.org/officeDocument/2006/relationships/image" Id="rId740" Target="media/rId740.png" /><Relationship Type="http://schemas.openxmlformats.org/officeDocument/2006/relationships/image" Id="rId745" Target="media/rId745.png" /><Relationship Type="http://schemas.openxmlformats.org/officeDocument/2006/relationships/image" Id="rId750" Target="media/rId750.png" /><Relationship Type="http://schemas.openxmlformats.org/officeDocument/2006/relationships/image" Id="rId755" Target="media/rId755.png" /><Relationship Type="http://schemas.openxmlformats.org/officeDocument/2006/relationships/image" Id="rId760" Target="media/rId760.png" /><Relationship Type="http://schemas.openxmlformats.org/officeDocument/2006/relationships/image" Id="rId765" Target="media/rId765.png" /><Relationship Type="http://schemas.openxmlformats.org/officeDocument/2006/relationships/image" Id="rId770" Target="media/rId770.png" /><Relationship Type="http://schemas.openxmlformats.org/officeDocument/2006/relationships/image" Id="rId775" Target="media/rId775.png" /><Relationship Type="http://schemas.openxmlformats.org/officeDocument/2006/relationships/image" Id="rId781" Target="media/rId781.png" /><Relationship Type="http://schemas.openxmlformats.org/officeDocument/2006/relationships/image" Id="rId786" Target="media/rId786.png" /><Relationship Type="http://schemas.openxmlformats.org/officeDocument/2006/relationships/image" Id="rId791" Target="media/rId791.png" /><Relationship Type="http://schemas.openxmlformats.org/officeDocument/2006/relationships/image" Id="rId796" Target="media/rId796.png" /><Relationship Type="http://schemas.openxmlformats.org/officeDocument/2006/relationships/image" Id="rId801" Target="media/rId801.png" /><Relationship Type="http://schemas.openxmlformats.org/officeDocument/2006/relationships/image" Id="rId810" Target="media/rId810.png" /><Relationship Type="http://schemas.openxmlformats.org/officeDocument/2006/relationships/image" Id="rId816" Target="media/rId816.png" /><Relationship Type="http://schemas.openxmlformats.org/officeDocument/2006/relationships/image" Id="rId822" Target="media/rId822.png" /><Relationship Type="http://schemas.openxmlformats.org/officeDocument/2006/relationships/image" Id="rId689" Target="media/rId689.png" /><Relationship Type="http://schemas.openxmlformats.org/officeDocument/2006/relationships/image" Id="rId685" Target="media/rId685.png" /><Relationship Type="http://schemas.openxmlformats.org/officeDocument/2006/relationships/image" Id="rId827" Target="media/rId827.png" /><Relationship Type="http://schemas.openxmlformats.org/officeDocument/2006/relationships/image" Id="rId839" Target="media/rId839.png" /><Relationship Type="http://schemas.openxmlformats.org/officeDocument/2006/relationships/image" Id="rId833" Target="media/rId833.png" /><Relationship Type="http://schemas.openxmlformats.org/officeDocument/2006/relationships/image" Id="rId707" Target="media/rId707.png" /><Relationship Type="http://schemas.openxmlformats.org/officeDocument/2006/relationships/image" Id="rId845" Target="media/rId845.png" /><Relationship Type="http://schemas.openxmlformats.org/officeDocument/2006/relationships/image" Id="rId554" Target="media/rId554.png" /><Relationship Type="http://schemas.openxmlformats.org/officeDocument/2006/relationships/image" Id="rId559" Target="media/rId559.png" /><Relationship Type="http://schemas.openxmlformats.org/officeDocument/2006/relationships/image" Id="rId564" Target="media/rId564.png" /><Relationship Type="http://schemas.openxmlformats.org/officeDocument/2006/relationships/image" Id="rId569" Target="media/rId569.png" /><Relationship Type="http://schemas.openxmlformats.org/officeDocument/2006/relationships/image" Id="rId575" Target="media/rId575.png" /><Relationship Type="http://schemas.openxmlformats.org/officeDocument/2006/relationships/image" Id="rId580" Target="media/rId580.png" /><Relationship Type="http://schemas.openxmlformats.org/officeDocument/2006/relationships/image" Id="rId586" Target="media/rId586.png" /><Relationship Type="http://schemas.openxmlformats.org/officeDocument/2006/relationships/image" Id="rId592" Target="media/rId592.png" /><Relationship Type="http://schemas.openxmlformats.org/officeDocument/2006/relationships/image" Id="rId598" Target="media/rId598.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616" Target="media/rId616.png" /><Relationship Type="http://schemas.openxmlformats.org/officeDocument/2006/relationships/image" Id="rId621" Target="media/rId621.png" /><Relationship Type="http://schemas.openxmlformats.org/officeDocument/2006/relationships/image" Id="rId626" Target="media/rId626.png" /><Relationship Type="http://schemas.openxmlformats.org/officeDocument/2006/relationships/image" Id="rId267" Target="media/rId267.png" /><Relationship Type="http://schemas.openxmlformats.org/officeDocument/2006/relationships/image" Id="rId289" Target="media/rId289.png" /><Relationship Type="http://schemas.openxmlformats.org/officeDocument/2006/relationships/image" Id="rId335" Target="media/rId335.png" /><Relationship Type="http://schemas.openxmlformats.org/officeDocument/2006/relationships/image" Id="rId122" Target="media/rId122.png" /><Relationship Type="http://schemas.openxmlformats.org/officeDocument/2006/relationships/image" Id="rId16" Target="media/rId16.svg" /><Relationship Type="http://schemas.openxmlformats.org/officeDocument/2006/relationships/image" Id="rId377" Target="media/rId377.png" /><Relationship Type="http://schemas.openxmlformats.org/officeDocument/2006/relationships/image" Id="rId382" Target="media/rId382.png" /><Relationship Type="http://schemas.openxmlformats.org/officeDocument/2006/relationships/image" Id="rId370" Target="media/rId370.png" /><Relationship Type="http://schemas.openxmlformats.org/officeDocument/2006/relationships/image" Id="rId272" Target="media/rId272.png" /><Relationship Type="http://schemas.openxmlformats.org/officeDocument/2006/relationships/image" Id="rId276" Target="media/rId276.png" /><Relationship Type="http://schemas.openxmlformats.org/officeDocument/2006/relationships/image" Id="rId167" Target="media/rId167.jpg" /><Relationship Type="http://schemas.openxmlformats.org/officeDocument/2006/relationships/image" Id="rId503" Target="media/rId503.png" /><Relationship Type="http://schemas.openxmlformats.org/officeDocument/2006/relationships/image" Id="rId519" Target="media/rId519.png" /><Relationship Type="http://schemas.openxmlformats.org/officeDocument/2006/relationships/image" Id="rId489" Target="media/rId489.png" /><Relationship Type="http://schemas.openxmlformats.org/officeDocument/2006/relationships/image" Id="rId474" Target="media/rId474.png" /><Relationship Type="http://schemas.openxmlformats.org/officeDocument/2006/relationships/image" Id="rId499" Target="media/rId499.png" /><Relationship Type="http://schemas.openxmlformats.org/officeDocument/2006/relationships/image" Id="rId532" Target="media/rId532.png" /><Relationship Type="http://schemas.openxmlformats.org/officeDocument/2006/relationships/image" Id="rId528" Target="media/rId528.png" /><Relationship Type="http://schemas.openxmlformats.org/officeDocument/2006/relationships/image" Id="rId510" Target="media/rId510.png" /><Relationship Type="http://schemas.openxmlformats.org/officeDocument/2006/relationships/image" Id="rId514" Target="media/rId514.png" /><Relationship Type="http://schemas.openxmlformats.org/officeDocument/2006/relationships/image" Id="rId494" Target="media/rId494.png" /><Relationship Type="http://schemas.openxmlformats.org/officeDocument/2006/relationships/image" Id="rId523" Target="media/rId523.png" /><Relationship Type="http://schemas.openxmlformats.org/officeDocument/2006/relationships/image" Id="rId541" Target="media/rId541.png" /><Relationship Type="http://schemas.openxmlformats.org/officeDocument/2006/relationships/image" Id="rId478" Target="media/rId478.png" /><Relationship Type="http://schemas.openxmlformats.org/officeDocument/2006/relationships/image" Id="rId482" Target="media/rId482.png" /><Relationship Type="http://schemas.openxmlformats.org/officeDocument/2006/relationships/image" Id="rId9" Target="media/rId9.sv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220" Target="media/rId220.png" /><Relationship Type="http://schemas.openxmlformats.org/officeDocument/2006/relationships/image" Id="rId309" Target="media/rId309.png" /><Relationship Type="http://schemas.openxmlformats.org/officeDocument/2006/relationships/image" Id="rId301" Target="media/rId301.png" /><Relationship Type="http://schemas.openxmlformats.org/officeDocument/2006/relationships/image" Id="rId326" Target="media/rId326.png" /><Relationship Type="http://schemas.openxmlformats.org/officeDocument/2006/relationships/image" Id="rId321" Target="media/rId321.png" /><Relationship Type="http://schemas.openxmlformats.org/officeDocument/2006/relationships/image" Id="rId315" Target="media/rId315.png" /><Relationship Type="http://schemas.openxmlformats.org/officeDocument/2006/relationships/hyperlink" Id="rId547" Target="../apps-guide.qmd" TargetMode="External" /><Relationship Type="http://schemas.openxmlformats.org/officeDocument/2006/relationships/hyperlink" Id="rId680" Target="MarineBON.org" TargetMode="External" /><Relationship Type="http://schemas.openxmlformats.org/officeDocument/2006/relationships/hyperlink" Id="rId463" Target="apps-guide.qmd" TargetMode="External" /><Relationship Type="http://schemas.openxmlformats.org/officeDocument/2006/relationships/hyperlink" Id="rId467" Target="apps/shiny-guide.qmd" TargetMode="External" /><Relationship Type="http://schemas.openxmlformats.org/officeDocument/2006/relationships/hyperlink" Id="rId151" Target="http://datazone.birdlife.org/species/requestdis" TargetMode="External" /><Relationship Type="http://schemas.openxmlformats.org/officeDocument/2006/relationships/hyperlink" Id="rId166" Target="http://sites.science.oregonstate.edu/ocean.productivity" TargetMode="External" /><Relationship Type="http://schemas.openxmlformats.org/officeDocument/2006/relationships/hyperlink" Id="rId645" Target="https://CRAN.R-project.org/package=shiny" TargetMode="External" /><Relationship Type="http://schemas.openxmlformats.org/officeDocument/2006/relationships/hyperlink" Id="rId364" Target="https://account.squarespace.com/domains" TargetMode="External" /><Relationship Type="http://schemas.openxmlformats.org/officeDocument/2006/relationships/hyperlink" Id="rId376" Target="https://api.marinesensitivity.org" TargetMode="External" /><Relationship Type="http://schemas.openxmlformats.org/officeDocument/2006/relationships/hyperlink" Id="rId38" Target="https://boem.gov" TargetMode="External" /><Relationship Type="http://schemas.openxmlformats.org/officeDocument/2006/relationships/hyperlink" Id="rId427" Target="https://books.ropensci.org/targets/" TargetMode="External" /><Relationship Type="http://schemas.openxmlformats.org/officeDocument/2006/relationships/hyperlink" Id="rId346" Target="https://caddyserver.com" TargetMode="External" /><Relationship Type="http://schemas.openxmlformats.org/officeDocument/2006/relationships/hyperlink" Id="rId298" Target="https://developmentseed.org/titiler/" TargetMode="External" /><Relationship Type="http://schemas.openxmlformats.org/officeDocument/2006/relationships/hyperlink" Id="rId353" Target="https://docs.aws.amazon.com/AWSEC2/latest/UserGuide/ebs-using-volumes.html" TargetMode="External" /><Relationship Type="http://schemas.openxmlformats.org/officeDocument/2006/relationships/hyperlink" Id="rId351" Target="https://docs.aws.amazon.com/AWSEC2/latest/UserGuide/set-hostname.html" TargetMode="External" /><Relationship Type="http://schemas.openxmlformats.org/officeDocument/2006/relationships/hyperlink" Id="rId360" Target="https://docs.aws.amazon.com/AWSEC2/latest/UserGuide/snapshot-ami-policy.html#create-snap-policy" TargetMode="External" /><Relationship Type="http://schemas.openxmlformats.org/officeDocument/2006/relationships/hyperlink" Id="rId365" Target="https://docs.github.com/en/pages/configuring-a-custom-domain-for-your-github-pages-site/managing-a-custom-domain-for-your-github-pages-site" TargetMode="External" /><Relationship Type="http://schemas.openxmlformats.org/officeDocument/2006/relationships/hyperlink" Id="rId664" Target="https://doi.org/10.1002/ece3.70030" TargetMode="External" /><Relationship Type="http://schemas.openxmlformats.org/officeDocument/2006/relationships/hyperlink" Id="rId649" Target="https://doi.org/10.1038/nature11397" TargetMode="External" /><Relationship Type="http://schemas.openxmlformats.org/officeDocument/2006/relationships/hyperlink" Id="rId660" Target="https://doi.org/10.1038/s41559-017-0160" TargetMode="External" /><Relationship Type="http://schemas.openxmlformats.org/officeDocument/2006/relationships/hyperlink" Id="rId662" Target="https://doi.org/10.1038/s41559-021-01432-0" TargetMode="External" /><Relationship Type="http://schemas.openxmlformats.org/officeDocument/2006/relationships/hyperlink" Id="rId676" Target="https://doi.org/10.1038/sdata.2016.18" TargetMode="External" /><Relationship Type="http://schemas.openxmlformats.org/officeDocument/2006/relationships/hyperlink" Id="rId647" Target="https://doi.org/10.1080/09640568.2014.973483" TargetMode="External" /><Relationship Type="http://schemas.openxmlformats.org/officeDocument/2006/relationships/hyperlink" Id="rId651" Target="https://doi.org/10.1111/j.1523-1739.2007.00752.x" TargetMode="External" /><Relationship Type="http://schemas.openxmlformats.org/officeDocument/2006/relationships/hyperlink" Id="rId643" Target="https://doi.org/10.1371/journal.pbio.0020383" TargetMode="External" /><Relationship Type="http://schemas.openxmlformats.org/officeDocument/2006/relationships/hyperlink" Id="rId641" Target="https://doi.org/10.1371/journal.pone.0000140" TargetMode="External" /><Relationship Type="http://schemas.openxmlformats.org/officeDocument/2006/relationships/hyperlink" Id="rId666" Target="https://doi.org/10.1371/journal.pone.0003700" TargetMode="External" /><Relationship Type="http://schemas.openxmlformats.org/officeDocument/2006/relationships/hyperlink" Id="rId658" Target="https://doi.org/10.1371/journal.pone.0019653" TargetMode="External" /><Relationship Type="http://schemas.openxmlformats.org/officeDocument/2006/relationships/hyperlink" Id="rId653" Target="https://doi.org/10.1371/journal.pone.0146756" TargetMode="External" /><Relationship Type="http://schemas.openxmlformats.org/officeDocument/2006/relationships/hyperlink" Id="rId674" Target="https://doi.org/10.3354/esr01243" TargetMode="External" /><Relationship Type="http://schemas.openxmlformats.org/officeDocument/2006/relationships/hyperlink" Id="rId639" Target="https://doi.org/10.4319/lo.1997.42.1.0001" TargetMode="External" /><Relationship Type="http://schemas.openxmlformats.org/officeDocument/2006/relationships/hyperlink" Id="rId357" Target="https://drive.google.com/open?id=17B3djETDU8SVwGvJdZ3rp7TKtX8w0cfl&amp;usp=drive_fs" TargetMode="External" /><Relationship Type="http://schemas.openxmlformats.org/officeDocument/2006/relationships/hyperlink" Id="rId296" Target="https://duckdb.org" TargetMode="External" /><Relationship Type="http://schemas.openxmlformats.org/officeDocument/2006/relationships/hyperlink" Id="rId146" Target="https://ecos.fws.gov/docs/crithab/crithab_all/crithab_all_layers.zip" TargetMode="External" /><Relationship Type="http://schemas.openxmlformats.org/officeDocument/2006/relationships/hyperlink" Id="rId149" Target="https://ecos.fws.gov/docs/species/shapefiles/usfws_complete_species_current_range.zip" TargetMode="External" /><Relationship Type="http://schemas.openxmlformats.org/officeDocument/2006/relationships/hyperlink" Id="rId145" Target="https://ecos.fws.gov/ecp/report/table/critical-habitat.html" TargetMode="External" /><Relationship Type="http://schemas.openxmlformats.org/officeDocument/2006/relationships/hyperlink" Id="rId148" Target="https://ecos.fws.gov/ecp/species-reports" TargetMode="External" /><Relationship Type="http://schemas.openxmlformats.org/officeDocument/2006/relationships/hyperlink" Id="rId374" Target="https://file.marinesensitivity.org" TargetMode="External" /><Relationship Type="http://schemas.openxmlformats.org/officeDocument/2006/relationships/hyperlink" Id="rId319" Target="https://github.com/CrunchyData/pg_tileserv" TargetMode="External" /><Relationship Type="http://schemas.openxmlformats.org/officeDocument/2006/relationships/hyperlink" Id="rId299" Target="https://github.com/MarineSensitivities/msens" TargetMode="External" /><Relationship Type="http://schemas.openxmlformats.org/officeDocument/2006/relationships/hyperlink" Id="rId332" Target="https://github.com/MarineSensitivity" TargetMode="External" /><Relationship Type="http://schemas.openxmlformats.org/officeDocument/2006/relationships/hyperlink" Id="rId449" Target="https://github.com/MarineSensitivity/api/blob/main/plumber.R" TargetMode="External" /><Relationship Type="http://schemas.openxmlformats.org/officeDocument/2006/relationships/hyperlink" Id="rId466" Target="https://github.com/MarineSensitivity/apps" TargetMode="External" /><Relationship Type="http://schemas.openxmlformats.org/officeDocument/2006/relationships/hyperlink" Id="rId809" Target="https://github.com/MarineSensitivity/apps/tree/main/aoi" TargetMode="External" /><Relationship Type="http://schemas.openxmlformats.org/officeDocument/2006/relationships/hyperlink" Id="rId815" Target="https://github.com/MarineSensitivity/apps/tree/main/bird_hotspots" TargetMode="External" /><Relationship Type="http://schemas.openxmlformats.org/officeDocument/2006/relationships/hyperlink" Id="rId821" Target="https://github.com/MarineSensitivity/apps/tree/main/map" TargetMode="External" /><Relationship Type="http://schemas.openxmlformats.org/officeDocument/2006/relationships/hyperlink" Id="rId701" Target="https://github.com/MarineSensitivity/apps/tree/main/scores" TargetMode="External" /><Relationship Type="http://schemas.openxmlformats.org/officeDocument/2006/relationships/hyperlink" Id="rId832" Target="https://github.com/MarineSensitivity/apps/tree/main/sdm" TargetMode="External" /><Relationship Type="http://schemas.openxmlformats.org/officeDocument/2006/relationships/hyperlink" Id="rId838" Target="https://github.com/MarineSensitivity/apps/tree/main/sdm-cog" TargetMode="External" /><Relationship Type="http://schemas.openxmlformats.org/officeDocument/2006/relationships/hyperlink" Id="rId718" Target="https://github.com/MarineSensitivity/apps/tree/main/species" TargetMode="External" /><Relationship Type="http://schemas.openxmlformats.org/officeDocument/2006/relationships/hyperlink" Id="rId844" Target="https://github.com/MarineSensitivity/apps/tree/main/vmap" TargetMode="External" /><Relationship Type="http://schemas.openxmlformats.org/officeDocument/2006/relationships/hyperlink" Id="rId549" Target="https://github.com/MarineSensitivity/atlas" TargetMode="External" /><Relationship Type="http://schemas.openxmlformats.org/officeDocument/2006/relationships/hyperlink" Id="rId458" Target="https://github.com/MarineSensitivity/msens" TargetMode="External" /><Relationship Type="http://schemas.openxmlformats.org/officeDocument/2006/relationships/hyperlink" Id="rId367" Target="https://github.com/MarineSensitivity/server/blob/main/caddy/Caddyfile" TargetMode="External" /><Relationship Type="http://schemas.openxmlformats.org/officeDocument/2006/relationships/hyperlink" Id="rId345" Target="https://github.com/MarineSensitivity/server/blob/main/docker-compose.yml" TargetMode="External" /><Relationship Type="http://schemas.openxmlformats.org/officeDocument/2006/relationships/hyperlink" Id="rId439" Target="https://github.com/MarineSensitivity/server/blob/main/titiler/factory.py" TargetMode="External" /><Relationship Type="http://schemas.openxmlformats.org/officeDocument/2006/relationships/hyperlink" Id="rId347" Target="https://github.com/MarineSensitivity/server/wiki/Server-Setup" TargetMode="External" /><Relationship Type="http://schemas.openxmlformats.org/officeDocument/2006/relationships/hyperlink" Id="rId426" Target="https://github.com/MarineSensitivity/workflows" TargetMode="External" /><Relationship Type="http://schemas.openxmlformats.org/officeDocument/2006/relationships/hyperlink" Id="rId314" Target="https://github.com/mapbox/tippecanoe" TargetMode="External" /><Relationship Type="http://schemas.openxmlformats.org/officeDocument/2006/relationships/hyperlink" Id="rId537" Target="https://github.com/oceanmetrics/atlas/blob/main/docs/accessibility.md" TargetMode="External" /><Relationship Type="http://schemas.openxmlformats.org/officeDocument/2006/relationships/hyperlink" Id="rId538" Target="https://github.com/oceanmetrics/atlas/blob/main/docs/performance.md" TargetMode="External" /><Relationship Type="http://schemas.openxmlformats.org/officeDocument/2006/relationships/hyperlink" Id="rId308" Target="https://guide.cloudnativegeo.org/" TargetMode="External" /><Relationship Type="http://schemas.openxmlformats.org/officeDocument/2006/relationships/hyperlink" Id="rId341"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342"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3" Target="https://marinesensitivity.org/faq/" TargetMode="External" /><Relationship Type="http://schemas.openxmlformats.org/officeDocument/2006/relationships/hyperlink" Id="rId343" Target="https://marinesensitivity.org/msens" TargetMode="External" /><Relationship Type="http://schemas.openxmlformats.org/officeDocument/2006/relationships/hyperlink" Id="rId441" Target="https://marinesensitivity.org/msens/reference/cell_stats.html" TargetMode="External" /><Relationship Type="http://schemas.openxmlformats.org/officeDocument/2006/relationships/hyperlink" Id="rId440" Target="https://marinesensitivity.org/msens/reference/cell_tile_url.html" TargetMode="External" /><Relationship Type="http://schemas.openxmlformats.org/officeDocument/2006/relationships/hyperlink" Id="rId286" Target="https://marinesensitivity.org/workflows/" TargetMode="External" /><Relationship Type="http://schemas.openxmlformats.org/officeDocument/2006/relationships/hyperlink" Id="rId356" Target="https://medium.com/@srijaanaparthy/step-by-step-guide-to-install-docker-on-ubuntu-in-aws-a39746e5a63d" TargetMode="External" /><Relationship Type="http://schemas.openxmlformats.org/officeDocument/2006/relationships/hyperlink" Id="rId142" Target="https://noaa.maps.arcgis.com/home/item.html?id=f66c1e33f91d480db7d1b1c1336223c3" TargetMode="External" /><Relationship Type="http://schemas.openxmlformats.org/officeDocument/2006/relationships/hyperlink" Id="rId671" Target="https://noaa.maps.arcgis.com/home/search.html?searchTerm=turtle+dps" TargetMode="External" /><Relationship Type="http://schemas.openxmlformats.org/officeDocument/2006/relationships/hyperlink" Id="rId385" Target="https://posit.co/products/open-source/rstudio-server/" TargetMode="External" /><Relationship Type="http://schemas.openxmlformats.org/officeDocument/2006/relationships/hyperlink" Id="rId24" Target="https://preview.marinesensitivity.org/v7b/atlas/" TargetMode="External" /><Relationship Type="http://schemas.openxmlformats.org/officeDocument/2006/relationships/hyperlink" Id="rId21" Target="https://preview.marinesensitivity.org/v7b/atlas/?lens=scores" TargetMode="External" /><Relationship Type="http://schemas.openxmlformats.org/officeDocument/2006/relationships/hyperlink" Id="rId22" Target="https://preview.marinesensitivity.org/v7b/atlas/?lens=species" TargetMode="External" /><Relationship Type="http://schemas.openxmlformats.org/officeDocument/2006/relationships/hyperlink" Id="rId608" Target="https://preview.marinesensitivity.org/v7b/atlas/?lens=species&amp;sp=54247" TargetMode="External" /><Relationship Type="http://schemas.openxmlformats.org/officeDocument/2006/relationships/hyperlink" Id="rId614" Target="https://preview.marinesensitivity.org/v7b/atlas/?lens=species&amp;sp=54247&amp;ui=4.l.l.380.h.n" TargetMode="External" /><Relationship Type="http://schemas.openxmlformats.org/officeDocument/2006/relationships/hyperlink" Id="rId23" Target="https://preview.marinesensitivity.org/v7b/atlas/?tool=report" TargetMode="External" /><Relationship Type="http://schemas.openxmlformats.org/officeDocument/2006/relationships/hyperlink" Id="rId584" Target="https://preview.marinesensitivity.org/v7b/atlas/?ui=4.d.l.380.h.n" TargetMode="External" /><Relationship Type="http://schemas.openxmlformats.org/officeDocument/2006/relationships/hyperlink" Id="rId573" Target="https://preview.marinesensitivity.org/v7b/atlas/?ui=4.l.l.380.h.n" TargetMode="External" /><Relationship Type="http://schemas.openxmlformats.org/officeDocument/2006/relationships/hyperlink" Id="rId596" Target="https://preview.marinesensitivity.org/v7b/atlas/?ui=4.r.l.380.h.n" TargetMode="External" /><Relationship Type="http://schemas.openxmlformats.org/officeDocument/2006/relationships/hyperlink" Id="rId590" Target="https://preview.marinesensitivity.org/v7b/atlas/?ui=4.t.l.380.h.n" TargetMode="External" /><Relationship Type="http://schemas.openxmlformats.org/officeDocument/2006/relationships/hyperlink" Id="rId300" Target="https://protomaps.com/docs/pmtiles/" TargetMode="External" /><Relationship Type="http://schemas.openxmlformats.org/officeDocument/2006/relationships/hyperlink" Id="rId425"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7" Target="https://rstudio.github.io/leaflet/articles/raster.html#large-raster-warning" TargetMode="External" /><Relationship Type="http://schemas.openxmlformats.org/officeDocument/2006/relationships/hyperlink" Id="rId381" Target="https://rstudio.marinesensitivity.org" TargetMode="External" /><Relationship Type="http://schemas.openxmlformats.org/officeDocument/2006/relationships/hyperlink" Id="rId369" Target="https://shiny.marinesensitivity.org" TargetMode="External" /><Relationship Type="http://schemas.openxmlformats.org/officeDocument/2006/relationships/hyperlink" Id="rId808" Target="https://shiny.marinesensitivity.org/aoi/" TargetMode="External" /><Relationship Type="http://schemas.openxmlformats.org/officeDocument/2006/relationships/hyperlink" Id="rId814" Target="https://shiny.marinesensitivity.org/bird_hotspots/" TargetMode="External" /><Relationship Type="http://schemas.openxmlformats.org/officeDocument/2006/relationships/hyperlink" Id="rId820" Target="https://shiny.marinesensitivity.org/map/" TargetMode="External" /><Relationship Type="http://schemas.openxmlformats.org/officeDocument/2006/relationships/hyperlink" Id="rId826" Target="https://shiny.marinesensitivity.org/scores/" TargetMode="External" /><Relationship Type="http://schemas.openxmlformats.org/officeDocument/2006/relationships/hyperlink" Id="rId837" Target="https://shiny.marinesensitivity.org/sdm-cog/" TargetMode="External" /><Relationship Type="http://schemas.openxmlformats.org/officeDocument/2006/relationships/hyperlink" Id="rId831" Target="https://shiny.marinesensitivity.org/sdm/" TargetMode="External" /><Relationship Type="http://schemas.openxmlformats.org/officeDocument/2006/relationships/hyperlink" Id="rId843" Target="https://shiny.marinesensitivity.org/vmap/" TargetMode="External" /><Relationship Type="http://schemas.openxmlformats.org/officeDocument/2006/relationships/hyperlink" Id="rId305" Target="https://shiny.posit.co" TargetMode="External" /><Relationship Type="http://schemas.openxmlformats.org/officeDocument/2006/relationships/hyperlink" Id="rId373" Target="https://shiny.posit.co/" TargetMode="External" /><Relationship Type="http://schemas.openxmlformats.org/officeDocument/2006/relationships/hyperlink" Id="rId454" Target="https://stacspec.org" TargetMode="External" /><Relationship Type="http://schemas.openxmlformats.org/officeDocument/2006/relationships/hyperlink" Id="rId375" Target="https://titiler.marinesensitivity.org" TargetMode="External" /><Relationship Type="http://schemas.openxmlformats.org/officeDocument/2006/relationships/hyperlink" Id="rId348" Target="https://us-east-1.console.aws.amazon.com/ec2/home?region=us-east-1#Addresses:" TargetMode="External" /><Relationship Type="http://schemas.openxmlformats.org/officeDocument/2006/relationships/hyperlink" Id="rId443"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68" Target="https://www.boem.gov/sites/default/files/environmental-stewardship/Environmental-Studies/Pacific-Region/Studies/BOEM-2018-031-Vol1.pdf" TargetMode="External" /><Relationship Type="http://schemas.openxmlformats.org/officeDocument/2006/relationships/hyperlink" Id="rId344"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3" Target="https://www.fisheries.noaa.gov/inport/item/65207" TargetMode="External" /><Relationship Type="http://schemas.openxmlformats.org/officeDocument/2006/relationships/hyperlink" Id="rId141" Target="https://www.fisheries.noaa.gov/resource/map/national-esa-critical-habitat-mapper" TargetMode="External" /><Relationship Type="http://schemas.openxmlformats.org/officeDocument/2006/relationships/hyperlink" Id="rId139" Target="https://www.fisheries.noaa.gov/s3/2021-09/shapefile_Rices_whale_core_distribution_area_Jun19_SERO.zip" TargetMode="External" /><Relationship Type="http://schemas.openxmlformats.org/officeDocument/2006/relationships/hyperlink" Id="rId138" Target="https://www.fisheries.noaa.gov/species/rices-whale" TargetMode="External" /><Relationship Type="http://schemas.openxmlformats.org/officeDocument/2006/relationships/hyperlink" Id="rId195"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3" Target="https://www.fws.gov/law/endangered-species-act" TargetMode="External" /><Relationship Type="http://schemas.openxmlformats.org/officeDocument/2006/relationships/hyperlink" Id="rId197" Target="https://www.fws.gov/law/migratory-bird-treaty-act-1918" TargetMode="External" /><Relationship Type="http://schemas.openxmlformats.org/officeDocument/2006/relationships/hyperlink" Id="rId175" Target="https://www.gbif.org" TargetMode="External" /><Relationship Type="http://schemas.openxmlformats.org/officeDocument/2006/relationships/hyperlink" Id="rId176" Target="https://www.itis.gov" TargetMode="External" /><Relationship Type="http://schemas.openxmlformats.org/officeDocument/2006/relationships/hyperlink" Id="rId33" Target="https://www.iucnredlist.org" TargetMode="External" /><Relationship Type="http://schemas.openxmlformats.org/officeDocument/2006/relationships/hyperlink" Id="rId153" Target="https://www.iucnredlist.org/resources/spatial-data-download" TargetMode="External" /><Relationship Type="http://schemas.openxmlformats.org/officeDocument/2006/relationships/hyperlink" Id="rId174" Target="https://www.marinespecies.org" TargetMode="External" /><Relationship Type="http://schemas.openxmlformats.org/officeDocument/2006/relationships/hyperlink" Id="rId297" Target="https://www.rplumber.io" TargetMode="External" /><Relationship Type="http://schemas.openxmlformats.org/officeDocument/2006/relationships/hyperlink" Id="rId435" Target="https://www.rplumber.io/" TargetMode="External" /><Relationship Type="http://schemas.openxmlformats.org/officeDocument/2006/relationships/hyperlink" Id="rId155"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2" Target="scores.qmd" TargetMode="External" /><Relationship Type="http://schemas.openxmlformats.org/officeDocument/2006/relationships/hyperlink" Id="rId25" Target="scoring-walkthrough.qmd" TargetMode="External" /><Relationship Type="http://schemas.openxmlformats.org/officeDocument/2006/relationships/hyperlink" Id="rId473" Target="species.qmd" TargetMode="External" /></Relationships>
</file>

<file path=word/_rels/footnotes.xml.rels><?xml version="1.0" encoding="UTF-8"?><Relationships xmlns="http://schemas.openxmlformats.org/package/2006/relationships"><Relationship Type="http://schemas.openxmlformats.org/officeDocument/2006/relationships/hyperlink" Id="rId547" Target="../apps-guide.qmd" TargetMode="External" /><Relationship Type="http://schemas.openxmlformats.org/officeDocument/2006/relationships/hyperlink" Id="rId680" Target="MarineBON.org" TargetMode="External" /><Relationship Type="http://schemas.openxmlformats.org/officeDocument/2006/relationships/hyperlink" Id="rId463" Target="apps-guide.qmd" TargetMode="External" /><Relationship Type="http://schemas.openxmlformats.org/officeDocument/2006/relationships/hyperlink" Id="rId467" Target="apps/shiny-guide.qmd" TargetMode="External" /><Relationship Type="http://schemas.openxmlformats.org/officeDocument/2006/relationships/hyperlink" Id="rId151" Target="http://datazone.birdlife.org/species/requestdis" TargetMode="External" /><Relationship Type="http://schemas.openxmlformats.org/officeDocument/2006/relationships/hyperlink" Id="rId166" Target="http://sites.science.oregonstate.edu/ocean.productivity" TargetMode="External" /><Relationship Type="http://schemas.openxmlformats.org/officeDocument/2006/relationships/hyperlink" Id="rId645" Target="https://CRAN.R-project.org/package=shiny" TargetMode="External" /><Relationship Type="http://schemas.openxmlformats.org/officeDocument/2006/relationships/hyperlink" Id="rId364" Target="https://account.squarespace.com/domains" TargetMode="External" /><Relationship Type="http://schemas.openxmlformats.org/officeDocument/2006/relationships/hyperlink" Id="rId376" Target="https://api.marinesensitivity.org" TargetMode="External" /><Relationship Type="http://schemas.openxmlformats.org/officeDocument/2006/relationships/hyperlink" Id="rId38" Target="https://boem.gov" TargetMode="External" /><Relationship Type="http://schemas.openxmlformats.org/officeDocument/2006/relationships/hyperlink" Id="rId427" Target="https://books.ropensci.org/targets/" TargetMode="External" /><Relationship Type="http://schemas.openxmlformats.org/officeDocument/2006/relationships/hyperlink" Id="rId346" Target="https://caddyserver.com" TargetMode="External" /><Relationship Type="http://schemas.openxmlformats.org/officeDocument/2006/relationships/hyperlink" Id="rId298" Target="https://developmentseed.org/titiler/" TargetMode="External" /><Relationship Type="http://schemas.openxmlformats.org/officeDocument/2006/relationships/hyperlink" Id="rId353" Target="https://docs.aws.amazon.com/AWSEC2/latest/UserGuide/ebs-using-volumes.html" TargetMode="External" /><Relationship Type="http://schemas.openxmlformats.org/officeDocument/2006/relationships/hyperlink" Id="rId351" Target="https://docs.aws.amazon.com/AWSEC2/latest/UserGuide/set-hostname.html" TargetMode="External" /><Relationship Type="http://schemas.openxmlformats.org/officeDocument/2006/relationships/hyperlink" Id="rId360" Target="https://docs.aws.amazon.com/AWSEC2/latest/UserGuide/snapshot-ami-policy.html#create-snap-policy" TargetMode="External" /><Relationship Type="http://schemas.openxmlformats.org/officeDocument/2006/relationships/hyperlink" Id="rId365" Target="https://docs.github.com/en/pages/configuring-a-custom-domain-for-your-github-pages-site/managing-a-custom-domain-for-your-github-pages-site" TargetMode="External" /><Relationship Type="http://schemas.openxmlformats.org/officeDocument/2006/relationships/hyperlink" Id="rId664" Target="https://doi.org/10.1002/ece3.70030" TargetMode="External" /><Relationship Type="http://schemas.openxmlformats.org/officeDocument/2006/relationships/hyperlink" Id="rId649" Target="https://doi.org/10.1038/nature11397" TargetMode="External" /><Relationship Type="http://schemas.openxmlformats.org/officeDocument/2006/relationships/hyperlink" Id="rId660" Target="https://doi.org/10.1038/s41559-017-0160" TargetMode="External" /><Relationship Type="http://schemas.openxmlformats.org/officeDocument/2006/relationships/hyperlink" Id="rId662" Target="https://doi.org/10.1038/s41559-021-01432-0" TargetMode="External" /><Relationship Type="http://schemas.openxmlformats.org/officeDocument/2006/relationships/hyperlink" Id="rId676" Target="https://doi.org/10.1038/sdata.2016.18" TargetMode="External" /><Relationship Type="http://schemas.openxmlformats.org/officeDocument/2006/relationships/hyperlink" Id="rId647" Target="https://doi.org/10.1080/09640568.2014.973483" TargetMode="External" /><Relationship Type="http://schemas.openxmlformats.org/officeDocument/2006/relationships/hyperlink" Id="rId651" Target="https://doi.org/10.1111/j.1523-1739.2007.00752.x" TargetMode="External" /><Relationship Type="http://schemas.openxmlformats.org/officeDocument/2006/relationships/hyperlink" Id="rId643" Target="https://doi.org/10.1371/journal.pbio.0020383" TargetMode="External" /><Relationship Type="http://schemas.openxmlformats.org/officeDocument/2006/relationships/hyperlink" Id="rId641" Target="https://doi.org/10.1371/journal.pone.0000140" TargetMode="External" /><Relationship Type="http://schemas.openxmlformats.org/officeDocument/2006/relationships/hyperlink" Id="rId666" Target="https://doi.org/10.1371/journal.pone.0003700" TargetMode="External" /><Relationship Type="http://schemas.openxmlformats.org/officeDocument/2006/relationships/hyperlink" Id="rId658" Target="https://doi.org/10.1371/journal.pone.0019653" TargetMode="External" /><Relationship Type="http://schemas.openxmlformats.org/officeDocument/2006/relationships/hyperlink" Id="rId653" Target="https://doi.org/10.1371/journal.pone.0146756" TargetMode="External" /><Relationship Type="http://schemas.openxmlformats.org/officeDocument/2006/relationships/hyperlink" Id="rId674" Target="https://doi.org/10.3354/esr01243" TargetMode="External" /><Relationship Type="http://schemas.openxmlformats.org/officeDocument/2006/relationships/hyperlink" Id="rId639" Target="https://doi.org/10.4319/lo.1997.42.1.0001" TargetMode="External" /><Relationship Type="http://schemas.openxmlformats.org/officeDocument/2006/relationships/hyperlink" Id="rId357" Target="https://drive.google.com/open?id=17B3djETDU8SVwGvJdZ3rp7TKtX8w0cfl&amp;usp=drive_fs" TargetMode="External" /><Relationship Type="http://schemas.openxmlformats.org/officeDocument/2006/relationships/hyperlink" Id="rId296" Target="https://duckdb.org" TargetMode="External" /><Relationship Type="http://schemas.openxmlformats.org/officeDocument/2006/relationships/hyperlink" Id="rId146" Target="https://ecos.fws.gov/docs/crithab/crithab_all/crithab_all_layers.zip" TargetMode="External" /><Relationship Type="http://schemas.openxmlformats.org/officeDocument/2006/relationships/hyperlink" Id="rId149" Target="https://ecos.fws.gov/docs/species/shapefiles/usfws_complete_species_current_range.zip" TargetMode="External" /><Relationship Type="http://schemas.openxmlformats.org/officeDocument/2006/relationships/hyperlink" Id="rId145" Target="https://ecos.fws.gov/ecp/report/table/critical-habitat.html" TargetMode="External" /><Relationship Type="http://schemas.openxmlformats.org/officeDocument/2006/relationships/hyperlink" Id="rId148" Target="https://ecos.fws.gov/ecp/species-reports" TargetMode="External" /><Relationship Type="http://schemas.openxmlformats.org/officeDocument/2006/relationships/hyperlink" Id="rId374" Target="https://file.marinesensitivity.org" TargetMode="External" /><Relationship Type="http://schemas.openxmlformats.org/officeDocument/2006/relationships/hyperlink" Id="rId319" Target="https://github.com/CrunchyData/pg_tileserv" TargetMode="External" /><Relationship Type="http://schemas.openxmlformats.org/officeDocument/2006/relationships/hyperlink" Id="rId299" Target="https://github.com/MarineSensitivities/msens" TargetMode="External" /><Relationship Type="http://schemas.openxmlformats.org/officeDocument/2006/relationships/hyperlink" Id="rId332" Target="https://github.com/MarineSensitivity" TargetMode="External" /><Relationship Type="http://schemas.openxmlformats.org/officeDocument/2006/relationships/hyperlink" Id="rId449" Target="https://github.com/MarineSensitivity/api/blob/main/plumber.R" TargetMode="External" /><Relationship Type="http://schemas.openxmlformats.org/officeDocument/2006/relationships/hyperlink" Id="rId466" Target="https://github.com/MarineSensitivity/apps" TargetMode="External" /><Relationship Type="http://schemas.openxmlformats.org/officeDocument/2006/relationships/hyperlink" Id="rId809" Target="https://github.com/MarineSensitivity/apps/tree/main/aoi" TargetMode="External" /><Relationship Type="http://schemas.openxmlformats.org/officeDocument/2006/relationships/hyperlink" Id="rId815" Target="https://github.com/MarineSensitivity/apps/tree/main/bird_hotspots" TargetMode="External" /><Relationship Type="http://schemas.openxmlformats.org/officeDocument/2006/relationships/hyperlink" Id="rId821" Target="https://github.com/MarineSensitivity/apps/tree/main/map" TargetMode="External" /><Relationship Type="http://schemas.openxmlformats.org/officeDocument/2006/relationships/hyperlink" Id="rId701" Target="https://github.com/MarineSensitivity/apps/tree/main/scores" TargetMode="External" /><Relationship Type="http://schemas.openxmlformats.org/officeDocument/2006/relationships/hyperlink" Id="rId832" Target="https://github.com/MarineSensitivity/apps/tree/main/sdm" TargetMode="External" /><Relationship Type="http://schemas.openxmlformats.org/officeDocument/2006/relationships/hyperlink" Id="rId838" Target="https://github.com/MarineSensitivity/apps/tree/main/sdm-cog" TargetMode="External" /><Relationship Type="http://schemas.openxmlformats.org/officeDocument/2006/relationships/hyperlink" Id="rId718" Target="https://github.com/MarineSensitivity/apps/tree/main/species" TargetMode="External" /><Relationship Type="http://schemas.openxmlformats.org/officeDocument/2006/relationships/hyperlink" Id="rId844" Target="https://github.com/MarineSensitivity/apps/tree/main/vmap" TargetMode="External" /><Relationship Type="http://schemas.openxmlformats.org/officeDocument/2006/relationships/hyperlink" Id="rId549" Target="https://github.com/MarineSensitivity/atlas" TargetMode="External" /><Relationship Type="http://schemas.openxmlformats.org/officeDocument/2006/relationships/hyperlink" Id="rId458" Target="https://github.com/MarineSensitivity/msens" TargetMode="External" /><Relationship Type="http://schemas.openxmlformats.org/officeDocument/2006/relationships/hyperlink" Id="rId367" Target="https://github.com/MarineSensitivity/server/blob/main/caddy/Caddyfile" TargetMode="External" /><Relationship Type="http://schemas.openxmlformats.org/officeDocument/2006/relationships/hyperlink" Id="rId345" Target="https://github.com/MarineSensitivity/server/blob/main/docker-compose.yml" TargetMode="External" /><Relationship Type="http://schemas.openxmlformats.org/officeDocument/2006/relationships/hyperlink" Id="rId439" Target="https://github.com/MarineSensitivity/server/blob/main/titiler/factory.py" TargetMode="External" /><Relationship Type="http://schemas.openxmlformats.org/officeDocument/2006/relationships/hyperlink" Id="rId347" Target="https://github.com/MarineSensitivity/server/wiki/Server-Setup" TargetMode="External" /><Relationship Type="http://schemas.openxmlformats.org/officeDocument/2006/relationships/hyperlink" Id="rId426" Target="https://github.com/MarineSensitivity/workflows" TargetMode="External" /><Relationship Type="http://schemas.openxmlformats.org/officeDocument/2006/relationships/hyperlink" Id="rId314" Target="https://github.com/mapbox/tippecanoe" TargetMode="External" /><Relationship Type="http://schemas.openxmlformats.org/officeDocument/2006/relationships/hyperlink" Id="rId537" Target="https://github.com/oceanmetrics/atlas/blob/main/docs/accessibility.md" TargetMode="External" /><Relationship Type="http://schemas.openxmlformats.org/officeDocument/2006/relationships/hyperlink" Id="rId538" Target="https://github.com/oceanmetrics/atlas/blob/main/docs/performance.md" TargetMode="External" /><Relationship Type="http://schemas.openxmlformats.org/officeDocument/2006/relationships/hyperlink" Id="rId308" Target="https://guide.cloudnativegeo.org/" TargetMode="External" /><Relationship Type="http://schemas.openxmlformats.org/officeDocument/2006/relationships/hyperlink" Id="rId341"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342"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3" Target="https://marinesensitivity.org/faq/" TargetMode="External" /><Relationship Type="http://schemas.openxmlformats.org/officeDocument/2006/relationships/hyperlink" Id="rId343" Target="https://marinesensitivity.org/msens" TargetMode="External" /><Relationship Type="http://schemas.openxmlformats.org/officeDocument/2006/relationships/hyperlink" Id="rId441" Target="https://marinesensitivity.org/msens/reference/cell_stats.html" TargetMode="External" /><Relationship Type="http://schemas.openxmlformats.org/officeDocument/2006/relationships/hyperlink" Id="rId440" Target="https://marinesensitivity.org/msens/reference/cell_tile_url.html" TargetMode="External" /><Relationship Type="http://schemas.openxmlformats.org/officeDocument/2006/relationships/hyperlink" Id="rId286" Target="https://marinesensitivity.org/workflows/" TargetMode="External" /><Relationship Type="http://schemas.openxmlformats.org/officeDocument/2006/relationships/hyperlink" Id="rId356" Target="https://medium.com/@srijaanaparthy/step-by-step-guide-to-install-docker-on-ubuntu-in-aws-a39746e5a63d" TargetMode="External" /><Relationship Type="http://schemas.openxmlformats.org/officeDocument/2006/relationships/hyperlink" Id="rId142" Target="https://noaa.maps.arcgis.com/home/item.html?id=f66c1e33f91d480db7d1b1c1336223c3" TargetMode="External" /><Relationship Type="http://schemas.openxmlformats.org/officeDocument/2006/relationships/hyperlink" Id="rId671" Target="https://noaa.maps.arcgis.com/home/search.html?searchTerm=turtle+dps" TargetMode="External" /><Relationship Type="http://schemas.openxmlformats.org/officeDocument/2006/relationships/hyperlink" Id="rId385" Target="https://posit.co/products/open-source/rstudio-server/" TargetMode="External" /><Relationship Type="http://schemas.openxmlformats.org/officeDocument/2006/relationships/hyperlink" Id="rId24" Target="https://preview.marinesensitivity.org/v7b/atlas/" TargetMode="External" /><Relationship Type="http://schemas.openxmlformats.org/officeDocument/2006/relationships/hyperlink" Id="rId21" Target="https://preview.marinesensitivity.org/v7b/atlas/?lens=scores" TargetMode="External" /><Relationship Type="http://schemas.openxmlformats.org/officeDocument/2006/relationships/hyperlink" Id="rId22" Target="https://preview.marinesensitivity.org/v7b/atlas/?lens=species" TargetMode="External" /><Relationship Type="http://schemas.openxmlformats.org/officeDocument/2006/relationships/hyperlink" Id="rId608" Target="https://preview.marinesensitivity.org/v7b/atlas/?lens=species&amp;sp=54247" TargetMode="External" /><Relationship Type="http://schemas.openxmlformats.org/officeDocument/2006/relationships/hyperlink" Id="rId614" Target="https://preview.marinesensitivity.org/v7b/atlas/?lens=species&amp;sp=54247&amp;ui=4.l.l.380.h.n" TargetMode="External" /><Relationship Type="http://schemas.openxmlformats.org/officeDocument/2006/relationships/hyperlink" Id="rId23" Target="https://preview.marinesensitivity.org/v7b/atlas/?tool=report" TargetMode="External" /><Relationship Type="http://schemas.openxmlformats.org/officeDocument/2006/relationships/hyperlink" Id="rId584" Target="https://preview.marinesensitivity.org/v7b/atlas/?ui=4.d.l.380.h.n" TargetMode="External" /><Relationship Type="http://schemas.openxmlformats.org/officeDocument/2006/relationships/hyperlink" Id="rId573" Target="https://preview.marinesensitivity.org/v7b/atlas/?ui=4.l.l.380.h.n" TargetMode="External" /><Relationship Type="http://schemas.openxmlformats.org/officeDocument/2006/relationships/hyperlink" Id="rId596" Target="https://preview.marinesensitivity.org/v7b/atlas/?ui=4.r.l.380.h.n" TargetMode="External" /><Relationship Type="http://schemas.openxmlformats.org/officeDocument/2006/relationships/hyperlink" Id="rId590" Target="https://preview.marinesensitivity.org/v7b/atlas/?ui=4.t.l.380.h.n" TargetMode="External" /><Relationship Type="http://schemas.openxmlformats.org/officeDocument/2006/relationships/hyperlink" Id="rId300" Target="https://protomaps.com/docs/pmtiles/" TargetMode="External" /><Relationship Type="http://schemas.openxmlformats.org/officeDocument/2006/relationships/hyperlink" Id="rId425"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7" Target="https://rstudio.github.io/leaflet/articles/raster.html#large-raster-warning" TargetMode="External" /><Relationship Type="http://schemas.openxmlformats.org/officeDocument/2006/relationships/hyperlink" Id="rId381" Target="https://rstudio.marinesensitivity.org" TargetMode="External" /><Relationship Type="http://schemas.openxmlformats.org/officeDocument/2006/relationships/hyperlink" Id="rId369" Target="https://shiny.marinesensitivity.org" TargetMode="External" /><Relationship Type="http://schemas.openxmlformats.org/officeDocument/2006/relationships/hyperlink" Id="rId808" Target="https://shiny.marinesensitivity.org/aoi/" TargetMode="External" /><Relationship Type="http://schemas.openxmlformats.org/officeDocument/2006/relationships/hyperlink" Id="rId814" Target="https://shiny.marinesensitivity.org/bird_hotspots/" TargetMode="External" /><Relationship Type="http://schemas.openxmlformats.org/officeDocument/2006/relationships/hyperlink" Id="rId820" Target="https://shiny.marinesensitivity.org/map/" TargetMode="External" /><Relationship Type="http://schemas.openxmlformats.org/officeDocument/2006/relationships/hyperlink" Id="rId826" Target="https://shiny.marinesensitivity.org/scores/" TargetMode="External" /><Relationship Type="http://schemas.openxmlformats.org/officeDocument/2006/relationships/hyperlink" Id="rId837" Target="https://shiny.marinesensitivity.org/sdm-cog/" TargetMode="External" /><Relationship Type="http://schemas.openxmlformats.org/officeDocument/2006/relationships/hyperlink" Id="rId831" Target="https://shiny.marinesensitivity.org/sdm/" TargetMode="External" /><Relationship Type="http://schemas.openxmlformats.org/officeDocument/2006/relationships/hyperlink" Id="rId843" Target="https://shiny.marinesensitivity.org/vmap/" TargetMode="External" /><Relationship Type="http://schemas.openxmlformats.org/officeDocument/2006/relationships/hyperlink" Id="rId305" Target="https://shiny.posit.co" TargetMode="External" /><Relationship Type="http://schemas.openxmlformats.org/officeDocument/2006/relationships/hyperlink" Id="rId373" Target="https://shiny.posit.co/" TargetMode="External" /><Relationship Type="http://schemas.openxmlformats.org/officeDocument/2006/relationships/hyperlink" Id="rId454" Target="https://stacspec.org" TargetMode="External" /><Relationship Type="http://schemas.openxmlformats.org/officeDocument/2006/relationships/hyperlink" Id="rId375" Target="https://titiler.marinesensitivity.org" TargetMode="External" /><Relationship Type="http://schemas.openxmlformats.org/officeDocument/2006/relationships/hyperlink" Id="rId348" Target="https://us-east-1.console.aws.amazon.com/ec2/home?region=us-east-1#Addresses:" TargetMode="External" /><Relationship Type="http://schemas.openxmlformats.org/officeDocument/2006/relationships/hyperlink" Id="rId443"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68" Target="https://www.boem.gov/sites/default/files/environmental-stewardship/Environmental-Studies/Pacific-Region/Studies/BOEM-2018-031-Vol1.pdf" TargetMode="External" /><Relationship Type="http://schemas.openxmlformats.org/officeDocument/2006/relationships/hyperlink" Id="rId344"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3" Target="https://www.fisheries.noaa.gov/inport/item/65207" TargetMode="External" /><Relationship Type="http://schemas.openxmlformats.org/officeDocument/2006/relationships/hyperlink" Id="rId141" Target="https://www.fisheries.noaa.gov/resource/map/national-esa-critical-habitat-mapper" TargetMode="External" /><Relationship Type="http://schemas.openxmlformats.org/officeDocument/2006/relationships/hyperlink" Id="rId139" Target="https://www.fisheries.noaa.gov/s3/2021-09/shapefile_Rices_whale_core_distribution_area_Jun19_SERO.zip" TargetMode="External" /><Relationship Type="http://schemas.openxmlformats.org/officeDocument/2006/relationships/hyperlink" Id="rId138" Target="https://www.fisheries.noaa.gov/species/rices-whale" TargetMode="External" /><Relationship Type="http://schemas.openxmlformats.org/officeDocument/2006/relationships/hyperlink" Id="rId195"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3" Target="https://www.fws.gov/law/endangered-species-act" TargetMode="External" /><Relationship Type="http://schemas.openxmlformats.org/officeDocument/2006/relationships/hyperlink" Id="rId197" Target="https://www.fws.gov/law/migratory-bird-treaty-act-1918" TargetMode="External" /><Relationship Type="http://schemas.openxmlformats.org/officeDocument/2006/relationships/hyperlink" Id="rId175" Target="https://www.gbif.org" TargetMode="External" /><Relationship Type="http://schemas.openxmlformats.org/officeDocument/2006/relationships/hyperlink" Id="rId176" Target="https://www.itis.gov" TargetMode="External" /><Relationship Type="http://schemas.openxmlformats.org/officeDocument/2006/relationships/hyperlink" Id="rId33" Target="https://www.iucnredlist.org" TargetMode="External" /><Relationship Type="http://schemas.openxmlformats.org/officeDocument/2006/relationships/hyperlink" Id="rId153" Target="https://www.iucnredlist.org/resources/spatial-data-download" TargetMode="External" /><Relationship Type="http://schemas.openxmlformats.org/officeDocument/2006/relationships/hyperlink" Id="rId174" Target="https://www.marinespecies.org" TargetMode="External" /><Relationship Type="http://schemas.openxmlformats.org/officeDocument/2006/relationships/hyperlink" Id="rId297" Target="https://www.rplumber.io" TargetMode="External" /><Relationship Type="http://schemas.openxmlformats.org/officeDocument/2006/relationships/hyperlink" Id="rId435" Target="https://www.rplumber.io/" TargetMode="External" /><Relationship Type="http://schemas.openxmlformats.org/officeDocument/2006/relationships/hyperlink" Id="rId155"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2" Target="scores.qmd" TargetMode="External" /><Relationship Type="http://schemas.openxmlformats.org/officeDocument/2006/relationships/hyperlink" Id="rId25" Target="scoring-walkthrough.qmd" TargetMode="External" /><Relationship Type="http://schemas.openxmlformats.org/officeDocument/2006/relationships/hyperlink" Id="rId473"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2026-10-24T14:49:46Z</dcterms:created>
  <dcterms:modified xsi:type="dcterms:W3CDTF">2026-10-24T14:49:46Z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2026-10-24</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