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0.png" ContentType="image/png"/>
  <Override PartName="/word/media/rId13.png" ContentType="image/png"/>
  <Override PartName="/word/media/rId113.png" ContentType="image/png"/>
  <Override PartName="/word/media/rId54.png" ContentType="image/png"/>
  <Override PartName="/word/media/rId433.png" ContentType="image/png"/>
  <Override PartName="/word/media/rId468.png" ContentType="image/png"/>
  <Override PartName="/word/media/rId737.png" ContentType="image/png"/>
  <Override PartName="/word/media/rId742.png" ContentType="image/png"/>
  <Override PartName="/word/media/rId747.png" ContentType="image/png"/>
  <Override PartName="/word/media/rId752.png" ContentType="image/png"/>
  <Override PartName="/word/media/rId757.png" ContentType="image/png"/>
  <Override PartName="/word/media/rId762.png" ContentType="image/png"/>
  <Override PartName="/word/media/rId767.png" ContentType="image/png"/>
  <Override PartName="/word/media/rId772.png" ContentType="image/png"/>
  <Override PartName="/word/media/rId777.png" ContentType="image/png"/>
  <Override PartName="/word/media/rId782.png" ContentType="image/png"/>
  <Override PartName="/word/media/rId787.png" ContentType="image/png"/>
  <Override PartName="/word/media/rId793.png" ContentType="image/png"/>
  <Override PartName="/word/media/rId798.png" ContentType="image/png"/>
  <Override PartName="/word/media/rId803.png" ContentType="image/png"/>
  <Override PartName="/word/media/rId808.png" ContentType="image/png"/>
  <Override PartName="/word/media/rId813.png" ContentType="image/png"/>
  <Override PartName="/word/media/rId822.png" ContentType="image/png"/>
  <Override PartName="/word/media/rId828.png" ContentType="image/png"/>
  <Override PartName="/word/media/rId834.png" ContentType="image/png"/>
  <Override PartName="/word/media/rId701.png" ContentType="image/png"/>
  <Override PartName="/word/media/rId697.png" ContentType="image/png"/>
  <Override PartName="/word/media/rId839.png" ContentType="image/png"/>
  <Override PartName="/word/media/rId851.png" ContentType="image/png"/>
  <Override PartName="/word/media/rId845.png" ContentType="image/png"/>
  <Override PartName="/word/media/rId719.png" ContentType="image/png"/>
  <Override PartName="/word/media/rId857.png" ContentType="image/png"/>
  <Override PartName="/word/media/rId569.png" ContentType="image/png"/>
  <Override PartName="/word/media/rId574.png" ContentType="image/png"/>
  <Override PartName="/word/media/rId579.png" ContentType="image/png"/>
  <Override PartName="/word/media/rId584.png" ContentType="image/png"/>
  <Override PartName="/word/media/rId590.png" ContentType="image/png"/>
  <Override PartName="/word/media/rId595.png" ContentType="image/png"/>
  <Override PartName="/word/media/rId601.png" ContentType="image/png"/>
  <Override PartName="/word/media/rId607.png" ContentType="image/png"/>
  <Override PartName="/word/media/rId613.png" ContentType="image/png"/>
  <Override PartName="/word/media/rId619.png" ContentType="image/png"/>
  <Override PartName="/word/media/rId624.png" ContentType="image/png"/>
  <Override PartName="/word/media/rId630.png" ContentType="image/png"/>
  <Override PartName="/word/media/rId635.png" ContentType="image/png"/>
  <Override PartName="/word/media/rId640.png" ContentType="image/png"/>
  <Override PartName="/word/media/rId273.png" ContentType="image/png"/>
  <Override PartName="/word/media/rId295.png" ContentType="image/png"/>
  <Override PartName="/word/media/rId354.png" ContentType="image/png"/>
  <Override PartName="/word/media/rId122.png" ContentType="image/png"/>
  <Override PartName="/word/media/rId16.svg" ContentType="image/svg+xml"/>
  <Override PartName="/word/media/rId396.png" ContentType="image/png"/>
  <Override PartName="/word/media/rId401.png" ContentType="image/png"/>
  <Override PartName="/word/media/rId389.png" ContentType="image/png"/>
  <Override PartName="/word/media/rId278.png" ContentType="image/png"/>
  <Override PartName="/word/media/rId282.png" ContentType="image/png"/>
  <Override PartName="/word/media/rId175.jpg" ContentType="image/jpeg"/>
  <Override PartName="/word/media/rId519.png" ContentType="image/png"/>
  <Override PartName="/word/media/rId535.png" ContentType="image/png"/>
  <Override PartName="/word/media/rId505.png" ContentType="image/png"/>
  <Override PartName="/word/media/rId490.png" ContentType="image/png"/>
  <Override PartName="/word/media/rId515.png" ContentType="image/png"/>
  <Override PartName="/word/media/rId548.png" ContentType="image/png"/>
  <Override PartName="/word/media/rId544.png" ContentType="image/png"/>
  <Override PartName="/word/media/rId526.png" ContentType="image/png"/>
  <Override PartName="/word/media/rId530.png" ContentType="image/png"/>
  <Override PartName="/word/media/rId510.png" ContentType="image/png"/>
  <Override PartName="/word/media/rId539.png" ContentType="image/png"/>
  <Override PartName="/word/media/rId557.png" ContentType="image/png"/>
  <Override PartName="/word/media/rId494.png" ContentType="image/png"/>
  <Override PartName="/word/media/rId498.png" ContentType="image/png"/>
  <Override PartName="/word/media/rId9.svg" ContentType="image/svg+xml"/>
  <Override PartName="/word/media/rId41.png" ContentType="image/png"/>
  <Override PartName="/word/media/rId12.png" ContentType="image/png"/>
  <Override PartName="/word/media/rId19.png" ContentType="image/png"/>
  <Override PartName="/word/media/rId47.png" ContentType="image/png"/>
  <Override PartName="/word/media/rId228.png" ContentType="image/png"/>
  <Override PartName="/word/media/rId315.png" ContentType="image/png"/>
  <Override PartName="/word/media/rId307.png" ContentType="image/png"/>
  <Override PartName="/word/media/rId332.png" ContentType="image/png"/>
  <Override PartName="/word/media/rId327.png" ContentType="image/png"/>
  <Override PartName="/word/media/rId3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Sensitivity</w:t>
      </w:r>
    </w:p>
    <w:p>
      <w:pPr>
        <w:pStyle w:val="Subtitle"/>
      </w:pPr>
      <w:r>
        <w:t xml:space="preserve">Project Documentation</w:t>
      </w:r>
    </w:p>
    <w:p>
      <w:pPr>
        <w:pStyle w:val="Author"/>
      </w:pPr>
      <w:r>
        <w:t xml:space="preserve">Benjamin D. Best</w:t>
      </w:r>
    </w:p>
    <w:p>
      <w:pPr>
        <w:pStyle w:val="Author"/>
      </w:pPr>
      <w:r>
        <w:t xml:space="preserve">Timothy P. White</w:t>
      </w:r>
    </w:p>
    <w:p>
      <w:pPr>
        <w:pStyle w:val="Date"/>
      </w:pPr>
      <w:r>
        <w:t xml:space="preserve">2026-10-24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preface"/>
    <w:p>
      <w:pPr>
        <w:pStyle w:val="Heading1"/>
      </w:pPr>
      <w:r>
        <w:t xml:space="preserve">Preface</w:t>
      </w:r>
    </w:p>
    <w:p>
      <w:pPr>
        <w:pStyle w:val="FirstParagraph"/>
      </w:pPr>
      <w:r>
        <w:drawing>
          <wp:inline>
            <wp:extent cx="5334000" cy="2133600"/>
            <wp:effectExtent b="0" l="0" r="0" t="0"/>
            <wp:docPr descr="" title="" id="10" name="Picture"/>
            <a:graphic>
              <a:graphicData uri="http://schemas.openxmlformats.org/drawingml/2006/picture">
                <pic:pic>
                  <pic:nvPicPr>
                    <pic:cNvPr descr="images/mst-hero.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The</w:t>
      </w:r>
      <w:r>
        <w:t xml:space="preserve"> </w:t>
      </w:r>
      <w:r>
        <w:rPr>
          <w:b/>
          <w:bCs/>
        </w:rPr>
        <w:t xml:space="preserve">Marine Sensitivity Toolkit</w:t>
      </w:r>
      <w:r>
        <w:t xml:space="preserve"> </w:t>
      </w:r>
      <w:r>
        <w:t xml:space="preserve">(MST) is a cloud-native system developed for the Bureau of Ocean Energy Management (BOEM) to assess the sensitivity of marine ecosystems to offshore energy development.</w:t>
      </w:r>
    </w:p>
    <w:p>
      <w:pPr>
        <w:pStyle w:val="BodyText"/>
      </w:pPr>
      <w:r>
        <w:t xml:space="preserve">It integrates 17,130 species distribution models with extinction risk assessments across US waters (9,576 of which fall within the 20 BOEM Program Areas of the current program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v9, relative to v8</w:t>
            </w:r>
          </w:p>
        </w:tc>
      </w:tr>
      <w:tr>
        <w:trPr>
          <w:cantSplit/>
        </w:trPr>
        <w:tc>
          <w:tcPr>
            <w:tcMar>
              <w:top w:w="108" w:type="dxa"/>
              <w:bottom w:w="108" w:type="dxa"/>
            </w:tcMar>
          </w:tcPr>
          <w:p>
            <w:pPr>
              <w:pStyle w:val="BodyText"/>
            </w:pPr>
            <w:pPr>
              <w:spacing w:before="16"/>
            </w:pPr>
            <w:r>
              <w:rPr>
                <w:i/>
                <w:iCs/>
              </w:rPr>
              <w:t xml:space="preserve">AquaX supersedes AquaMaps in US waters</w:t>
            </w:r>
          </w:p>
          <w:p>
            <w:pPr>
              <w:pStyle w:val="BodyText"/>
            </w:pPr>
            <w:r>
              <w:rPr>
                <w:b/>
                <w:bCs/>
              </w:rPr>
              <w:t xml:space="preserve">Datasets</w:t>
            </w:r>
            <w:r>
              <w:t xml:space="preserve"> </w:t>
            </w:r>
            <w:r>
              <w:t xml:space="preserve">—</w:t>
            </w:r>
            <w:r>
              <w:t xml:space="preserve"> </w:t>
            </w:r>
            <w:r>
              <w:rPr>
                <w:b/>
                <w:bCs/>
              </w:rPr>
              <w:t xml:space="preserve">AquaX</w:t>
            </w:r>
            <w:r>
              <w:t xml:space="preserve"> </w:t>
            </w:r>
            <w:r>
              <w:t xml:space="preserve">(</w:t>
            </w:r>
            <w:r>
              <w:rPr>
                <w:rStyle w:val="VerbatimChar"/>
              </w:rPr>
              <w:t xml:space="preserve">ax</w:t>
            </w:r>
            <w:r>
              <w:t xml:space="preserve">) joins as a ninth contributing input — an enhanced and revised AquaMaps framework (Reygondeau et al. 2026): 10,536 ensemble habitat-suitability models delivered on the analysis grid itself and</w:t>
            </w:r>
            <w:r>
              <w:t xml:space="preserve"> </w:t>
            </w:r>
            <w:r>
              <w:rPr>
                <w:b/>
                <w:bCs/>
              </w:rPr>
              <w:t xml:space="preserve">masked to US waters</w:t>
            </w:r>
            <w:r>
              <w:t xml:space="preserve">. For the same species it</w:t>
            </w:r>
            <w:r>
              <w:t xml:space="preserve"> </w:t>
            </w:r>
            <w:r>
              <w:rPr>
                <w:b/>
                <w:bCs/>
              </w:rPr>
              <w:t xml:space="preserve">supersedes AquaMaps wherever AquaX was modeled</w:t>
            </w:r>
            <w:r>
              <w:t xml:space="preserve"> </w:t>
            </w:r>
            <w:r>
              <w:t xml:space="preserve">(10,517 species, 10,703 AquaMaps models); AquaMaps continues for the ~6,000 species AquaX did not model and everywhere outside AquaX’s mask. A further 2,742 species AquaX modeled but found absent in US waters keep their AquaMaps surface in this pre-release, pending review.</w:t>
            </w:r>
          </w:p>
          <w:p>
            <w:pPr>
              <w:pStyle w:val="BodyText"/>
            </w:pPr>
            <w:r>
              <w:rPr>
                <w:b/>
                <w:bCs/>
              </w:rPr>
              <w:t xml:space="preserve">Methods</w:t>
            </w:r>
            <w:r>
              <w:t xml:space="preserve"> </w:t>
            </w:r>
            <w:r>
              <w:t xml:space="preserve">— Extinction risk becomes</w:t>
            </w:r>
            <w:r>
              <w:t xml:space="preserve"> </w:t>
            </w:r>
            <w:r>
              <w:rPr>
                <w:b/>
                <w:bCs/>
              </w:rPr>
              <w:t xml:space="preserve">spatial for species listed by Distinct Population Segment</w:t>
            </w:r>
            <w:r>
              <w:t xml:space="preserve">: 18 species whose ESA listing applies to some populations only (humpback and Southern Resident killer whales, Cook Inlet beluga, the salmonid ESUs, both sturgeons, …) take each listed entity’s status inside its designated critical habitat, from NOAA Fisheries’ authoritative service, and the baseline every unlisted species of its kind gets (the MMPA floor for a marine mammal, the IUCN category otherwise) across the rest of their range. Their merged model stays the habitat suitability; the per-cell risk is carried beside it and multiplied in at scoring, and is offered in the species app as its own layer. Before this the humpback carried the Endangered status of DPSs that breed outside US waters everywhere it occurs, a flat maximum across its entire range. Supersession is a filter on the merge input, not a per-cell blend: inside the AquaX mask a superseded species’ AquaMaps cells are dropped before the merge, so an AquaX absence is an absence. Values are AquaX’s 0–1000 ensemble mean ÷ 10, on AquaMaps’ 0–100 scale; the model’s TSS cutoff is recorded but not applied. Every other rule — range constraint, governing extinction risk, turtle multiplication — is unchanged, and a control run with supersession switched off reproduces v8’s Program-Area scores exactly.</w:t>
            </w:r>
          </w:p>
          <w:p>
            <w:pPr>
              <w:pStyle w:val="BodyText"/>
            </w:pPr>
            <w:r>
              <w:rPr>
                <w:b/>
                <w:bCs/>
              </w:rPr>
              <w:t xml:space="preserve">Reported units</w:t>
            </w:r>
            <w:r>
              <w:t xml:space="preserve"> </w:t>
            </w:r>
            <w:r>
              <w:t xml:space="preserve">— Scores are reported on</w:t>
            </w:r>
            <w:r>
              <w:t xml:space="preserve"> </w:t>
            </w:r>
            <w:r>
              <w:rPr>
                <w:b/>
                <w:bCs/>
              </w:rPr>
              <w:t xml:space="preserve">20 programarea, 12 ecoregion, 5 subregion</w:t>
            </w:r>
            <w:r>
              <w:t xml:space="preserve"> </w:t>
            </w:r>
            <w:r>
              <w:t xml:space="preserve">— unchanged from the previous release.</w:t>
            </w:r>
          </w:p>
          <w:p>
            <w:pPr>
              <w:pStyle w:val="BodyText"/>
            </w:pPr>
            <w:r>
              <w:rPr>
                <w:b/>
                <w:bCs/>
              </w:rPr>
              <w:t xml:space="preserve">Scope</w:t>
            </w:r>
            <w:r>
              <w:t xml:space="preserve"> </w:t>
            </w:r>
            <w:r>
              <w:t xml:space="preserve">— Scoring extent and species definition are unchanged from v8; what changes is</w:t>
            </w:r>
            <w:r>
              <w:t xml:space="preserve"> </w:t>
            </w:r>
            <w:r>
              <w:rPr>
                <w:b/>
                <w:bCs/>
              </w:rPr>
              <w:t xml:space="preserve">which model supplies suitability</w:t>
            </w:r>
            <w:r>
              <w:t xml:space="preserve"> </w:t>
            </w:r>
            <w:r>
              <w:t xml:space="preserve">for two thirds of the scored species inside US waters.</w:t>
            </w:r>
          </w:p>
          <w:p>
            <w:pPr>
              <w:pStyle w:val="BodyText"/>
            </w:pPr>
            <w:r>
              <w:rPr>
                <w:b/>
                <w:bCs/>
              </w:rPr>
              <w:t xml:space="preserve">Technology</w:t>
            </w:r>
            <w:r>
              <w:t xml:space="preserve"> </w:t>
            </w:r>
            <w:r>
              <w:t xml:space="preserve">— A same-grid version bump now reuses the previous release’s unchanged ingests (copy-on-write clone, verified against their content checkpoints) instead of re-running them, and every reader of the previous release resolves its schema by introspection.</w:t>
            </w:r>
          </w:p>
          <w:p>
            <w:pPr>
              <w:pStyle w:val="BodyText"/>
            </w:pPr>
            <w:pPr>
              <w:spacing w:after="16"/>
            </w:pPr>
            <w:r>
              <w:rPr>
                <w:i/>
                <w:iCs/>
              </w:rPr>
              <w:t xml:space="preserve">Measured against v8: datasets added:</w:t>
            </w:r>
            <w:r>
              <w:rPr>
                <w:i/>
                <w:iCs/>
              </w:rPr>
              <w:t xml:space="preserve"> </w:t>
            </w:r>
            <w:r>
              <w:rPr>
                <w:rStyle w:val="VerbatimChar"/>
                <w:i/>
                <w:iCs/>
              </w:rPr>
              <w:t xml:space="preserve">ax</w:t>
            </w:r>
            <w:r>
              <w:rPr>
                <w:i/>
                <w:iCs/>
              </w:rPr>
              <w:t xml:space="preserve">,</w:t>
            </w:r>
            <w:r>
              <w:rPr>
                <w:i/>
                <w:iCs/>
              </w:rPr>
              <w:t xml:space="preserve"> </w:t>
            </w:r>
            <w:r>
              <w:rPr>
                <w:rStyle w:val="VerbatimChar"/>
                <w:i/>
                <w:iCs/>
              </w:rPr>
              <w:t xml:space="preserve">dps_nmfs</w:t>
            </w:r>
            <w:r>
              <w:rPr>
                <w:i/>
                <w:iCs/>
              </w:rPr>
              <w:t xml:space="preserve">; valid species 17,112 → 17,130.</w:t>
            </w:r>
          </w:p>
          <w:p/>
        </w:tc>
      </w:tr>
    </w:tbl>
    <w:tbl>
      <w:tblPr>
        <w:tblStyle w:val="Table"/>
        <w:tblW w:type="pct" w:w="5000"/>
        <w:tblLayout w:type="fixed"/>
        <w:tblLook w:firstRow="0" w:lastRow="0" w:firstColumn="0" w:lastColumn="0" w:noHBand="0" w:noVBand="0" w:val="0000"/>
      </w:tblPr>
      <w:tblGrid>
        <w:gridCol w:w="7920"/>
      </w:tblGrid>
      <w:tr>
        <w:tc>
          <w:tcPr/>
          <w:bookmarkStart w:id="20" w:name="fig-overview-preface"/>
          <w:p>
            <w:pPr>
              <w:pStyle w:val="Compact"/>
              <w:jc w:val="center"/>
            </w:pPr>
            <w:r>
              <w:drawing>
                <wp:inline>
                  <wp:extent cx="5334000" cy="3030681"/>
                  <wp:effectExtent b="0" l="0" r="0" t="0"/>
                  <wp:docPr descr="" title="" id="17" name="Picture"/>
                  <a:graphic>
                    <a:graphicData uri="http://schemas.openxmlformats.org/drawingml/2006/picture">
                      <pic:pic>
                        <pic:nvPicPr>
                          <pic:cNvPr descr="figures/overview-methods.svg" id="18" name="Picture"/>
                          <pic:cNvPicPr>
                            <a:picLocks noChangeArrowheads="1" noChangeAspect="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Overview of the MST methodology: species distribution models from the source datasets are merged, weighted by extinction risk scores (incorporating ESA, MMPA, MBTA, and IUCN protections), rescaled by ecoregion, and aggregated to management zones for visualization.</w:t>
            </w:r>
          </w:p>
          <w:bookmarkEnd w:id="20"/>
        </w:tc>
      </w:tr>
    </w:tbl>
    <w:bookmarkStart w:id="26" w:name="interactive-apps"/>
    <w:p>
      <w:pPr>
        <w:pStyle w:val="Heading3"/>
      </w:pPr>
      <w:r>
        <w:t xml:space="preserve">Interactive Apps</w:t>
      </w:r>
    </w:p>
    <w:p>
      <w:pPr>
        <w:pStyle w:val="Compact"/>
        <w:numPr>
          <w:ilvl w:val="0"/>
          <w:numId w:val="1001"/>
        </w:numPr>
      </w:pPr>
      <w:hyperlink r:id="rId21">
        <w:r>
          <w:rPr>
            <w:rStyle w:val="Hyperlink"/>
          </w:rPr>
          <w:t xml:space="preserve">Composite</w:t>
        </w:r>
        <w:r>
          <w:rPr>
            <w:rStyle w:val="Hyperlink"/>
          </w:rPr>
          <w:t xml:space="preserve"> </w:t>
        </w:r>
        <w:r>
          <w:rPr>
            <w:rStyle w:val="Hyperlink"/>
            <w:b/>
            <w:bCs/>
          </w:rPr>
          <w:t xml:space="preserve">scores</w:t>
        </w:r>
      </w:hyperlink>
      <w:r>
        <w:t xml:space="preserve"> </w:t>
      </w:r>
      <w:r>
        <w:t xml:space="preserve">— sensitivity scores by zone, with flower-plot summaries</w:t>
      </w:r>
    </w:p>
    <w:p>
      <w:pPr>
        <w:pStyle w:val="Compact"/>
        <w:numPr>
          <w:ilvl w:val="0"/>
          <w:numId w:val="1001"/>
        </w:numPr>
      </w:pPr>
      <w:hyperlink r:id="rId22">
        <w:r>
          <w:rPr>
            <w:rStyle w:val="Hyperlink"/>
          </w:rPr>
          <w:t xml:space="preserve">Individual</w:t>
        </w:r>
        <w:r>
          <w:rPr>
            <w:rStyle w:val="Hyperlink"/>
          </w:rPr>
          <w:t xml:space="preserve"> </w:t>
        </w:r>
        <w:r>
          <w:rPr>
            <w:rStyle w:val="Hyperlink"/>
            <w:b/>
            <w:bCs/>
          </w:rPr>
          <w:t xml:space="preserve">species</w:t>
        </w:r>
      </w:hyperlink>
      <w:r>
        <w:t xml:space="preserve"> </w:t>
      </w:r>
      <w:r>
        <w:t xml:space="preserve">— individual species distribution models and habitat suitability</w:t>
      </w:r>
    </w:p>
    <w:p>
      <w:pPr>
        <w:pStyle w:val="Compact"/>
        <w:numPr>
          <w:ilvl w:val="0"/>
          <w:numId w:val="1001"/>
        </w:numPr>
      </w:pPr>
      <w:hyperlink r:id="rId23">
        <w:r>
          <w:rPr>
            <w:rStyle w:val="Hyperlink"/>
          </w:rPr>
          <w:t xml:space="preserve">Your</w:t>
        </w:r>
        <w:r>
          <w:rPr>
            <w:rStyle w:val="Hyperlink"/>
          </w:rPr>
          <w:t xml:space="preserve"> </w:t>
        </w:r>
        <w:r>
          <w:rPr>
            <w:rStyle w:val="Hyperlink"/>
            <w:b/>
            <w:bCs/>
          </w:rPr>
          <w:t xml:space="preserve">area</w:t>
        </w:r>
      </w:hyperlink>
      <w:r>
        <w:t xml:space="preserve"> </w:t>
      </w:r>
      <w:r>
        <w:t xml:space="preserve">— outline any place in the Atlas (Places) for the same scores and a downloadable report</w:t>
      </w:r>
    </w:p>
    <w:p>
      <w:pPr>
        <w:pStyle w:val="FirstParagraph"/>
      </w:pPr>
      <w:r>
        <w:t xml:space="preserve">All three are the</w:t>
      </w:r>
      <w:r>
        <w:t xml:space="preserve"> </w:t>
      </w:r>
      <w:hyperlink r:id="rId24">
        <w:r>
          <w:rPr>
            <w:rStyle w:val="Hyperlink"/>
          </w:rPr>
          <w:t xml:space="preserve">Atlas</w:t>
        </w:r>
      </w:hyperlink>
      <w:r>
        <w:t xml:space="preserve">, which renders</w:t>
      </w:r>
      <w:r>
        <w:t xml:space="preserve"> </w:t>
      </w:r>
      <w:r>
        <w:rPr>
          <w:b/>
          <w:bCs/>
        </w:rPr>
        <w:t xml:space="preserve">any published release</w:t>
      </w:r>
      <w:r>
        <w:t xml:space="preserve">: 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one (a restricted pre-release is reached only on the review host, at</w:t>
      </w:r>
      <w:r>
        <w:t xml:space="preserve"> </w:t>
      </w:r>
      <w:r>
        <w:rPr>
          <w:rStyle w:val="VerbatimChar"/>
        </w:rPr>
        <w:t xml:space="preserve">/{version}/atlas/</w:t>
      </w:r>
      <w:r>
        <w:t xml:space="preserve">). Links to the former Scores and Species Shiny apps redirect to it.</w:t>
      </w:r>
    </w:p>
    <w:p>
      <w:pPr>
        <w:pStyle w:val="Compact"/>
        <w:numPr>
          <w:ilvl w:val="0"/>
          <w:numId w:val="1002"/>
        </w:numPr>
      </w:pPr>
      <w:hyperlink r:id="rId25">
        <w:r>
          <w:rPr>
            <w:rStyle w:val="Hyperlink"/>
          </w:rPr>
          <w:t xml:space="preserve">Scoring</w:t>
        </w:r>
        <w:r>
          <w:rPr>
            <w:rStyle w:val="Hyperlink"/>
          </w:rPr>
          <w:t xml:space="preserve"> </w:t>
        </w:r>
        <w:r>
          <w:rPr>
            <w:rStyle w:val="Hyperlink"/>
            <w:b/>
            <w:bCs/>
          </w:rPr>
          <w:t xml:space="preserve">walkthrough</w:t>
        </w:r>
      </w:hyperlink>
      <w:r>
        <w:t xml:space="preserve"> </w:t>
      </w:r>
      <w:r>
        <w:t xml:space="preserve">— step through the scoring pipeline interactively, from input rasters to final scores</w:t>
      </w:r>
    </w:p>
    <w:bookmarkEnd w:id="26"/>
    <w:bookmarkStart w:id="27" w:name="documentation"/>
    <w:p>
      <w:pPr>
        <w:pStyle w:val="Heading3"/>
      </w:pPr>
      <w:r>
        <w:t xml:space="preserve">Documentation</w:t>
      </w:r>
    </w:p>
    <w:p>
      <w:pPr>
        <w:pStyle w:val="FirstParagraph"/>
      </w:pPr>
      <w:r>
        <w:t xml:space="preserve">This book documents the scientific methodology, software infrastructure, and interactive applications that comprise the MST. It is organized in two parts:</w:t>
      </w:r>
    </w:p>
    <w:p>
      <w:pPr>
        <w:pStyle w:val="Compact"/>
        <w:numPr>
          <w:ilvl w:val="0"/>
          <w:numId w:val="1003"/>
        </w:numPr>
      </w:pPr>
      <w:hyperlink w:anchor="sec-science">
        <w:r>
          <w:rPr>
            <w:rStyle w:val="Hyperlink"/>
            <w:b/>
            <w:bCs/>
          </w:rPr>
          <w:t xml:space="preserve">Chapter 5</w:t>
        </w:r>
      </w:hyperlink>
      <w:r>
        <w:t xml:space="preserve"> </w:t>
      </w:r>
      <w:r>
        <w:t xml:space="preserve">— data sources, taxonomic integration, extinction risk scoring, model merging, and sensitivity scoring methodology</w:t>
      </w:r>
    </w:p>
    <w:p>
      <w:pPr>
        <w:pStyle w:val="Compact"/>
        <w:numPr>
          <w:ilvl w:val="0"/>
          <w:numId w:val="1003"/>
        </w:numPr>
      </w:pPr>
      <w:hyperlink w:anchor="sec-software">
        <w:r>
          <w:rPr>
            <w:rStyle w:val="Hyperlink"/>
            <w:b/>
            <w:bCs/>
          </w:rPr>
          <w:t xml:space="preserve">Chapter 13</w:t>
        </w:r>
      </w:hyperlink>
      <w:r>
        <w:t xml:space="preserve"> </w:t>
      </w:r>
      <w:r>
        <w:t xml:space="preserve">— server architecture, databases, workflows, APIs, R libraries, and interactive applications</w:t>
      </w:r>
    </w:p>
    <w:bookmarkEnd w:id="27"/>
    <w:bookmarkStart w:id="29" w:name="how-to-cite"/>
    <w:p>
      <w:pPr>
        <w:pStyle w:val="Heading3"/>
      </w:pPr>
      <w:r>
        <w:t xml:space="preserve">How to Cite</w:t>
      </w:r>
    </w:p>
    <w:p>
      <w:pPr>
        <w:pStyle w:val="BlockText"/>
      </w:pPr>
      <w:r>
        <w:t xml:space="preserve">Best, B.D., T.P. White (2026). Marine Sensitivity Toolkit: Project Documentation. Bureau of Ocean Energy Management, Environmental Studies Program.</w:t>
      </w:r>
      <w:r>
        <w:t xml:space="preserve"> </w:t>
      </w:r>
      <w:hyperlink r:id="rId28">
        <w:r>
          <w:rPr>
            <w:rStyle w:val="Hyperlink"/>
          </w:rPr>
          <w:t xml:space="preserve">https://marinesensitivity.org/docs/</w:t>
        </w:r>
      </w:hyperlink>
    </w:p>
    <w:bookmarkEnd w:id="29"/>
    <w:bookmarkStart w:id="36" w:name="acknowledgments"/>
    <w:p>
      <w:pPr>
        <w:pStyle w:val="Heading3"/>
      </w:pPr>
      <w:r>
        <w:t xml:space="preserve">Acknowledgments</w:t>
      </w:r>
    </w:p>
    <w:p>
      <w:pPr>
        <w:pStyle w:val="FirstParagraph"/>
      </w:pPr>
      <w:r>
        <w:t xml:space="preserve">This work is funded by the</w:t>
      </w:r>
      <w:r>
        <w:t xml:space="preserve"> </w:t>
      </w:r>
      <w:hyperlink r:id="rId30">
        <w:r>
          <w:rPr>
            <w:rStyle w:val="Hyperlink"/>
          </w:rPr>
          <w:t xml:space="preserve">BOEM Environmental Studies Program</w:t>
        </w:r>
      </w:hyperlink>
      <w:r>
        <w:t xml:space="preserve"> </w:t>
      </w:r>
      <w:r>
        <w:t xml:space="preserve">(BOEM-ESP). We thank the data providers whose open datasets make this work possible:</w:t>
      </w:r>
      <w:r>
        <w:t xml:space="preserve"> </w:t>
      </w:r>
      <w:hyperlink r:id="rId31">
        <w:r>
          <w:rPr>
            <w:rStyle w:val="Hyperlink"/>
          </w:rPr>
          <w:t xml:space="preserve">AquaMaps</w:t>
        </w:r>
      </w:hyperlink>
      <w:r>
        <w:t xml:space="preserve">,</w:t>
      </w:r>
      <w:r>
        <w:t xml:space="preserve"> </w:t>
      </w:r>
      <w:hyperlink r:id="rId32">
        <w:r>
          <w:rPr>
            <w:rStyle w:val="Hyperlink"/>
          </w:rPr>
          <w:t xml:space="preserve">BirdLife International</w:t>
        </w:r>
      </w:hyperlink>
      <w:r>
        <w:t xml:space="preserve">,</w:t>
      </w:r>
      <w:r>
        <w:t xml:space="preserve"> </w:t>
      </w:r>
      <w:hyperlink r:id="rId33">
        <w:r>
          <w:rPr>
            <w:rStyle w:val="Hyperlink"/>
          </w:rPr>
          <w:t xml:space="preserve">IUCN Red List</w:t>
        </w:r>
      </w:hyperlink>
      <w:r>
        <w:t xml:space="preserve">,</w:t>
      </w:r>
      <w:r>
        <w:t xml:space="preserve"> </w:t>
      </w:r>
      <w:hyperlink r:id="rId34">
        <w:r>
          <w:rPr>
            <w:rStyle w:val="Hyperlink"/>
          </w:rPr>
          <w:t xml:space="preserve">NOAA Fisheries</w:t>
        </w:r>
      </w:hyperlink>
      <w:r>
        <w:t xml:space="preserve">, and</w:t>
      </w:r>
      <w:r>
        <w:t xml:space="preserve"> </w:t>
      </w:r>
      <w:hyperlink r:id="rId35">
        <w:r>
          <w:rPr>
            <w:rStyle w:val="Hyperlink"/>
          </w:rPr>
          <w:t xml:space="preserve">U.S. Fish &amp; Wildlife Service</w:t>
        </w:r>
      </w:hyperlink>
      <w:r>
        <w:t xml:space="preserve">.</w:t>
      </w:r>
    </w:p>
    <w:bookmarkEnd w:id="36"/>
    <w:bookmarkEnd w:id="37"/>
    <w:bookmarkStart w:id="50" w:name="introduction"/>
    <w:p>
      <w:pPr>
        <w:pStyle w:val="Heading1"/>
      </w:pPr>
      <w:r>
        <w:t xml:space="preserve">1. Introduction</w:t>
      </w:r>
    </w:p>
    <w:p>
      <w:pPr>
        <w:pStyle w:val="FirstParagraph"/>
      </w:pPr>
      <w:r>
        <w:t xml:space="preserve">The Marine Sensitivity Toolkit (MST) is a cloud-native system developed for</w:t>
      </w:r>
      <w:r>
        <w:t xml:space="preserve"> </w:t>
      </w:r>
      <w:hyperlink r:id="rId38">
        <w:r>
          <w:rPr>
            <w:rStyle w:val="Hyperlink"/>
          </w:rPr>
          <w:t xml:space="preserve">BOEM</w:t>
        </w:r>
      </w:hyperlink>
      <w:r>
        <w:t xml:space="preserve"> </w:t>
      </w:r>
      <w:r>
        <w:t xml:space="preserve">(Bureau of Ocean Energy Management) to assess the sensitivity of marine species to offshore energy development, whether oil &amp; gas or wind. The Outer Continental Shelf Lands Act (OCSLA), Section 18(a)(2)(G), mandates that BOEM consider</w:t>
      </w:r>
      <w:r>
        <w:t xml:space="preserve"> </w:t>
      </w:r>
      <w:r>
        <w:t xml:space="preserve">“the relative environmental sensitivity and marine productivity of different areas of the OCS”</w:t>
      </w:r>
      <w:r>
        <w:t xml:space="preserve"> </w:t>
      </w:r>
      <w:r>
        <w:t xml:space="preserve">when planning the timing and location of offshore energy activities. The MST operationalizes this mandate by combining the best available species distribution data with extinction risk assessments to map areas of the ocean that are most sensitive to human activities.</w:t>
      </w:r>
    </w:p>
    <w:p>
      <w:pPr>
        <w:pStyle w:val="BodyText"/>
      </w:pPr>
      <w:r>
        <w:t xml:space="preserve">The MST marks a significant advancement over prior RESA methodologies</w:t>
      </w:r>
      <w:r>
        <w:t xml:space="preserve"> </w:t>
      </w:r>
      <w:r>
        <w:t xml:space="preserve">(Morandi et al. 2018)</w:t>
      </w:r>
      <w:r>
        <w:t xml:space="preserve">. Earlier approaches often relied on aggregated data from a limited set of broad species groups and surrogate species, lacking spatially explicit information for individual organisms. As a result, previous assessments were typically coarse and areawide, frequently missing critical ecological variation and fine-scale patterns across the OCS. In contrast, the MST uses a high-resolution 0.05° grid (~4 km per cell) on a species level to capture fine-scale conservation concerns and ecological patterns across US waters.</w:t>
      </w:r>
    </w:p>
    <w:p>
      <w:pPr>
        <w:pStyle w:val="BodyText"/>
      </w:pPr>
      <w:r>
        <w:t xml:space="preserve">This book documents release</w:t>
      </w:r>
      <w:r>
        <w:t xml:space="preserve"> </w:t>
      </w:r>
      <w:r>
        <w:rPr>
          <w:b/>
          <w:bCs/>
        </w:rPr>
        <w:t xml:space="preserve">v9</w:t>
      </w:r>
      <w:r>
        <w:t xml:space="preserve">, which integrates</w:t>
      </w:r>
      <w:r>
        <w:t xml:space="preserve"> </w:t>
      </w:r>
      <w:r>
        <w:rPr>
          <w:b/>
          <w:bCs/>
        </w:rPr>
        <w:t xml:space="preserve">17,130 valid marine species</w:t>
      </w:r>
      <w:r>
        <w:t xml:space="preserve"> </w:t>
      </w:r>
      <w:r>
        <w:t xml:space="preserve">across</w:t>
      </w:r>
      <w:r>
        <w:t xml:space="preserve"> </w:t>
      </w:r>
      <w:r>
        <w:rPr>
          <w:b/>
          <w:bCs/>
        </w:rPr>
        <w:t xml:space="preserve">10 source datasets</w:t>
      </w:r>
      <w:r>
        <w:t xml:space="preserve"> </w:t>
      </w:r>
      <w:r>
        <w:t xml:space="preserve">on a 0.05° grid (~4 km cells) covering the US Exclusive Economic Zone study area; of these,</w:t>
      </w:r>
      <w:r>
        <w:t xml:space="preserve"> </w:t>
      </w:r>
      <w:r>
        <w:rPr>
          <w:b/>
          <w:bCs/>
        </w:rPr>
        <w:t xml:space="preserve">9,576</w:t>
      </w:r>
      <w:r>
        <w:t xml:space="preserve"> </w:t>
      </w:r>
      <w:r>
        <w:t xml:space="preserve">have modeled distributions inside the</w:t>
      </w:r>
      <w:r>
        <w:t xml:space="preserve"> </w:t>
      </w:r>
      <w:r>
        <w:rPr>
          <w:b/>
          <w:bCs/>
        </w:rPr>
        <w:t xml:space="preserve">20 BOEM Program Areas</w:t>
      </w:r>
      <w:r>
        <w:t xml:space="preserve"> </w:t>
      </w:r>
      <w:r>
        <w:t xml:space="preserve">of the current program cycle. Every figure on these pages is read from that release’s own published tables, so a page never reports another version’s numbers — see</w:t>
      </w:r>
      <w:r>
        <w:t xml:space="preserve"> </w:t>
      </w:r>
      <w:hyperlink r:id="rId39">
        <w:r>
          <w:rPr>
            <w:rStyle w:val="Hyperlink"/>
          </w:rPr>
          <w:t xml:space="preserve">Releases</w:t>
        </w:r>
      </w:hyperlink>
      <w:r>
        <w:t xml:space="preserve"> </w:t>
      </w:r>
      <w:r>
        <w:t xml:space="preserve">for how the releases differ.</w:t>
      </w:r>
    </w:p>
    <w:p>
      <w:pPr>
        <w:pStyle w:val="BodyText"/>
      </w:pPr>
      <w:r>
        <w:t xml:space="preserve">Species distributions are weighted by extinction risk scores that incorporate protections under the Endangered Species Act (ESA), Marine Mammal Protection Act (MMPA), and Migratory Bird Treaty Act (MBTA), as well as IUCN Red List assessments. The merged distribution of sensitivity per species is masked to expert ranges where available — species whose global range maps fall entirely outside the US EEZ are excluded, ensuring that only species with expert-confirmed presence in US waters contribute to scores.</w:t>
      </w:r>
    </w:p>
    <w:p>
      <w:pPr>
        <w:pStyle w:val="BodyText"/>
      </w:pPr>
      <w:r>
        <w:t xml:space="preserve">This is a process, not a product. Information is imperfect, especially given the large expanse of US waters. Distributions and abundance of species change, modified increasingly by climate change and human activities. Knowledge on species sensitivities continues to expand with more research. Methods for both modeling and distributing this information continue to improve. In alignment with</w:t>
      </w:r>
      <w:r>
        <w:t xml:space="preserve"> </w:t>
      </w:r>
      <w:hyperlink r:id="rId40">
        <w:r>
          <w:rPr>
            <w:rStyle w:val="Hyperlink"/>
          </w:rPr>
          <w:t xml:space="preserve">Executive Order 14303</w:t>
        </w:r>
      </w:hyperlink>
      <w:r>
        <w:t xml:space="preserve">, we aim to provide a transparent and reproducible process that can be regularly updated as new data and methods become available.</w:t>
      </w:r>
    </w:p>
    <w:bookmarkStart w:id="49" w:name="overview"/>
    <w:p>
      <w:pPr>
        <w:pStyle w:val="Heading2"/>
      </w:pPr>
      <w:r>
        <w:t xml:space="preserve">1.1 Overview</w:t>
      </w:r>
    </w:p>
    <w:p>
      <w:pPr>
        <w:pStyle w:val="FirstParagraph"/>
      </w:pPr>
      <w:r>
        <w:t xml:space="preserve">The MST analytical pipeline proceeds through the following stages (</w:t>
      </w:r>
      <w:hyperlink w:anchor="fig-process">
        <w:r>
          <w:rPr>
            <w:rStyle w:val="Hyperlink"/>
          </w:rPr>
          <w:t xml:space="preserve">Figure 1.1</w:t>
        </w:r>
      </w:hyperlink>
      <w:r>
        <w:t xml:space="preserve">):</w:t>
      </w:r>
    </w:p>
    <w:p>
      <w:pPr>
        <w:pStyle w:val="Compact"/>
        <w:numPr>
          <w:ilvl w:val="0"/>
          <w:numId w:val="1004"/>
        </w:numPr>
      </w:pPr>
      <w:r>
        <w:rPr>
          <w:b/>
          <w:bCs/>
        </w:rPr>
        <w:t xml:space="preserve">Data sources</w:t>
      </w:r>
      <w:r>
        <w:t xml:space="preserve"> </w:t>
      </w:r>
      <w:r>
        <w:t xml:space="preserve">(</w:t>
      </w:r>
      <w:hyperlink w:anchor="sec-data-sources">
        <w:r>
          <w:rPr>
            <w:rStyle w:val="Hyperlink"/>
          </w:rPr>
          <w:t xml:space="preserve">Chapter 6</w:t>
        </w:r>
      </w:hyperlink>
      <w:r>
        <w:t xml:space="preserve">): 10 datasets of species distributions — continuous suitability models, regulatory habitat designations and expert range maps</w:t>
      </w:r>
    </w:p>
    <w:p>
      <w:pPr>
        <w:pStyle w:val="Compact"/>
        <w:numPr>
          <w:ilvl w:val="0"/>
          <w:numId w:val="1004"/>
        </w:numPr>
      </w:pPr>
      <w:r>
        <w:rPr>
          <w:b/>
          <w:bCs/>
        </w:rPr>
        <w:t xml:space="preserve">Taxonomy matching</w:t>
      </w:r>
      <w:r>
        <w:t xml:space="preserve"> </w:t>
      </w:r>
      <w:r>
        <w:t xml:space="preserve">(</w:t>
      </w:r>
      <w:hyperlink w:anchor="sec-taxonomy">
        <w:r>
          <w:rPr>
            <w:rStyle w:val="Hyperlink"/>
          </w:rPr>
          <w:t xml:space="preserve">Chapter 7</w:t>
        </w:r>
      </w:hyperlink>
      <w:r>
        <w:t xml:space="preserve">): source names resolved to one canonical identity — BirdLife for birds, WoRMS for everything else — so models of the same species merge instead of double-counting it</w:t>
      </w:r>
    </w:p>
    <w:p>
      <w:pPr>
        <w:pStyle w:val="Compact"/>
        <w:numPr>
          <w:ilvl w:val="0"/>
          <w:numId w:val="1004"/>
        </w:numPr>
      </w:pPr>
      <w:r>
        <w:rPr>
          <w:b/>
          <w:bCs/>
        </w:rPr>
        <w:t xml:space="preserve">Model merging</w:t>
      </w:r>
      <w:r>
        <w:t xml:space="preserve"> </w:t>
      </w:r>
      <w:r>
        <w:t xml:space="preserve">(</w:t>
      </w:r>
      <w:hyperlink w:anchor="sec-model-merging">
        <w:r>
          <w:rPr>
            <w:rStyle w:val="Hyperlink"/>
          </w:rPr>
          <w:t xml:space="preserve">Chapter 9</w:t>
        </w:r>
      </w:hyperlink>
      <w:r>
        <w:t xml:space="preserve">): one surface per taxon, with the expert range constraining suitability predictions and the governing extinction risk applied to the range cells</w:t>
      </w:r>
    </w:p>
    <w:p>
      <w:pPr>
        <w:pStyle w:val="Compact"/>
        <w:numPr>
          <w:ilvl w:val="0"/>
          <w:numId w:val="1004"/>
        </w:numPr>
      </w:pPr>
      <w:r>
        <w:rPr>
          <w:b/>
          <w:bCs/>
        </w:rPr>
        <w:t xml:space="preserve">Cell scoring</w:t>
      </w:r>
      <w:r>
        <w:t xml:space="preserve"> </w:t>
      </w:r>
      <w:r>
        <w:t xml:space="preserve">(</w:t>
      </w:r>
      <w:hyperlink w:anchor="sec-scoring">
        <w:r>
          <w:rPr>
            <w:rStyle w:val="Hyperlink"/>
          </w:rPr>
          <w:t xml:space="preserve">Chapter 10</w:t>
        </w:r>
      </w:hyperlink>
      <w:r>
        <w:t xml:space="preserve">): extinction-risk-weighted species presence, summed within each scored species category</w:t>
      </w:r>
    </w:p>
    <w:p>
      <w:pPr>
        <w:pStyle w:val="Compact"/>
        <w:numPr>
          <w:ilvl w:val="0"/>
          <w:numId w:val="1004"/>
        </w:numPr>
      </w:pPr>
      <w:r>
        <w:rPr>
          <w:b/>
          <w:bCs/>
        </w:rPr>
        <w:t xml:space="preserve">Ecoregional rescaling</w:t>
      </w:r>
      <w:r>
        <w:t xml:space="preserve">: scores normalized to 0–100 within each BOEM Ecoregion, so richness alone does not decide the ranking</w:t>
      </w:r>
    </w:p>
    <w:p>
      <w:pPr>
        <w:pStyle w:val="Compact"/>
        <w:numPr>
          <w:ilvl w:val="0"/>
          <w:numId w:val="1004"/>
        </w:numPr>
      </w:pPr>
      <w:r>
        <w:rPr>
          <w:b/>
          <w:bCs/>
        </w:rPr>
        <w:t xml:space="preserve">Zone aggregation</w:t>
      </w:r>
      <w:r>
        <w:t xml:space="preserve">: area-weighted means to the spatial units the release scored</w:t>
      </w:r>
    </w:p>
    <w:p>
      <w:pPr>
        <w:pStyle w:val="Compact"/>
        <w:numPr>
          <w:ilvl w:val="0"/>
          <w:numId w:val="1004"/>
        </w:numPr>
      </w:pPr>
      <w:r>
        <w:rPr>
          <w:b/>
          <w:bCs/>
        </w:rPr>
        <w:t xml:space="preserve">Visualization</w:t>
      </w:r>
      <w:r>
        <w:t xml:space="preserve"> </w:t>
      </w:r>
      <w:r>
        <w:t xml:space="preserve">(</w:t>
      </w:r>
      <w:hyperlink w:anchor="sec-apps">
        <w:r>
          <w:rPr>
            <w:rStyle w:val="Hyperlink"/>
          </w:rPr>
          <w:t xml:space="preserve">Chapter 19</w:t>
        </w:r>
      </w:hyperlink>
      <w:r>
        <w:t xml:space="preserve">): flower plots, treemaps and the interactive map applications</w:t>
      </w:r>
    </w:p>
    <w:tbl>
      <w:tblPr>
        <w:tblStyle w:val="Table"/>
        <w:tblW w:type="pct" w:w="5000"/>
        <w:tblLayout w:type="fixed"/>
        <w:tblLook w:firstRow="0" w:lastRow="0" w:firstColumn="0" w:lastColumn="0" w:noHBand="0" w:noVBand="0" w:val="0000"/>
      </w:tblPr>
      <w:tblGrid>
        <w:gridCol w:w="7920"/>
      </w:tblGrid>
      <w:tr>
        <w:tc>
          <w:tcPr/>
          <w:bookmarkStart w:id="44" w:name="fig-process"/>
          <w:p>
            <w:pPr>
              <w:jc w:val="center"/>
            </w:pPr>
            <w:r>
              <w:drawing>
                <wp:inline>
                  <wp:extent cx="5334000" cy="1315720"/>
                  <wp:effectExtent b="0" l="0" r="0" t="0"/>
                  <wp:docPr descr="" title="" id="42" name="Picture"/>
                  <a:graphic>
                    <a:graphicData uri="http://schemas.openxmlformats.org/drawingml/2006/picture">
                      <pic:pic>
                        <pic:nvPicPr>
                          <pic:cNvPr descr="intro_files/figure-docx/mermaid-figure-2.png" id="43" name="Picture"/>
                          <pic:cNvPicPr>
                            <a:picLocks noChangeArrowheads="1" noChangeAspect="1"/>
                          </pic:cNvPicPr>
                        </pic:nvPicPr>
                        <pic:blipFill>
                          <a:blip r:embed="rId41"/>
                          <a:stretch>
                            <a:fillRect/>
                          </a:stretch>
                        </pic:blipFill>
                        <pic:spPr bwMode="auto">
                          <a:xfrm>
                            <a:off x="0" y="0"/>
                            <a:ext cx="5334000" cy="1315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Flowchart of the MST analytical pipeline: from source datasets and taxonomic matching through model merging, scoring, and visualization.</w:t>
            </w:r>
          </w:p>
          <w:bookmarkEnd w:id="44"/>
        </w:tc>
      </w:tr>
    </w:tbl>
    <w:p>
      <w:pPr>
        <w:pStyle w:val="BodyText"/>
      </w:pPr>
      <w:hyperlink w:anchor="fig-overview">
        <w:r>
          <w:rPr>
            <w:rStyle w:val="Hyperlink"/>
          </w:rPr>
          <w:t xml:space="preserve">Figure 1.2</w:t>
        </w:r>
      </w:hyperlink>
      <w:r>
        <w:t xml:space="preserve"> </w:t>
      </w:r>
      <w:r>
        <w:t xml:space="preserve">illustrates the full methodology at a glance. On the left, species distribution data flows in from the source datasets and the taxonomic authorities. In the center, models are merged per species and weighted by extinction risk scores derived from ESA, MMPA, MBTA, and IUCN regulatory frameworks. On the right, cell-level scores are rescaled within BOEM ecoregions and aggregated to program areas for visualization in the interactive mapping applications.</w:t>
      </w:r>
    </w:p>
    <w:tbl>
      <w:tblPr>
        <w:tblStyle w:val="Table"/>
        <w:tblW w:type="pct" w:w="5000"/>
        <w:tblLayout w:type="fixed"/>
        <w:tblLook w:firstRow="0" w:lastRow="0" w:firstColumn="0" w:lastColumn="0" w:noHBand="0" w:noVBand="0" w:val="0000"/>
      </w:tblPr>
      <w:tblGrid>
        <w:gridCol w:w="7920"/>
      </w:tblGrid>
      <w:tr>
        <w:tc>
          <w:tcPr/>
          <w:bookmarkStart w:id="48" w:name="fig-overview"/>
          <w:p>
            <w:pPr>
              <w:pStyle w:val="Compact"/>
              <w:jc w:val="center"/>
            </w:pPr>
            <w:r>
              <w:drawing>
                <wp:inline>
                  <wp:extent cx="5334000" cy="3030681"/>
                  <wp:effectExtent b="0" l="0" r="0" t="0"/>
                  <wp:docPr descr="" title="" id="45" name="Picture"/>
                  <a:graphic>
                    <a:graphicData uri="http://schemas.openxmlformats.org/drawingml/2006/picture">
                      <pic:pic>
                        <pic:nvPicPr>
                          <pic:cNvPr descr="figures/overview-methods.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Overview of the Marine Sensitivity Toolkit methodology showing the integration of species distribution models, extinction risk scoring, ecoregional rescaling, and spatial aggregation into interactive visualizations.</w:t>
            </w:r>
          </w:p>
          <w:bookmarkEnd w:id="48"/>
        </w:tc>
      </w:tr>
    </w:tbl>
    <w:bookmarkEnd w:id="49"/>
    <w:bookmarkEnd w:id="50"/>
    <w:bookmarkStart w:id="88" w:name="sec-releases"/>
    <w:p>
      <w:pPr>
        <w:pStyle w:val="Heading1"/>
      </w:pPr>
      <w:r>
        <w:t xml:space="preserve">2. Releases</w:t>
      </w:r>
    </w:p>
    <w:p>
      <w:pPr>
        <w:pStyle w:val="FirstParagraph"/>
      </w:pPr>
      <w:r>
        <w:t xml:space="preserve">This book is published</w:t>
      </w:r>
      <w:r>
        <w:t xml:space="preserve"> </w:t>
      </w:r>
      <w:r>
        <w:rPr>
          <w:b/>
          <w:bCs/>
        </w:rPr>
        <w:t xml:space="preserve">once per release</w:t>
      </w:r>
      <w:r>
        <w:t xml:space="preserve">. The page you are reading documents</w:t>
      </w:r>
      <w:r>
        <w:t xml:space="preserve"> </w:t>
      </w:r>
      <w:r>
        <w:rPr>
          <w:b/>
          <w:bCs/>
        </w:rPr>
        <w:t xml:space="preserve">v9</w:t>
      </w:r>
      <w:r>
        <w:t xml:space="preserve">, and every figure in it comes from that release’s own published tables — so a v3 page reports v3’s numbers, not the newest ones. Use the version switcher in the sidebar to move between builds.</w:t>
      </w:r>
    </w:p>
    <w:p>
      <w:pPr>
        <w:pStyle w:val="BodyText"/>
      </w:pPr>
      <w:r>
        <w:t xml:space="preserve">This page is the exception: it reads</w:t>
      </w:r>
      <w:r>
        <w:t xml:space="preserve"> </w:t>
      </w:r>
      <w:r>
        <w:rPr>
          <w:i/>
          <w:iCs/>
        </w:rPr>
        <w:t xml:space="preserve">all</w:t>
      </w:r>
      <w:r>
        <w:t xml:space="preserve"> </w:t>
      </w:r>
      <w:r>
        <w:t xml:space="preserve">releases, because the comparison is exactly what a single-version page cannot show.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v9 — AquaX supersedes AquaMaps in US waters</w:t>
            </w:r>
          </w:p>
        </w:tc>
      </w:tr>
      <w:tr>
        <w:trPr>
          <w:cantSplit/>
        </w:trPr>
        <w:tc>
          <w:tcPr>
            <w:tcMar>
              <w:top w:w="108" w:type="dxa"/>
              <w:bottom w:w="108" w:type="dxa"/>
            </w:tcMar>
          </w:tcPr>
          <w:p>
            <w:pPr>
              <w:pStyle w:val="BodyText"/>
            </w:pPr>
            <w:pPr>
              <w:spacing w:before="16"/>
            </w:pPr>
            <w:r>
              <w:t xml:space="preserve">Released 2026-08-27. This is a</w:t>
            </w:r>
            <w:r>
              <w:t xml:space="preserve"> </w:t>
            </w:r>
            <w:r>
              <w:rPr>
                <w:b/>
                <w:bCs/>
              </w:rPr>
              <w:t xml:space="preserve">pre-release</w:t>
            </w:r>
            <w:r>
              <w:t xml:space="preserve">.</w:t>
            </w:r>
          </w:p>
          <w:p>
            <w:pPr>
              <w:pStyle w:val="BodyText"/>
            </w:pPr>
            <w:pPr>
              <w:spacing w:after="16"/>
            </w:pPr>
            <w:r>
              <w:t xml:space="preserve">A pre-release is reachable only by naming it explicitly; it is never what a reader gets by default.</w:t>
            </w:r>
          </w:p>
          <w:p/>
        </w:tc>
      </w:tr>
    </w:tbl>
    <w:bookmarkStart w:id="58" w:name="every-release-at-a-glance"/>
    <w:p>
      <w:pPr>
        <w:pStyle w:val="Heading2"/>
      </w:pPr>
      <w:r>
        <w:t xml:space="preserve">2.1 Every release at a glance</w:t>
      </w:r>
    </w:p>
    <w:tbl>
      <w:tblPr>
        <w:tblStyle w:val="Table"/>
        <w:tblW w:type="pct" w:w="5000"/>
        <w:tblLayout w:type="fixed"/>
        <w:tblLook w:firstRow="0" w:lastRow="0" w:firstColumn="0" w:lastColumn="0" w:noHBand="0" w:noVBand="0" w:val="0000"/>
      </w:tblPr>
      <w:tblGrid>
        <w:gridCol w:w="7920"/>
      </w:tblGrid>
      <w:tr>
        <w:tc>
          <w:tcPr/>
          <w:bookmarkStart w:id="53" w:name="tbl-releases"/>
          <w:p>
            <w:pPr>
              <w:jc w:val="center"/>
            </w:pPr>
            <w:pPr>
              <w:jc w:val="left"/>
              <w:spacing w:before="200"/>
              <w:pStyle w:val="ImageCaption"/>
            </w:pPr>
            <w:r>
              <w:t xml:space="preserve">Table 2.1: Published releases. Species counts are read from each release’s own</w:t>
            </w:r>
            <w:r>
              <w:t xml:space="preserve"> </w:t>
            </w:r>
            <w:r>
              <w:rPr>
                <w:rStyle w:val="VerbatimChar"/>
              </w:rPr>
              <w:t xml:space="preserve">taxon</w:t>
            </w:r>
            <w:r>
              <w:t xml:space="preserve"> </w:t>
            </w:r>
            <w:r>
              <w:t xml:space="preserve">table and are</w:t>
            </w:r>
            <w:r>
              <w:t xml:space="preserve"> </w:t>
            </w:r>
            <w:r>
              <w:rPr>
                <w:b/>
                <w:bCs/>
              </w:rPr>
              <w:t xml:space="preserve">not</w:t>
            </w:r>
            <w:r>
              <w:t xml:space="preserve"> </w:t>
            </w:r>
            <w:r>
              <w:t xml:space="preserve">comparable across releases, because the definition of a valid species changed at v3 and again at v7 (see below).</w:t>
            </w:r>
          </w:p>
          <w:tbl>
            <w:tblPr>
              <w:tblStyle w:val="Table"/>
              <w:tblW w:type="pct" w:w="5000"/>
              <w:tblLayout w:type="fixed"/>
              <w:tblLook w:firstRow="1" w:lastRow="0" w:firstColumn="0" w:lastColumn="0" w:noHBand="0" w:noVBand="0" w:val="0020"/>
            </w:tblPr>
            <w:tblGrid>
              <w:gridCol w:w="401"/>
              <w:gridCol w:w="551"/>
              <w:gridCol w:w="551"/>
              <w:gridCol w:w="3859"/>
              <w:gridCol w:w="451"/>
              <w:gridCol w:w="701"/>
              <w:gridCol w:w="852"/>
              <w:gridCol w:w="551"/>
            </w:tblGrid>
            <w:tr>
              <w:trPr>
                <w:tblHeader w:val="on"/>
              </w:trPr>
              <w:tc>
                <w:tcPr/>
                <w:p>
                  <w:pPr>
                    <w:pStyle w:val="Compact"/>
                    <w:jc w:val="left"/>
                    <w:jc w:val="center"/>
                  </w:pPr>
                  <w:r>
                    <w:t xml:space="preserve">Version</w:t>
                  </w:r>
                </w:p>
              </w:tc>
              <w:tc>
                <w:tcPr/>
                <w:p>
                  <w:pPr>
                    <w:pStyle w:val="Compact"/>
                    <w:jc w:val="left"/>
                    <w:jc w:val="center"/>
                  </w:pPr>
                  <w:r>
                    <w:t xml:space="preserve">Released</w:t>
                  </w:r>
                </w:p>
              </w:tc>
              <w:tc>
                <w:tcPr/>
                <w:p>
                  <w:pPr>
                    <w:pStyle w:val="Compact"/>
                    <w:jc w:val="left"/>
                    <w:jc w:val="center"/>
                  </w:pPr>
                  <w:r>
                    <w:t xml:space="preserve">Status</w:t>
                  </w:r>
                </w:p>
              </w:tc>
              <w:tc>
                <w:tcPr/>
                <w:p>
                  <w:pPr>
                    <w:pStyle w:val="Compact"/>
                    <w:jc w:val="left"/>
                    <w:jc w:val="center"/>
                  </w:pPr>
                  <w:r>
                    <w:t xml:space="preserve">Title</w:t>
                  </w:r>
                </w:p>
              </w:tc>
              <w:tc>
                <w:tcPr/>
                <w:p>
                  <w:pPr>
                    <w:pStyle w:val="Compact"/>
                    <w:jc w:val="right"/>
                    <w:jc w:val="center"/>
                  </w:pPr>
                  <w:r>
                    <w:t xml:space="preserve">Datasets</w:t>
                  </w:r>
                </w:p>
              </w:tc>
              <w:tc>
                <w:tcPr/>
                <w:p>
                  <w:pPr>
                    <w:pStyle w:val="Compact"/>
                    <w:jc w:val="right"/>
                    <w:jc w:val="center"/>
                  </w:pPr>
                  <w:r>
                    <w:t xml:space="preserve">Valid species</w:t>
                  </w:r>
                </w:p>
              </w:tc>
              <w:tc>
                <w:tcPr/>
                <w:p>
                  <w:pPr>
                    <w:pStyle w:val="Compact"/>
                    <w:jc w:val="right"/>
                    <w:jc w:val="center"/>
                  </w:pPr>
                  <w:r>
                    <w:t xml:space="preserve">In Program Areas</w:t>
                  </w:r>
                </w:p>
              </w:tc>
              <w:tc>
                <w:tcPr/>
                <w:p>
                  <w:pPr>
                    <w:pStyle w:val="Compact"/>
                    <w:jc w:val="left"/>
                    <w:jc w:val="center"/>
                  </w:pPr>
                  <w:r>
                    <w:t xml:space="preserve">Grid</w:t>
                  </w:r>
                </w:p>
              </w:tc>
            </w:tr>
            <w:tr>
              <w:tc>
                <w:tcPr/>
                <w:p>
                  <w:pPr>
                    <w:pStyle w:val="Compact"/>
                    <w:jc w:val="left"/>
                    <w:jc w:val="center"/>
                  </w:pPr>
                  <w:r>
                    <w:t xml:space="preserve">v7c</w:t>
                  </w:r>
                </w:p>
              </w:tc>
              <w:tc>
                <w:tcPr/>
                <w:p>
                  <w:pPr>
                    <w:pStyle w:val="Compact"/>
                    <w:jc w:val="left"/>
                    <w:jc w:val="center"/>
                  </w:pPr>
                  <w:r>
                    <w:t xml:space="preserve">2026-10-14</w:t>
                  </w:r>
                </w:p>
              </w:tc>
              <w:tc>
                <w:tcPr/>
                <w:p>
                  <w:pPr>
                    <w:pStyle w:val="Compact"/>
                    <w:jc w:val="left"/>
                    <w:jc w:val="center"/>
                  </w:pPr>
                  <w:r>
                    <w:t xml:space="preserve">prerelease</w:t>
                  </w:r>
                </w:p>
              </w:tc>
              <w:tc>
                <w:tcPr/>
                <w:p>
                  <w:pPr>
                    <w:pStyle w:val="Compact"/>
                    <w:jc w:val="left"/>
                    <w:jc w:val="center"/>
                  </w:pPr>
                  <w:r>
                    <w:t xml:space="preserve">v7.2: record-based ranges for sea turtles and the North Atlantic right whale</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9,229</w:t>
                  </w:r>
                </w:p>
              </w:tc>
              <w:tc>
                <w:tcPr/>
                <w:p>
                  <w:pPr>
                    <w:pStyle w:val="Compact"/>
                    <w:jc w:val="left"/>
                    <w:jc w:val="center"/>
                  </w:pPr>
                  <w:r>
                    <w:rPr>
                      <w:rStyle w:val="VerbatimChar"/>
                    </w:rPr>
                    <w:t xml:space="preserve">usa05</w:t>
                  </w:r>
                </w:p>
              </w:tc>
            </w:tr>
            <w:tr>
              <w:tc>
                <w:tcPr/>
                <w:p>
                  <w:pPr>
                    <w:pStyle w:val="Compact"/>
                    <w:jc w:val="left"/>
                    <w:jc w:val="center"/>
                  </w:pPr>
                  <w:r>
                    <w:t xml:space="preserve">v7b</w:t>
                  </w:r>
                </w:p>
              </w:tc>
              <w:tc>
                <w:tcPr/>
                <w:p>
                  <w:pPr>
                    <w:pStyle w:val="Compact"/>
                    <w:jc w:val="left"/>
                    <w:jc w:val="center"/>
                  </w:pPr>
                  <w:r>
                    <w:t xml:space="preserve">2026-09-20</w:t>
                  </w:r>
                </w:p>
              </w:tc>
              <w:tc>
                <w:tcPr/>
                <w:p>
                  <w:pPr>
                    <w:pStyle w:val="Compact"/>
                    <w:jc w:val="left"/>
                    <w:jc w:val="center"/>
                  </w:pPr>
                  <w:r>
                    <w:t xml:space="preserve">prerelease</w:t>
                  </w:r>
                </w:p>
              </w:tc>
              <w:tc>
                <w:tcPr/>
                <w:p>
                  <w:pPr>
                    <w:pStyle w:val="Compact"/>
                    <w:jc w:val="left"/>
                    <w:jc w:val="center"/>
                  </w:pPr>
                  <w:r>
                    <w:t xml:space="preserve">v7.1: turtle core habitat + coverage floor</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rPr>
                      <w:b/>
                      <w:bCs/>
                    </w:rPr>
                    <w:t xml:space="preserve">v9</w:t>
                  </w:r>
                </w:p>
              </w:tc>
              <w:tc>
                <w:tcPr/>
                <w:p>
                  <w:pPr>
                    <w:pStyle w:val="Compact"/>
                    <w:jc w:val="left"/>
                    <w:jc w:val="center"/>
                  </w:pPr>
                  <w:r>
                    <w:t xml:space="preserve">2026-08-27</w:t>
                  </w:r>
                </w:p>
              </w:tc>
              <w:tc>
                <w:tcPr/>
                <w:p>
                  <w:pPr>
                    <w:pStyle w:val="Compact"/>
                    <w:jc w:val="left"/>
                    <w:jc w:val="center"/>
                  </w:pPr>
                  <w:r>
                    <w:t xml:space="preserve">prerelease</w:t>
                  </w:r>
                </w:p>
              </w:tc>
              <w:tc>
                <w:tcPr/>
                <w:p>
                  <w:pPr>
                    <w:pStyle w:val="Compact"/>
                    <w:jc w:val="left"/>
                    <w:jc w:val="center"/>
                  </w:pPr>
                  <w:r>
                    <w:t xml:space="preserve">AquaX supersedes AquaMaps in US waters</w:t>
                  </w:r>
                </w:p>
              </w:tc>
              <w:tc>
                <w:tcPr/>
                <w:p>
                  <w:pPr>
                    <w:pStyle w:val="Compact"/>
                    <w:jc w:val="right"/>
                    <w:jc w:val="center"/>
                  </w:pPr>
                  <w:r>
                    <w:t xml:space="preserve">10</w:t>
                  </w:r>
                </w:p>
              </w:tc>
              <w:tc>
                <w:tcPr/>
                <w:p>
                  <w:pPr>
                    <w:pStyle w:val="Compact"/>
                    <w:jc w:val="right"/>
                    <w:jc w:val="center"/>
                  </w:pPr>
                  <w:r>
                    <w:t xml:space="preserve">17,130</w:t>
                  </w:r>
                </w:p>
              </w:tc>
              <w:tc>
                <w:tcPr/>
                <w:p>
                  <w:pPr>
                    <w:pStyle w:val="Compact"/>
                    <w:jc w:val="right"/>
                    <w:jc w:val="center"/>
                  </w:pPr>
                  <w:r>
                    <w:t xml:space="preserve">9,576</w:t>
                  </w:r>
                </w:p>
              </w:tc>
              <w:tc>
                <w:tcPr/>
                <w:p>
                  <w:pPr>
                    <w:pStyle w:val="Compact"/>
                    <w:jc w:val="left"/>
                    <w:jc w:val="center"/>
                  </w:pPr>
                  <w:r>
                    <w:rPr>
                      <w:rStyle w:val="VerbatimChar"/>
                    </w:rPr>
                    <w:t xml:space="preserve">global05</w:t>
                  </w:r>
                </w:p>
              </w:tc>
            </w:tr>
            <w:tr>
              <w:tc>
                <w:tcPr/>
                <w:p>
                  <w:pPr>
                    <w:pStyle w:val="Compact"/>
                    <w:jc w:val="left"/>
                    <w:jc w:val="center"/>
                  </w:pPr>
                  <w:r>
                    <w:t xml:space="preserve">v8</w:t>
                  </w:r>
                </w:p>
              </w:tc>
              <w:tc>
                <w:tcPr/>
                <w:p>
                  <w:pPr>
                    <w:pStyle w:val="Compact"/>
                    <w:jc w:val="left"/>
                    <w:jc w:val="center"/>
                  </w:pPr>
                  <w:r>
                    <w:t xml:space="preserve">2026-07-28</w:t>
                  </w:r>
                </w:p>
              </w:tc>
              <w:tc>
                <w:tcPr/>
                <w:p>
                  <w:pPr>
                    <w:pStyle w:val="Compact"/>
                    <w:jc w:val="left"/>
                    <w:jc w:val="center"/>
                  </w:pPr>
                  <w:r>
                    <w:t xml:space="preserve">prerelease</w:t>
                  </w:r>
                </w:p>
              </w:tc>
              <w:tc>
                <w:tcPr/>
                <w:p>
                  <w:pPr>
                    <w:pStyle w:val="Compact"/>
                    <w:jc w:val="left"/>
                    <w:jc w:val="center"/>
                  </w:pPr>
                  <w:r>
                    <w:t xml:space="preserve">Marine Atlas</w:t>
                  </w:r>
                </w:p>
              </w:tc>
              <w:tc>
                <w:tcPr/>
                <w:p>
                  <w:pPr>
                    <w:pStyle w:val="Compact"/>
                    <w:jc w:val="right"/>
                    <w:jc w:val="center"/>
                  </w:pPr>
                  <w:r>
                    <w:t xml:space="preserve">8</w:t>
                  </w:r>
                </w:p>
              </w:tc>
              <w:tc>
                <w:tcPr/>
                <w:p>
                  <w:pPr>
                    <w:pStyle w:val="Compact"/>
                    <w:jc w:val="right"/>
                    <w:jc w:val="center"/>
                  </w:pPr>
                  <w:r>
                    <w:t xml:space="preserve">17,112</w:t>
                  </w:r>
                </w:p>
              </w:tc>
              <w:tc>
                <w:tcPr/>
                <w:p>
                  <w:pPr>
                    <w:pStyle w:val="Compact"/>
                    <w:jc w:val="right"/>
                    <w:jc w:val="center"/>
                  </w:pPr>
                  <w:r>
                    <w:t xml:space="preserve">9,632</w:t>
                  </w:r>
                </w:p>
              </w:tc>
              <w:tc>
                <w:tcPr/>
                <w:p>
                  <w:pPr>
                    <w:pStyle w:val="Compact"/>
                    <w:jc w:val="left"/>
                    <w:jc w:val="center"/>
                  </w:pPr>
                  <w:r>
                    <w:rPr>
                      <w:rStyle w:val="VerbatimChar"/>
                    </w:rPr>
                    <w:t xml:space="preserve">global05</w:t>
                  </w:r>
                </w:p>
              </w:tc>
            </w:tr>
            <w:tr>
              <w:tc>
                <w:tcPr/>
                <w:p>
                  <w:pPr>
                    <w:pStyle w:val="Compact"/>
                    <w:jc w:val="left"/>
                    <w:jc w:val="center"/>
                  </w:pPr>
                  <w:r>
                    <w:t xml:space="preserve">v7</w:t>
                  </w:r>
                </w:p>
              </w:tc>
              <w:tc>
                <w:tcPr/>
                <w:p>
                  <w:pPr>
                    <w:pStyle w:val="Compact"/>
                    <w:jc w:val="left"/>
                    <w:jc w:val="center"/>
                  </w:pPr>
                  <w:r>
                    <w:t xml:space="preserve">2026-06-12</w:t>
                  </w:r>
                </w:p>
              </w:tc>
              <w:tc>
                <w:tcPr/>
                <w:p>
                  <w:pPr>
                    <w:pStyle w:val="Compact"/>
                    <w:jc w:val="left"/>
                    <w:jc w:val="center"/>
                  </w:pPr>
                  <w:r>
                    <w:t xml:space="preserve">released</w:t>
                  </w:r>
                </w:p>
              </w:tc>
              <w:tc>
                <w:tcPr/>
                <w:p>
                  <w:pPr>
                    <w:pStyle w:val="Compact"/>
                    <w:jc w:val="left"/>
                    <w:jc w:val="center"/>
                  </w:pPr>
                  <w:r>
                    <w:t xml:space="preserve">Validity decoupled from Program Areas</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v6</w:t>
                  </w:r>
                </w:p>
              </w:tc>
              <w:tc>
                <w:tcPr/>
                <w:p>
                  <w:pPr>
                    <w:pStyle w:val="Compact"/>
                    <w:jc w:val="left"/>
                    <w:jc w:val="center"/>
                  </w:pPr>
                  <w:r>
                    <w:t xml:space="preserve">2026-04-09</w:t>
                  </w:r>
                </w:p>
              </w:tc>
              <w:tc>
                <w:tcPr/>
                <w:p>
                  <w:pPr>
                    <w:pStyle w:val="Compact"/>
                    <w:jc w:val="left"/>
                    <w:jc w:val="center"/>
                  </w:pPr>
                  <w:r>
                    <w:t xml:space="preserve">retired</w:t>
                  </w:r>
                </w:p>
              </w:tc>
              <w:tc>
                <w:tcPr/>
                <w:p>
                  <w:pPr>
                    <w:pStyle w:val="Compact"/>
                    <w:jc w:val="left"/>
                    <w:jc w:val="center"/>
                  </w:pPr>
                  <w:r>
                    <w:t xml:space="preserve">IUCN range outside US EEZ</w:t>
                  </w:r>
                </w:p>
              </w:tc>
              <w:tc>
                <w:tcPr/>
                <w:p>
                  <w:pPr>
                    <w:pStyle w:val="Compact"/>
                    <w:jc w:val="right"/>
                    <w:jc w:val="center"/>
                  </w:pPr>
                  <w:r>
                    <w:t xml:space="preserve">8</w:t>
                  </w:r>
                </w:p>
              </w:tc>
              <w:tc>
                <w:tcPr/>
                <w:p>
                  <w:pPr>
                    <w:pStyle w:val="Compact"/>
                    <w:jc w:val="right"/>
                    <w:jc w:val="center"/>
                  </w:pPr>
                  <w:r>
                    <w:t xml:space="preserve">9,424</w:t>
                  </w:r>
                </w:p>
              </w:tc>
              <w:tc>
                <w:tcPr/>
                <w:p>
                  <w:pPr>
                    <w:pStyle w:val="Compact"/>
                    <w:jc w:val="right"/>
                    <w:jc w:val="center"/>
                  </w:pPr>
                  <w:r>
                    <w:t xml:space="preserve">9,226</w:t>
                  </w:r>
                </w:p>
              </w:tc>
              <w:tc>
                <w:tcPr/>
                <w:p>
                  <w:pPr>
                    <w:pStyle w:val="Compact"/>
                    <w:jc w:val="left"/>
                    <w:jc w:val="center"/>
                  </w:pPr>
                  <w:r>
                    <w:rPr>
                      <w:rStyle w:val="VerbatimChar"/>
                    </w:rPr>
                    <w:t xml:space="preserve">usa05</w:t>
                  </w:r>
                </w:p>
              </w:tc>
            </w:tr>
            <w:tr>
              <w:tc>
                <w:tcPr/>
                <w:p>
                  <w:pPr>
                    <w:pStyle w:val="Compact"/>
                    <w:jc w:val="left"/>
                    <w:jc w:val="center"/>
                  </w:pPr>
                  <w:r>
                    <w:t xml:space="preserve">v5</w:t>
                  </w:r>
                </w:p>
              </w:tc>
              <w:tc>
                <w:tcPr/>
                <w:p>
                  <w:pPr>
                    <w:pStyle w:val="Compact"/>
                    <w:jc w:val="left"/>
                    <w:jc w:val="center"/>
                  </w:pPr>
                  <w:r>
                    <w:t xml:space="preserve">2026-03-24</w:t>
                  </w:r>
                </w:p>
              </w:tc>
              <w:tc>
                <w:tcPr/>
                <w:p>
                  <w:pPr>
                    <w:pStyle w:val="Compact"/>
                    <w:jc w:val="left"/>
                    <w:jc w:val="center"/>
                  </w:pPr>
                  <w:r>
                    <w:t xml:space="preserve">retired</w:t>
                  </w:r>
                </w:p>
              </w:tc>
              <w:tc>
                <w:tcPr/>
                <w:p>
                  <w:pPr>
                    <w:pStyle w:val="Compact"/>
                    <w:jc w:val="left"/>
                    <w:jc w:val="center"/>
                  </w:pPr>
                  <w:r>
                    <w:t xml:space="preserve">MMPA spatial floor</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v4b</w:t>
                  </w:r>
                </w:p>
              </w:tc>
              <w:tc>
                <w:tcPr/>
                <w:p>
                  <w:pPr>
                    <w:pStyle w:val="Compact"/>
                    <w:jc w:val="left"/>
                    <w:jc w:val="center"/>
                  </w:pPr>
                  <w:r>
                    <w:t xml:space="preserve">2026-03-19</w:t>
                  </w:r>
                </w:p>
              </w:tc>
              <w:tc>
                <w:tcPr/>
                <w:p>
                  <w:pPr>
                    <w:pStyle w:val="Compact"/>
                    <w:jc w:val="left"/>
                    <w:jc w:val="center"/>
                  </w:pPr>
                  <w:r>
                    <w:t xml:space="preserve">retired</w:t>
                  </w:r>
                </w:p>
              </w:tc>
              <w:tc>
                <w:tcPr/>
                <w:p>
                  <w:pPr>
                    <w:pStyle w:val="Compact"/>
                    <w:jc w:val="left"/>
                    <w:jc w:val="center"/>
                  </w:pPr>
                  <w:r>
                    <w:t xml:space="preserve">Turtle multiplicative merge</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w:t>
                  </w:r>
                </w:p>
              </w:tc>
              <w:tc>
                <w:tcPr/>
                <w:p>
                  <w:pPr>
                    <w:pStyle w:val="Compact"/>
                    <w:jc w:val="left"/>
                    <w:jc w:val="center"/>
                  </w:pPr>
                  <w:r>
                    <w:t xml:space="preserve">2026-03-01</w:t>
                  </w:r>
                </w:p>
              </w:tc>
              <w:tc>
                <w:tcPr/>
                <w:p>
                  <w:pPr>
                    <w:pStyle w:val="Compact"/>
                    <w:jc w:val="left"/>
                    <w:jc w:val="center"/>
                  </w:pPr>
                  <w:r>
                    <w:t xml:space="preserve">retired</w:t>
                  </w:r>
                </w:p>
              </w:tc>
              <w:tc>
                <w:tcPr/>
                <w:p>
                  <w:pPr>
                    <w:pStyle w:val="Compact"/>
                    <w:jc w:val="left"/>
                    <w:jc w:val="center"/>
                  </w:pPr>
                  <w:r>
                    <w:t xml:space="preserve">SWOT sea turtles</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v3</w:t>
                  </w:r>
                </w:p>
              </w:tc>
              <w:tc>
                <w:tcPr/>
                <w:p>
                  <w:pPr>
                    <w:pStyle w:val="Compact"/>
                    <w:jc w:val="left"/>
                    <w:jc w:val="center"/>
                  </w:pPr>
                  <w:r>
                    <w:t xml:space="preserve">2026-02-01</w:t>
                  </w:r>
                </w:p>
              </w:tc>
              <w:tc>
                <w:tcPr/>
                <w:p>
                  <w:pPr>
                    <w:pStyle w:val="Compact"/>
                    <w:jc w:val="left"/>
                    <w:jc w:val="center"/>
                  </w:pPr>
                  <w:r>
                    <w:t xml:space="preserve">retired</w:t>
                  </w:r>
                </w:p>
              </w:tc>
              <w:tc>
                <w:tcPr/>
                <w:p>
                  <w:pPr>
                    <w:pStyle w:val="Compact"/>
                    <w:jc w:val="left"/>
                    <w:jc w:val="center"/>
                  </w:pPr>
                  <w:r>
                    <w:t xml:space="preserve">Merged models + extinction risk</w:t>
                  </w:r>
                </w:p>
              </w:tc>
              <w:tc>
                <w:tcPr/>
                <w:p>
                  <w:pPr>
                    <w:pStyle w:val="Compact"/>
                    <w:jc w:val="right"/>
                    <w:jc w:val="center"/>
                  </w:pPr>
                  <w:r>
                    <w:t xml:space="preserve">7</w:t>
                  </w:r>
                </w:p>
              </w:tc>
              <w:tc>
                <w:tcPr/>
                <w:p>
                  <w:pPr>
                    <w:pStyle w:val="Compact"/>
                    <w:jc w:val="right"/>
                    <w:jc w:val="center"/>
                  </w:pPr>
                  <w:r>
                    <w:t xml:space="preserve">9,795</w:t>
                  </w:r>
                </w:p>
              </w:tc>
              <w:tc>
                <w:tcPr/>
                <w:p>
                  <w:pPr>
                    <w:pStyle w:val="Compact"/>
                    <w:jc w:val="right"/>
                    <w:jc w:val="center"/>
                  </w:pPr>
                  <w:r>
                    <w:t xml:space="preserve">9,621</w:t>
                  </w:r>
                </w:p>
              </w:tc>
              <w:tc>
                <w:tcPr/>
                <w:p>
                  <w:pPr>
                    <w:pStyle w:val="Compact"/>
                    <w:jc w:val="left"/>
                    <w:jc w:val="center"/>
                  </w:pPr>
                  <w:r>
                    <w:rPr>
                      <w:rStyle w:val="VerbatimChar"/>
                    </w:rPr>
                    <w:t xml:space="preserve">usa05</w:t>
                  </w:r>
                </w:p>
              </w:tc>
            </w:tr>
            <w:tr>
              <w:tc>
                <w:tcPr/>
                <w:p>
                  <w:pPr>
                    <w:pStyle w:val="Compact"/>
                    <w:jc w:val="left"/>
                    <w:jc w:val="center"/>
                  </w:pPr>
                  <w:r>
                    <w:t xml:space="preserve">v2</w:t>
                  </w:r>
                </w:p>
              </w:tc>
              <w:tc>
                <w:tcPr/>
                <w:p>
                  <w:pPr>
                    <w:pStyle w:val="Compact"/>
                    <w:jc w:val="left"/>
                    <w:jc w:val="center"/>
                  </w:pPr>
                  <w:r>
                    <w:t xml:space="preserve">2026-01-01</w:t>
                  </w:r>
                </w:p>
              </w:tc>
              <w:tc>
                <w:tcPr/>
                <w:p>
                  <w:pPr>
                    <w:pStyle w:val="Compact"/>
                    <w:jc w:val="left"/>
                    <w:jc w:val="center"/>
                  </w:pPr>
                  <w:r>
                    <w:t xml:space="preserve">retired</w:t>
                  </w:r>
                </w:p>
              </w:tc>
              <w:tc>
                <w:tcPr/>
                <w:p>
                  <w:pPr>
                    <w:pStyle w:val="Compact"/>
                    <w:jc w:val="left"/>
                    <w:jc w:val="center"/>
                  </w:pPr>
                  <w:r>
                    <w:t xml:space="preserve">Program Areas</w:t>
                  </w:r>
                </w:p>
              </w:tc>
              <w:tc>
                <w:tcPr/>
                <w:p>
                  <w:pPr>
                    <w:pStyle w:val="Compact"/>
                    <w:jc w:val="right"/>
                    <w:jc w:val="center"/>
                  </w:pPr>
                  <w:r>
                    <w:t xml:space="preserve">6</w:t>
                  </w:r>
                </w:p>
              </w:tc>
              <w:tc>
                <w:tcPr/>
                <w:p>
                  <w:pPr>
                    <w:pStyle w:val="Compact"/>
                    <w:jc w:val="right"/>
                    <w:jc w:val="center"/>
                  </w:pPr>
                  <w:r>
                    <w:t xml:space="preserve">17,353</w:t>
                  </w:r>
                </w:p>
              </w:tc>
              <w:tc>
                <w:tcPr/>
                <w:p>
                  <w:pPr>
                    <w:pStyle w:val="Compact"/>
                    <w:jc w:val="right"/>
                    <w:jc w:val="center"/>
                  </w:pPr>
                  <w:r>
                    <w:t xml:space="preserve">9,792</w:t>
                  </w:r>
                </w:p>
              </w:tc>
              <w:tc>
                <w:tcPr/>
                <w:p>
                  <w:pPr>
                    <w:pStyle w:val="Compact"/>
                    <w:jc w:val="left"/>
                    <w:jc w:val="center"/>
                  </w:pPr>
                  <w:r>
                    <w:rPr>
                      <w:rStyle w:val="VerbatimChar"/>
                    </w:rPr>
                    <w:t xml:space="preserve">usa05</w:t>
                  </w:r>
                </w:p>
              </w:tc>
            </w:tr>
            <w:tr>
              <w:tc>
                <w:tcPr/>
                <w:p>
                  <w:pPr>
                    <w:pStyle w:val="Compact"/>
                    <w:jc w:val="left"/>
                    <w:jc w:val="center"/>
                  </w:pPr>
                  <w:r>
                    <w:t xml:space="preserve">v1</w:t>
                  </w:r>
                </w:p>
              </w:tc>
              <w:tc>
                <w:tcPr/>
                <w:p>
                  <w:pPr>
                    <w:pStyle w:val="Compact"/>
                    <w:jc w:val="left"/>
                    <w:jc w:val="center"/>
                  </w:pPr>
                  <w:r>
                    <w:t xml:space="preserve">2023-09-01</w:t>
                  </w:r>
                </w:p>
              </w:tc>
              <w:tc>
                <w:tcPr/>
                <w:p>
                  <w:pPr>
                    <w:pStyle w:val="Compact"/>
                    <w:jc w:val="left"/>
                    <w:jc w:val="center"/>
                  </w:pPr>
                  <w:r>
                    <w:t xml:space="preserve">retired</w:t>
                  </w:r>
                </w:p>
              </w:tc>
              <w:tc>
                <w:tcPr/>
                <w:p>
                  <w:pPr>
                    <w:pStyle w:val="Compact"/>
                    <w:jc w:val="left"/>
                    <w:jc w:val="center"/>
                  </w:pPr>
                  <w:r>
                    <w:t xml:space="preserve">Planning Areas</w:t>
                  </w:r>
                </w:p>
              </w:tc>
              <w:tc>
                <w:tcPr/>
                <w:p>
                  <w:pPr>
                    <w:pStyle w:val="Compact"/>
                    <w:jc w:val="right"/>
                    <w:jc w:val="center"/>
                  </w:pPr>
                  <w:r>
                    <w:t xml:space="preserve">5</w:t>
                  </w:r>
                </w:p>
              </w:tc>
              <w:tc>
                <w:tcPr/>
                <w:p>
                  <w:pPr>
                    <w:pStyle w:val="Compact"/>
                    <w:jc w:val="right"/>
                    <w:jc w:val="center"/>
                  </w:pPr>
                  <w:r>
                    <w:t xml:space="preserve">17,379</w:t>
                  </w:r>
                </w:p>
              </w:tc>
              <w:tc>
                <w:tcPr/>
                <w:p>
                  <w:pPr>
                    <w:pStyle w:val="Compact"/>
                    <w:jc w:val="right"/>
                    <w:jc w:val="center"/>
                  </w:pPr>
                  <w:r>
                    <w:t xml:space="preserve">—</w:t>
                  </w:r>
                </w:p>
              </w:tc>
              <w:tc>
                <w:tcPr/>
                <w:p>
                  <w:pPr>
                    <w:pStyle w:val="Compact"/>
                    <w:jc w:val="left"/>
                    <w:jc w:val="center"/>
                  </w:pPr>
                  <w:r>
                    <w:rPr>
                      <w:rStyle w:val="VerbatimChar"/>
                    </w:rPr>
                    <w:t xml:space="preserve">usa05</w:t>
                  </w:r>
                </w:p>
              </w:tc>
            </w:tr>
          </w:tbl>
          <w:bookmarkEnd w:id="53"/>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the species count is not a trend line</w:t>
            </w:r>
          </w:p>
        </w:tc>
      </w:tr>
      <w:tr>
        <w:trPr>
          <w:cantSplit/>
        </w:trPr>
        <w:tc>
          <w:tcPr>
            <w:tcMar>
              <w:top w:w="108" w:type="dxa"/>
              <w:bottom w:w="108" w:type="dxa"/>
            </w:tcMar>
          </w:tcPr>
          <w:p>
            <w:pPr>
              <w:pStyle w:val="BodyText"/>
            </w:pPr>
            <w:pPr>
              <w:spacing w:before="16"/>
            </w:pPr>
            <w:r>
              <w:t xml:space="preserve">The count moves for three different reasons, only one of which is</w:t>
            </w:r>
            <w:r>
              <w:t xml:space="preserve"> </w:t>
            </w:r>
            <w:r>
              <w:t xml:space="preserve">“more data”</w:t>
            </w:r>
            <w:r>
              <w:t xml:space="preserve">:</w:t>
            </w:r>
          </w:p>
          <w:p>
            <w:pPr>
              <w:pStyle w:val="Compact"/>
              <w:numPr>
                <w:ilvl w:val="0"/>
                <w:numId w:val="1005"/>
              </w:numPr>
            </w:pPr>
            <w:r>
              <w:rPr>
                <w:b/>
                <w:bCs/>
              </w:rPr>
              <w:t xml:space="preserve">v3</w:t>
            </w:r>
            <w:r>
              <w:t xml:space="preserve"> </w:t>
            </w:r>
            <w:r>
              <w:t xml:space="preserve">tightened the taxonomy — resolving every source name to a canonical identity, dropping non-marine and extinct taxa — which cut the count roughly in half.</w:t>
            </w:r>
          </w:p>
          <w:p>
            <w:pPr>
              <w:pStyle w:val="Compact"/>
              <w:numPr>
                <w:ilvl w:val="0"/>
                <w:numId w:val="1005"/>
              </w:numPr>
            </w:pPr>
            <w:r>
              <w:rPr>
                <w:b/>
                <w:bCs/>
              </w:rPr>
              <w:t xml:space="preserve">v6</w:t>
            </w:r>
            <w:r>
              <w:t xml:space="preserve"> </w:t>
            </w:r>
            <w:r>
              <w:t xml:space="preserve">removed species whose expert range lies entirely outside US waters, whose apparent US presence was an artifact of environmental-envelope prediction.</w:t>
            </w:r>
          </w:p>
          <w:p>
            <w:pPr>
              <w:pStyle w:val="Compact"/>
              <w:numPr>
                <w:ilvl w:val="0"/>
                <w:numId w:val="1005"/>
              </w:numPr>
            </w:pPr>
            <w:r>
              <w:rPr>
                <w:b/>
                <w:bCs/>
              </w:rPr>
              <w:t xml:space="preserve">v7</w:t>
            </w:r>
            <w:r>
              <w:t xml:space="preserve"> </w:t>
            </w:r>
            <w:r>
              <w:t xml:space="preserve">stopped requiring Program-Area overlap for validity. Nothing was added; the definition changed, and the count went up accordingly.</w:t>
            </w:r>
          </w:p>
          <w:p>
            <w:pPr>
              <w:pStyle w:val="FirstParagraph"/>
            </w:pPr>
            <w:pPr>
              <w:spacing w:after="16"/>
            </w:pPr>
            <w:r>
              <w:t xml:space="preserve">Read the column as</w:t>
            </w:r>
            <w:r>
              <w:t xml:space="preserve"> </w:t>
            </w:r>
            <w:r>
              <w:t xml:space="preserve">“what this release considered valid”</w:t>
            </w:r>
            <w:r>
              <w:t xml:space="preserve">, never as a measurement of biodiversity that changed between releases.</w:t>
            </w:r>
          </w:p>
          <w:p/>
        </w:tc>
      </w:tr>
    </w:tbl>
    <w:tbl>
      <w:tblPr>
        <w:tblStyle w:val="Table"/>
        <w:tblW w:type="pct" w:w="5000"/>
        <w:tblLayout w:type="fixed"/>
        <w:tblLook w:firstRow="0" w:lastRow="0" w:firstColumn="0" w:lastColumn="0" w:noHBand="0" w:noVBand="0" w:val="0000"/>
      </w:tblPr>
      <w:tblGrid>
        <w:gridCol w:w="7920"/>
      </w:tblGrid>
      <w:tr>
        <w:tc>
          <w:tcPr/>
          <w:bookmarkStart w:id="57" w:name="tbl-releases-tech"/>
          <w:p>
            <w:pPr>
              <w:jc w:val="center"/>
            </w:pPr>
            <w:pPr>
              <w:jc w:val="left"/>
              <w:spacing w:before="200"/>
              <w:pStyle w:val="ImageCaption"/>
            </w:pPr>
            <w:r>
              <w:t xml:space="preserve">Table 2.2: What each release published, read from its manifest.</w:t>
            </w:r>
          </w:p>
          <w:tbl>
            <w:tblPr>
              <w:tblStyle w:val="Table"/>
              <w:tblW w:type="pct" w:w="5000"/>
              <w:tblLayout w:type="fixed"/>
              <w:tblLook w:firstRow="1" w:lastRow="0" w:firstColumn="0" w:lastColumn="0" w:noHBand="0" w:noVBand="0" w:val="0020"/>
            </w:tblPr>
            <w:tblGrid>
              <w:gridCol w:w="640"/>
              <w:gridCol w:w="800"/>
              <w:gridCol w:w="640"/>
              <w:gridCol w:w="5840"/>
            </w:tblGrid>
            <w:tr>
              <w:trPr>
                <w:tblHeader w:val="on"/>
              </w:trPr>
              <w:tc>
                <w:tcPr/>
                <w:p>
                  <w:pPr>
                    <w:pStyle w:val="Compact"/>
                    <w:jc w:val="left"/>
                    <w:jc w:val="center"/>
                  </w:pPr>
                  <w:r>
                    <w:t xml:space="preserve">Version</w:t>
                  </w:r>
                </w:p>
              </w:tc>
              <w:tc>
                <w:tcPr/>
                <w:p>
                  <w:pPr>
                    <w:pStyle w:val="Compact"/>
                    <w:jc w:val="left"/>
                    <w:jc w:val="center"/>
                  </w:pPr>
                  <w:r>
                    <w:t xml:space="preserve">Model id</w:t>
                  </w:r>
                </w:p>
              </w:tc>
              <w:tc>
                <w:tcPr/>
                <w:p>
                  <w:pPr>
                    <w:pStyle w:val="Compact"/>
                    <w:jc w:val="right"/>
                    <w:jc w:val="center"/>
                  </w:pPr>
                  <w:r>
                    <w:t xml:space="preserve">Metrics</w:t>
                  </w:r>
                </w:p>
              </w:tc>
              <w:tc>
                <w:tcPr/>
                <w:p>
                  <w:pPr>
                    <w:pStyle w:val="Compact"/>
                    <w:jc w:val="left"/>
                    <w:jc w:val="center"/>
                  </w:pPr>
                  <w:r>
                    <w:t xml:space="preserve">Spatial units</w:t>
                  </w:r>
                </w:p>
              </w:tc>
            </w:tr>
            <w:tr>
              <w:tc>
                <w:tcPr/>
                <w:p>
                  <w:pPr>
                    <w:pStyle w:val="Compact"/>
                    <w:jc w:val="left"/>
                    <w:jc w:val="center"/>
                  </w:pPr>
                  <w:r>
                    <w:t xml:space="preserve">v7c</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v7b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v9</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v8</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v7</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v6</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v5</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v3</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v2</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v1</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Subregions (4)</w:t>
                  </w:r>
                </w:p>
              </w:tc>
            </w:tr>
          </w:tbl>
          <w:bookmarkEnd w:id="57"/>
          <w:p/>
        </w:tc>
      </w:tr>
    </w:tbl>
    <w:bookmarkEnd w:id="58"/>
    <w:bookmarkStart w:id="85" w:name="history"/>
    <w:p>
      <w:pPr>
        <w:pStyle w:val="Heading2"/>
      </w:pPr>
      <w:r>
        <w:t xml:space="preserve">2.2 History</w:t>
      </w:r>
    </w:p>
    <w:p>
      <w:pPr>
        <w:pStyle w:val="FirstParagraph"/>
      </w:pPr>
      <w:r>
        <w:t xml:space="preserve">Each release is summarized under the same four headings, so two versions can be read line for line. The same summary heads that version’s own landing page.</w:t>
      </w:r>
    </w:p>
    <w:p>
      <w:pPr>
        <w:pStyle w:val="Compact"/>
        <w:numPr>
          <w:ilvl w:val="0"/>
          <w:numId w:val="1006"/>
        </w:numPr>
      </w:pPr>
      <w:r>
        <w:rPr>
          <w:b/>
          <w:bCs/>
        </w:rPr>
        <w:t xml:space="preserve">Datasets</w:t>
      </w:r>
      <w:r>
        <w:t xml:space="preserve"> </w:t>
      </w:r>
      <w:r>
        <w:t xml:space="preserve">— inputs added or changed, and the role each plays (contributing a value, masking a range, or carrying extinction risk spatially).</w:t>
      </w:r>
    </w:p>
    <w:p>
      <w:pPr>
        <w:pStyle w:val="Compact"/>
        <w:numPr>
          <w:ilvl w:val="0"/>
          <w:numId w:val="1006"/>
        </w:numPr>
      </w:pPr>
      <w:r>
        <w:rPr>
          <w:b/>
          <w:bCs/>
        </w:rPr>
        <w:t xml:space="preserve">Methods</w:t>
      </w:r>
      <w:r>
        <w:t xml:space="preserve"> </w:t>
      </w:r>
      <w:r>
        <w:t xml:space="preserve">— the scientific rules: how models merge, how extinction risk is scored, which statutory floors apply.</w:t>
      </w:r>
    </w:p>
    <w:p>
      <w:pPr>
        <w:pStyle w:val="Compact"/>
        <w:numPr>
          <w:ilvl w:val="0"/>
          <w:numId w:val="1006"/>
        </w:numPr>
      </w:pPr>
      <w:r>
        <w:rPr>
          <w:b/>
          <w:bCs/>
        </w:rPr>
        <w:t xml:space="preserve">Scope</w:t>
      </w:r>
      <w:r>
        <w:t xml:space="preserve"> </w:t>
      </w:r>
      <w:r>
        <w:t xml:space="preserve">— what counts and where: the definition of a valid species, the spatial units, the study area, which taxa are eligible.</w:t>
      </w:r>
    </w:p>
    <w:p>
      <w:pPr>
        <w:pStyle w:val="Compact"/>
        <w:numPr>
          <w:ilvl w:val="0"/>
          <w:numId w:val="1006"/>
        </w:numPr>
      </w:pPr>
      <w:r>
        <w:rPr>
          <w:b/>
          <w:bCs/>
        </w:rPr>
        <w:t xml:space="preserve">Technology</w:t>
      </w:r>
      <w:r>
        <w:t xml:space="preserve"> </w:t>
      </w:r>
      <w:r>
        <w:t xml:space="preserve">— formats, identifiers, serving and applications.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warning.png" id="6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changes move the count without any data changing</w:t>
            </w:r>
          </w:p>
        </w:tc>
      </w:tr>
      <w:tr>
        <w:trPr>
          <w:cantSplit/>
        </w:trPr>
        <w:tc>
          <w:tcPr>
            <w:tcMar>
              <w:top w:w="108" w:type="dxa"/>
              <w:bottom w:w="108" w:type="dxa"/>
            </w:tcMar>
          </w:tcPr>
          <w:p>
            <w:pPr>
              <w:pStyle w:val="BodyText"/>
            </w:pPr>
            <w:pPr>
              <w:spacing w:before="16" w:after="16"/>
            </w:pPr>
            <w:r>
              <w:t xml:space="preserve">The distinction between</w:t>
            </w:r>
            <w:r>
              <w:t xml:space="preserve"> </w:t>
            </w:r>
            <w:r>
              <w:rPr>
                <w:b/>
                <w:bCs/>
              </w:rPr>
              <w:t xml:space="preserve">Methods</w:t>
            </w:r>
            <w:r>
              <w:t xml:space="preserve"> </w:t>
            </w:r>
            <w:r>
              <w:t xml:space="preserve">and</w:t>
            </w:r>
            <w:r>
              <w:t xml:space="preserve"> </w:t>
            </w:r>
            <w:r>
              <w:rPr>
                <w:b/>
                <w:bCs/>
              </w:rPr>
              <w:t xml:space="preserve">Scope</w:t>
            </w:r>
            <w:r>
              <w:t xml:space="preserve"> </w:t>
            </w:r>
            <w:r>
              <w:t xml:space="preserve">is the one to watch. v3 tightened the taxonomy, v6 excluded ranges outside the EEZ, and v7 decoupled validity from Program Areas — each moved the headline species count substantially, and none of them added or removed a single input. Reading those jumps as growth or loss is the single easiest mistake to make with this table.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v7c, relative to v7</w:t>
            </w:r>
          </w:p>
        </w:tc>
      </w:tr>
      <w:tr>
        <w:trPr>
          <w:cantSplit/>
        </w:trPr>
        <w:tc>
          <w:tcPr>
            <w:tcMar>
              <w:top w:w="108" w:type="dxa"/>
              <w:bottom w:w="108" w:type="dxa"/>
            </w:tcMar>
          </w:tcPr>
          <w:p>
            <w:pPr>
              <w:pStyle w:val="BodyText"/>
            </w:pPr>
            <w:pPr>
              <w:spacing w:before="16"/>
            </w:pPr>
            <w:r>
              <w:rPr>
                <w:i/>
                <w:iCs/>
              </w:rPr>
              <w:t xml:space="preserve">v7.2: record-based ranges for sea turtles and the North Atlantic right whale</w:t>
            </w:r>
          </w:p>
          <w:p>
            <w:pPr>
              <w:pStyle w:val="BodyText"/>
            </w:pPr>
            <w:r>
              <w:rPr>
                <w:b/>
                <w:bCs/>
              </w:rPr>
              <w:t xml:space="preserve">Methods</w:t>
            </w:r>
            <w:r>
              <w:t xml:space="preserve"> </w:t>
            </w:r>
            <w:r>
              <w:t xml:space="preserve">— A</w:t>
            </w:r>
            <w:r>
              <w:t xml:space="preserve"> </w:t>
            </w:r>
            <w:r>
              <w:rPr>
                <w:b/>
                <w:bCs/>
              </w:rPr>
              <w:t xml:space="preserve">second surgical patch of v7</w:t>
            </w:r>
            <w:r>
              <w:t xml:space="preserve">, superseding v7b for review: three method changes, everything else re-executes v7’s own scoring verbatim, and turning all three off reproduces v7 exactly. (1)</w:t>
            </w:r>
            <w:r>
              <w:t xml:space="preserve"> </w:t>
            </w:r>
            <w:r>
              <w:rPr>
                <w:b/>
                <w:bCs/>
              </w:rPr>
              <w:t xml:space="preserve">The turtle record rule replaces v7b’s suitability threshold.</w:t>
            </w:r>
            <w:r>
              <w:t xml:space="preserve"> </w:t>
            </w:r>
            <w:r>
              <w:t xml:space="preserve">A sea-turtle species is dropped from an Alaska ecoregion where it has</w:t>
            </w:r>
            <w:r>
              <w:t xml:space="preserve"> </w:t>
            </w:r>
            <w:r>
              <w:rPr>
                <w:b/>
                <w:bCs/>
              </w:rPr>
              <w:t xml:space="preserve">never been recorded</w:t>
            </w:r>
            <w:r>
              <w:t xml:space="preserve"> </w:t>
            </w:r>
            <w:r>
              <w:t xml:space="preserve">in any observational channel (NOAA Alaska sightings, strandings and bycatch since 1963, fishery observers, OBIS, GBIF, iNaturalist, and the Washington and Gulf/Atlantic stranding networks), and kept at its v7 value everywhere else. On v7’s data that drops loggerhead, green, leatherback and olive ridley from the East Bering Sea; the Gulf of Alaska, where all four have been recorded, keeps them — v7b’s threshold had removed three of them there. AquaMaps suitability is no longer thresholded and the floor-of-1 range fill is back as in v7. (2)</w:t>
            </w:r>
            <w:r>
              <w:t xml:space="preserve"> </w:t>
            </w:r>
            <w:r>
              <w:rPr>
                <w:b/>
                <w:bCs/>
              </w:rPr>
              <w:t xml:space="preserve">The North Atlantic right whale leaves the Gulf of America</w:t>
            </w:r>
            <w:r>
              <w:t xml:space="preserve">: it is dropped from both Gulf ecoregions, which lie outside its range — a handful of vagrant records against thousands in the Atlantic, and no critical habitat, density model or distribution-model ensemble placing it there. Both drops are rows of one evidence table, and critical habitat is never dropped. (3)</w:t>
            </w:r>
            <w:r>
              <w:t xml:space="preserve"> </w:t>
            </w:r>
            <w:r>
              <w:rPr>
                <w:b/>
                <w:bCs/>
              </w:rPr>
              <w:t xml:space="preserve">The coverage floor stays</w:t>
            </w:r>
            <w:r>
              <w:t xml:space="preserve"> </w:t>
            </w:r>
            <w:r>
              <w:t xml:space="preserve">at 5%, as in v7b; here it removes the last sliver of turtle cells from the Aleutian Arc and St. George Basin, so the two rules together leave both Program Areas without a turtle component. A down-weight in place of a drop was worked through and set aside: under ecoregion-relative rescaling a weight common to a species group cancels, and stored values are floored at 1, so only a drop reaches the score.</w:t>
            </w:r>
            <w:r>
              <w:t xml:space="preserve"> </w:t>
            </w:r>
            <w:r>
              <w:rPr>
                <w:b/>
                <w:bCs/>
              </w:rPr>
              <w:t xml:space="preserve">Productivity is untouched</w:t>
            </w:r>
            <w:r>
              <w:t xml:space="preserve"> </w:t>
            </w:r>
            <w:r>
              <w:t xml:space="preserve">— every productivity value equals v7’s; the year-integration fix still lands with v10.</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r>
              <w:rPr>
                <w:b/>
                <w:bCs/>
              </w:rPr>
              <w:t xml:space="preserve">Scope</w:t>
            </w:r>
            <w:r>
              <w:t xml:space="preserve"> </w:t>
            </w:r>
            <w:r>
              <w:t xml:space="preserve">— Which taxa count where, not which taxa count: no species is added or removed, and the definition of a valid species is v7’s. Four sea turtles no longer occur in the East Bering Sea, and the North Atlantic right whale no longer occurs in the Gulf of America, so the Aleutian Arc and St. George Basin Program Areas lose their turtle component and the Gulf of America Program Areas’ mammal component is rescaled without the right whale. Every other Program Area scores as in v7.</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v7b, relative to v7</w:t>
            </w:r>
          </w:p>
        </w:tc>
      </w:tr>
      <w:tr>
        <w:trPr>
          <w:cantSplit/>
        </w:trPr>
        <w:tc>
          <w:tcPr>
            <w:tcMar>
              <w:top w:w="108" w:type="dxa"/>
              <w:bottom w:w="108" w:type="dxa"/>
            </w:tcMar>
          </w:tcPr>
          <w:p>
            <w:pPr>
              <w:pStyle w:val="BodyText"/>
            </w:pPr>
            <w:pPr>
              <w:spacing w:before="16"/>
            </w:pPr>
            <w:r>
              <w:rPr>
                <w:i/>
                <w:iCs/>
              </w:rPr>
              <w:t xml:space="preserve">v7.1: turtle core habitat + coverage floor</w:t>
            </w:r>
          </w:p>
          <w:p>
            <w:pPr>
              <w:pStyle w:val="BodyText"/>
            </w:pPr>
            <w:r>
              <w:rPr>
                <w:b/>
                <w:bCs/>
              </w:rPr>
              <w:t xml:space="preserve">Methods</w:t>
            </w:r>
            <w:r>
              <w:t xml:space="preserve"> </w:t>
            </w:r>
            <w:r>
              <w:t xml:space="preserve">— A</w:t>
            </w:r>
            <w:r>
              <w:t xml:space="preserve"> </w:t>
            </w:r>
            <w:r>
              <w:rPr>
                <w:b/>
                <w:bCs/>
              </w:rPr>
              <w:t xml:space="preserve">surgical patch of v7</w:t>
            </w:r>
            <w:r>
              <w:t xml:space="preserve">, not a new build: two method changes, everything else re-executes v7’s own scoring verbatim, and turning both changes off reproduces v7 exactly. (1)</w:t>
            </w:r>
            <w:r>
              <w:t xml:space="preserve"> </w:t>
            </w:r>
            <w:r>
              <w:rPr>
                <w:b/>
                <w:bCs/>
              </w:rPr>
              <w:t xml:space="preserve">Sea-turtle core habitat</w:t>
            </w:r>
            <w:r>
              <w:t xml:space="preserve"> </w:t>
            </w:r>
            <w:r>
              <w:t xml:space="preserve">— AquaMaps suitability now enters the turtle merge only where it is at least 0.5 (AquaMaps’ own core-habitat default); a range cell with no suitability at or above that threshold is</w:t>
            </w:r>
            <w:r>
              <w:t xml:space="preserve"> </w:t>
            </w:r>
            <w:r>
              <w:rPr>
                <w:b/>
                <w:bCs/>
              </w:rPr>
              <w:t xml:space="preserve">dropped</w:t>
            </w:r>
            <w:r>
              <w:t xml:space="preserve"> </w:t>
            </w:r>
            <w:r>
              <w:t xml:space="preserve">rather than filled at a nominal value of 1. Critical habitat still overrides by taking the higher value, so no designated cell is ever lost to the threshold. (2)</w:t>
            </w:r>
            <w:r>
              <w:t xml:space="preserve"> </w:t>
            </w:r>
            <w:r>
              <w:rPr>
                <w:b/>
                <w:bCs/>
              </w:rPr>
              <w:t xml:space="preserve">Coverage floor.</w:t>
            </w:r>
            <w:r>
              <w:t xml:space="preserve"> </w:t>
            </w:r>
            <w:r>
              <w:t xml:space="preserve">A scored component is reportable in a Program Area only where its scored cells cover at least 5% of the area; on v7’s data this removes exactly one component (St. George Basin’s turtles, at 1.5% coverage) rather than publishing it as a misleadingly precise near-zero. One side effect worth reading carefully: with its turtle component gone, Cook Inlet’s average of its remaining components (53.2) edges past Hope Basin’s (52.7) for the top Program-Area rank — a reordering caused by removing a below-average component, not by anything improving. The year-integrated productivity fix that an earlier review flagged is</w:t>
            </w:r>
            <w:r>
              <w:t xml:space="preserve"> </w:t>
            </w:r>
            <w:r>
              <w:rPr>
                <w:b/>
                <w:bCs/>
              </w:rPr>
              <w:t xml:space="preserve">not</w:t>
            </w:r>
            <w:r>
              <w:t xml:space="preserve"> </w:t>
            </w:r>
            <w:r>
              <w:t xml:space="preserve">part of this patch — productivity is unchanged from v7 here, because under this release’s ecoregion-relative rescaling the year-integration barely moves scores (and moves some the wrong way); it lands with v10, whose national reference is where the correction actually counts.</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v9, relative to v8</w:t>
            </w:r>
          </w:p>
        </w:tc>
      </w:tr>
      <w:tr>
        <w:trPr>
          <w:cantSplit/>
        </w:trPr>
        <w:tc>
          <w:tcPr>
            <w:tcMar>
              <w:top w:w="108" w:type="dxa"/>
              <w:bottom w:w="108" w:type="dxa"/>
            </w:tcMar>
          </w:tcPr>
          <w:p>
            <w:pPr>
              <w:pStyle w:val="BodyText"/>
            </w:pPr>
            <w:pPr>
              <w:spacing w:before="16"/>
            </w:pPr>
            <w:r>
              <w:rPr>
                <w:i/>
                <w:iCs/>
              </w:rPr>
              <w:t xml:space="preserve">AquaX supersedes AquaMaps in US waters</w:t>
            </w:r>
          </w:p>
          <w:p>
            <w:pPr>
              <w:pStyle w:val="BodyText"/>
            </w:pPr>
            <w:r>
              <w:rPr>
                <w:b/>
                <w:bCs/>
              </w:rPr>
              <w:t xml:space="preserve">Datasets</w:t>
            </w:r>
            <w:r>
              <w:t xml:space="preserve"> </w:t>
            </w:r>
            <w:r>
              <w:t xml:space="preserve">—</w:t>
            </w:r>
            <w:r>
              <w:t xml:space="preserve"> </w:t>
            </w:r>
            <w:r>
              <w:rPr>
                <w:b/>
                <w:bCs/>
              </w:rPr>
              <w:t xml:space="preserve">AquaX</w:t>
            </w:r>
            <w:r>
              <w:t xml:space="preserve"> </w:t>
            </w:r>
            <w:r>
              <w:t xml:space="preserve">(</w:t>
            </w:r>
            <w:r>
              <w:rPr>
                <w:rStyle w:val="VerbatimChar"/>
              </w:rPr>
              <w:t xml:space="preserve">ax</w:t>
            </w:r>
            <w:r>
              <w:t xml:space="preserve">) joins as a ninth contributing input — an enhanced and revised AquaMaps framework (Reygondeau et al. 2026): 10,536 ensemble habitat-suitability models delivered on the analysis grid itself and</w:t>
            </w:r>
            <w:r>
              <w:t xml:space="preserve"> </w:t>
            </w:r>
            <w:r>
              <w:rPr>
                <w:b/>
                <w:bCs/>
              </w:rPr>
              <w:t xml:space="preserve">masked to US waters</w:t>
            </w:r>
            <w:r>
              <w:t xml:space="preserve">. For the same species it</w:t>
            </w:r>
            <w:r>
              <w:t xml:space="preserve"> </w:t>
            </w:r>
            <w:r>
              <w:rPr>
                <w:b/>
                <w:bCs/>
              </w:rPr>
              <w:t xml:space="preserve">supersedes AquaMaps wherever AquaX was modeled</w:t>
            </w:r>
            <w:r>
              <w:t xml:space="preserve"> </w:t>
            </w:r>
            <w:r>
              <w:t xml:space="preserve">(10,517 species, 10,703 AquaMaps models); AquaMaps continues for the ~6,000 species AquaX did not model and everywhere outside AquaX’s mask. A further 2,742 species AquaX modeled but found absent in US waters keep their AquaMaps surface in this pre-release, pending review.</w:t>
            </w:r>
          </w:p>
          <w:p>
            <w:pPr>
              <w:pStyle w:val="BodyText"/>
            </w:pPr>
            <w:r>
              <w:rPr>
                <w:b/>
                <w:bCs/>
              </w:rPr>
              <w:t xml:space="preserve">Methods</w:t>
            </w:r>
            <w:r>
              <w:t xml:space="preserve"> </w:t>
            </w:r>
            <w:r>
              <w:t xml:space="preserve">— Extinction risk becomes</w:t>
            </w:r>
            <w:r>
              <w:t xml:space="preserve"> </w:t>
            </w:r>
            <w:r>
              <w:rPr>
                <w:b/>
                <w:bCs/>
              </w:rPr>
              <w:t xml:space="preserve">spatial for species listed by Distinct Population Segment</w:t>
            </w:r>
            <w:r>
              <w:t xml:space="preserve">: 18 species whose ESA listing applies to some populations only (humpback and Southern Resident killer whales, Cook Inlet beluga, the salmonid ESUs, both sturgeons, …) take each listed entity’s status inside its designated critical habitat, from NOAA Fisheries’ authoritative service, and the baseline every unlisted species of its kind gets (the MMPA floor for a marine mammal, the IUCN category otherwise) across the rest of their range. Their merged model stays the habitat suitability; the per-cell risk is carried beside it and multiplied in at scoring, and is offered in the species app as its own layer. Before this the humpback carried the Endangered status of DPSs that breed outside US waters everywhere it occurs, a flat maximum across its entire range. Supersession is a filter on the merge input, not a per-cell blend: inside the AquaX mask a superseded species’ AquaMaps cells are dropped before the merge, so an AquaX absence is an absence. Values are AquaX’s 0–1000 ensemble mean ÷ 10, on AquaMaps’ 0–100 scale; the model’s TSS cutoff is recorded but not applied. Every other rule — range constraint, governing extinction risk, turtle multiplication — is unchanged, and a control run with supersession switched off reproduces v8’s Program-Area scores exactly.</w:t>
            </w:r>
          </w:p>
          <w:p>
            <w:pPr>
              <w:pStyle w:val="BodyText"/>
            </w:pPr>
            <w:r>
              <w:rPr>
                <w:b/>
                <w:bCs/>
              </w:rPr>
              <w:t xml:space="preserve">Reported units</w:t>
            </w:r>
            <w:r>
              <w:t xml:space="preserve"> </w:t>
            </w:r>
            <w:r>
              <w:t xml:space="preserve">— Scores are reported on</w:t>
            </w:r>
            <w:r>
              <w:t xml:space="preserve"> </w:t>
            </w:r>
            <w:r>
              <w:rPr>
                <w:b/>
                <w:bCs/>
              </w:rPr>
              <w:t xml:space="preserve">20 programarea, 12 ecoregion, 5 subregion</w:t>
            </w:r>
            <w:r>
              <w:t xml:space="preserve"> </w:t>
            </w:r>
            <w:r>
              <w:t xml:space="preserve">— unchanged from the previous release.</w:t>
            </w:r>
          </w:p>
          <w:p>
            <w:pPr>
              <w:pStyle w:val="BodyText"/>
            </w:pPr>
            <w:r>
              <w:rPr>
                <w:b/>
                <w:bCs/>
              </w:rPr>
              <w:t xml:space="preserve">Scope</w:t>
            </w:r>
            <w:r>
              <w:t xml:space="preserve"> </w:t>
            </w:r>
            <w:r>
              <w:t xml:space="preserve">— Scoring extent and species definition are unchanged from v8; what changes is</w:t>
            </w:r>
            <w:r>
              <w:t xml:space="preserve"> </w:t>
            </w:r>
            <w:r>
              <w:rPr>
                <w:b/>
                <w:bCs/>
              </w:rPr>
              <w:t xml:space="preserve">which model supplies suitability</w:t>
            </w:r>
            <w:r>
              <w:t xml:space="preserve"> </w:t>
            </w:r>
            <w:r>
              <w:t xml:space="preserve">for two thirds of the scored species inside US waters.</w:t>
            </w:r>
          </w:p>
          <w:p>
            <w:pPr>
              <w:pStyle w:val="BodyText"/>
            </w:pPr>
            <w:r>
              <w:rPr>
                <w:b/>
                <w:bCs/>
              </w:rPr>
              <w:t xml:space="preserve">Technology</w:t>
            </w:r>
            <w:r>
              <w:t xml:space="preserve"> </w:t>
            </w:r>
            <w:r>
              <w:t xml:space="preserve">— A same-grid version bump now reuses the previous release’s unchanged ingests (copy-on-write clone, verified against their content checkpoints) instead of re-running them, and every reader of the previous release resolves its schema by introspection.</w:t>
            </w:r>
          </w:p>
          <w:p>
            <w:pPr>
              <w:pStyle w:val="BodyText"/>
            </w:pPr>
            <w:pPr>
              <w:spacing w:after="16"/>
            </w:pPr>
            <w:r>
              <w:rPr>
                <w:i/>
                <w:iCs/>
              </w:rPr>
              <w:t xml:space="preserve">Measured against v8: datasets added:</w:t>
            </w:r>
            <w:r>
              <w:rPr>
                <w:i/>
                <w:iCs/>
              </w:rPr>
              <w:t xml:space="preserve"> </w:t>
            </w:r>
            <w:r>
              <w:rPr>
                <w:rStyle w:val="VerbatimChar"/>
                <w:i/>
                <w:iCs/>
              </w:rPr>
              <w:t xml:space="preserve">ax</w:t>
            </w:r>
            <w:r>
              <w:rPr>
                <w:i/>
                <w:iCs/>
              </w:rPr>
              <w:t xml:space="preserve">,</w:t>
            </w:r>
            <w:r>
              <w:rPr>
                <w:i/>
                <w:iCs/>
              </w:rPr>
              <w:t xml:space="preserve"> </w:t>
            </w:r>
            <w:r>
              <w:rPr>
                <w:rStyle w:val="VerbatimChar"/>
                <w:i/>
                <w:iCs/>
              </w:rPr>
              <w:t xml:space="preserve">dps_nmfs</w:t>
            </w:r>
            <w:r>
              <w:rPr>
                <w:i/>
                <w:iCs/>
              </w:rPr>
              <w:t xml:space="preserve">; valid species 17,112 → 17,130.</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v8, relative to v7</w:t>
            </w:r>
          </w:p>
        </w:tc>
      </w:tr>
      <w:tr>
        <w:trPr>
          <w:cantSplit/>
        </w:trPr>
        <w:tc>
          <w:tcPr>
            <w:tcMar>
              <w:top w:w="108" w:type="dxa"/>
              <w:bottom w:w="108" w:type="dxa"/>
            </w:tcMar>
          </w:tcPr>
          <w:p>
            <w:pPr>
              <w:pStyle w:val="BodyText"/>
            </w:pPr>
            <w:pPr>
              <w:spacing w:before="16"/>
            </w:pPr>
            <w:r>
              <w:rPr>
                <w:i/>
                <w:iCs/>
              </w:rPr>
              <w:t xml:space="preserve">Marine Atlas</w:t>
            </w:r>
          </w:p>
          <w:p>
            <w:pPr>
              <w:pStyle w:val="BodyText"/>
            </w:pPr>
            <w:r>
              <w:rPr>
                <w:b/>
                <w:bCs/>
              </w:rPr>
              <w:t xml:space="preserve">Datasets</w:t>
            </w:r>
            <w:r>
              <w:t xml:space="preserve"> </w:t>
            </w:r>
            <w:r>
              <w:t xml:space="preserve">— The same eight contributing inputs. NOAA SEFSC and NCCOS</w:t>
            </w:r>
            <w:r>
              <w:t xml:space="preserve"> </w:t>
            </w:r>
            <w:r>
              <w:rPr>
                <w:b/>
                <w:bCs/>
              </w:rPr>
              <w:t xml:space="preserve">density</w:t>
            </w:r>
            <w:r>
              <w:t xml:space="preserve"> </w:t>
            </w:r>
            <w:r>
              <w:t xml:space="preserve">models are ingested and catalogued but deliberately</w:t>
            </w:r>
            <w:r>
              <w:t xml:space="preserve"> </w:t>
            </w:r>
            <w:r>
              <w:rPr>
                <w:b/>
                <w:bCs/>
              </w:rPr>
              <w:t xml:space="preserve">excluded from the merge</w:t>
            </w:r>
            <w:r>
              <w:t xml:space="preserve">, because their units (individuals per km²) have no agreed mapping onto the 0–100 suitability scale — they are flagged</w:t>
            </w:r>
            <w:r>
              <w:t xml:space="preserve"> </w:t>
            </w:r>
            <w:r>
              <w:rPr>
                <w:rStyle w:val="VerbatimChar"/>
              </w:rPr>
              <w:t xml:space="preserve">is_scored = FALSE</w:t>
            </w:r>
            <w:r>
              <w:t xml:space="preserve"> </w:t>
            </w:r>
            <w:r>
              <w:t xml:space="preserve">so no published count includes them.</w:t>
            </w:r>
          </w:p>
          <w:p>
            <w:pPr>
              <w:pStyle w:val="BodyText"/>
            </w:pPr>
            <w:r>
              <w:rPr>
                <w:b/>
                <w:bCs/>
              </w:rPr>
              <w:t xml:space="preserve">Methods</w:t>
            </w:r>
            <w:r>
              <w:t xml:space="preserve"> </w:t>
            </w:r>
            <w:r>
              <w:t xml:space="preserve">— The expert range</w:t>
            </w:r>
            <w:r>
              <w:t xml:space="preserve"> </w:t>
            </w:r>
            <w:r>
              <w:rPr>
                <w:b/>
                <w:bCs/>
              </w:rPr>
              <w:t xml:space="preserve">constrains</w:t>
            </w:r>
            <w:r>
              <w:t xml:space="preserve"> </w:t>
            </w:r>
            <w:r>
              <w:t xml:space="preserve">AquaMaps rather than merely competing with it, and whether a taxon has a range is decided</w:t>
            </w:r>
            <w:r>
              <w:t xml:space="preserve"> </w:t>
            </w:r>
            <w:r>
              <w:rPr>
                <w:b/>
                <w:bCs/>
              </w:rPr>
              <w:t xml:space="preserve">globally</w:t>
            </w:r>
            <w:r>
              <w:t xml:space="preserve"> </w:t>
            </w:r>
            <w:r>
              <w:t xml:space="preserve">— so a species whose range lies wholly outside US waters contributes no US cells. Governing extinction risk is applied at merge time, to the range cells. A BirdLife↔WoRMS crosswalk de-duplicates seabirds that earlier releases split across two taxa. Species categories come from taxonomy rather than keyword matching, removing the catch-all</w:t>
            </w:r>
            <w:r>
              <w:t xml:space="preserve"> </w:t>
            </w:r>
            <w:r>
              <w:rPr>
                <w:rStyle w:val="VerbatimChar"/>
              </w:rPr>
              <w:t xml:space="preserve">other</w:t>
            </w:r>
            <w:r>
              <w:t xml:space="preserve"> </w:t>
            </w:r>
            <w:r>
              <w:t xml:space="preserve">and surfacing</w:t>
            </w:r>
            <w:r>
              <w:t xml:space="preserve"> </w:t>
            </w:r>
            <w:r>
              <w:rPr>
                <w:rStyle w:val="VerbatimChar"/>
              </w:rPr>
              <w:t xml:space="preserve">primary_producer</w:t>
            </w:r>
            <w:r>
              <w:t xml:space="preserve">; birds are additionally culled to marine/coastal families with at least 5% of their global range over ocean.</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and ecoregion and subregion rollups are restored alongside them — so the release covers every spatial unit it defines, rather than Program Areas alone.</w:t>
            </w:r>
            <w:r>
              <w:t xml:space="preserve"> </w:t>
            </w:r>
            <w:r>
              <w:rPr>
                <w:i/>
                <w:iCs/>
              </w:rPr>
              <w:t xml:space="preserve">(measured: 20 programarea, 12 ecoregion, 5 subregion scored on the composite metric.)</w:t>
            </w:r>
          </w:p>
          <w:p>
            <w:pPr>
              <w:pStyle w:val="BodyText"/>
            </w:pPr>
            <w:r>
              <w:rPr>
                <w:b/>
                <w:bCs/>
              </w:rPr>
              <w:t xml:space="preserve">Scope</w:t>
            </w:r>
            <w:r>
              <w:t xml:space="preserve"> </w:t>
            </w:r>
            <w:r>
              <w:t xml:space="preserve">— Ingest becomes</w:t>
            </w:r>
            <w:r>
              <w:t xml:space="preserve"> </w:t>
            </w:r>
            <w:r>
              <w:rPr>
                <w:b/>
                <w:bCs/>
              </w:rPr>
              <w:t xml:space="preserve">global and whole-range</w:t>
            </w:r>
            <w:r>
              <w:t xml:space="preserve"> </w:t>
            </w:r>
            <w:r>
              <w:t xml:space="preserve">— no land mask, no Program-Area gate — while scoring stays over US waters. A species map now shows the species rather than the analysis extent. Non-turtle reptiles and amphibians remain excluded from scoring.</w:t>
            </w:r>
          </w:p>
          <w:p>
            <w:pPr>
              <w:pStyle w:val="BodyText"/>
            </w:pPr>
            <w:r>
              <w:rPr>
                <w:b/>
                <w:bCs/>
              </w:rPr>
              <w:t xml:space="preserve">Technology</w:t>
            </w:r>
            <w:r>
              <w:t xml:space="preserve"> </w:t>
            </w:r>
            <w:r>
              <w:t xml:space="preserve">— Releases are published as</w:t>
            </w:r>
            <w:r>
              <w:t xml:space="preserve"> </w:t>
            </w:r>
            <w:r>
              <w:rPr>
                <w:b/>
                <w:bCs/>
              </w:rPr>
              <w:t xml:space="preserve">partitioned Parquet on S3</w:t>
            </w:r>
            <w:r>
              <w:t xml:space="preserve"> </w:t>
            </w:r>
            <w:r>
              <w:t xml:space="preserve">with a STAC catalog and a searchable STAC API, readable directly by DuckDB including in a browser. Score surfaces become</w:t>
            </w:r>
            <w:r>
              <w:t xml:space="preserve"> </w:t>
            </w:r>
            <w:r>
              <w:rPr>
                <w:b/>
                <w:bCs/>
              </w:rPr>
              <w:t xml:space="preserve">pre-rendered COGs</w:t>
            </w:r>
            <w:r>
              <w:t xml:space="preserve">, retiring the tile factory that ran SQL per request. A stable</w:t>
            </w:r>
            <w:r>
              <w:t xml:space="preserve"> </w:t>
            </w:r>
            <w:r>
              <w:rPr>
                <w:rStyle w:val="VerbatimChar"/>
              </w:rPr>
              <w:t xml:space="preserve">mdl_key</w:t>
            </w:r>
            <w:r>
              <w:t xml:space="preserve"> </w:t>
            </w:r>
            <w:r>
              <w:t xml:space="preserve">replaces the auto-increment</w:t>
            </w:r>
            <w:r>
              <w:t xml:space="preserve"> </w:t>
            </w:r>
            <w:r>
              <w:rPr>
                <w:rStyle w:val="VerbatimChar"/>
              </w:rPr>
              <w:t xml:space="preserve">mdl_seq</w:t>
            </w:r>
            <w:r>
              <w:t xml:space="preserve">, which renumbered on every rebuild and broke saved links. One application renders</w:t>
            </w:r>
            <w:r>
              <w:t xml:space="preserve"> </w:t>
            </w:r>
            <w:r>
              <w:rPr>
                <w:b/>
                <w:bCs/>
              </w:rPr>
              <w:t xml:space="preserve">every</w:t>
            </w:r>
            <w:r>
              <w:t xml:space="preserve"> </w:t>
            </w:r>
            <w:r>
              <w:t xml:space="preserve">release from a</w:t>
            </w:r>
            <w:r>
              <w:t xml:space="preserve"> </w:t>
            </w:r>
            <w:r>
              <w:rPr>
                <w:rStyle w:val="VerbatimChar"/>
              </w:rPr>
              <w:t xml:space="preserve">?ver=</w:t>
            </w:r>
            <w:r>
              <w:t xml:space="preserve"> </w:t>
            </w:r>
            <w:r>
              <w:t xml:space="preserve">parameter, so the per-version forks are retired.</w:t>
            </w:r>
          </w:p>
          <w:p>
            <w:pPr>
              <w:pStyle w:val="BodyText"/>
            </w:pPr>
            <w:pPr>
              <w:spacing w:after="16"/>
            </w:pPr>
            <w:r>
              <w:rPr>
                <w:i/>
                <w:iCs/>
              </w:rPr>
              <w:t xml:space="preserve">Measured against v7: valid species 16,153 → 17,112;</w:t>
            </w:r>
            <w:r>
              <w:rPr>
                <w:i/>
                <w:iCs/>
              </w:rPr>
              <w:t xml:space="preserve"> </w:t>
            </w:r>
            <w:r>
              <w:rPr>
                <w:b/>
                <w:bCs/>
                <w:i/>
                <w:iCs/>
              </w:rPr>
              <w:t xml:space="preserve">grid changed</w:t>
            </w:r>
            <w:r>
              <w:rPr>
                <w:i/>
                <w:iCs/>
              </w:rPr>
              <w:t xml:space="preserve"> </w:t>
            </w:r>
            <w:r>
              <w:rPr>
                <w:i/>
                <w:iCs/>
              </w:rPr>
              <w:t xml:space="preserve">(</w:t>
            </w:r>
            <w:r>
              <w:rPr>
                <w:rStyle w:val="VerbatimChar"/>
                <w:i/>
                <w:iCs/>
              </w:rPr>
              <w:t xml:space="preserve">usa05</w:t>
            </w:r>
            <w:r>
              <w:rPr>
                <w:i/>
                <w:iCs/>
              </w:rPr>
              <w:t xml:space="preserve"> </w:t>
            </w:r>
            <w:r>
              <w:rPr>
                <w:i/>
                <w:iCs/>
              </w:rPr>
              <w:t xml:space="preserve">→</w:t>
            </w:r>
            <w:r>
              <w:rPr>
                <w:i/>
                <w:iCs/>
              </w:rPr>
              <w:t xml:space="preserve"> </w:t>
            </w:r>
            <w:r>
              <w:rPr>
                <w:rStyle w:val="VerbatimChar"/>
                <w:i/>
                <w:iCs/>
              </w:rPr>
              <w:t xml:space="preserve">global05</w:t>
            </w:r>
            <w:r>
              <w:rPr>
                <w:i/>
                <w:iCs/>
              </w:rPr>
              <w:t xml:space="preserve">), so</w:t>
            </w:r>
            <w:r>
              <w:rPr>
                <w:i/>
                <w:iCs/>
              </w:rPr>
              <w:t xml:space="preserve"> </w:t>
            </w:r>
            <w:r>
              <w:rPr>
                <w:rStyle w:val="VerbatimChar"/>
                <w:i/>
                <w:iCs/>
              </w:rPr>
              <w:t xml:space="preserve">cell_id</w:t>
            </w:r>
            <w:r>
              <w:rPr>
                <w:i/>
                <w:iCs/>
              </w:rPr>
              <w:t xml:space="preserve"> </w:t>
            </w:r>
            <w:r>
              <w:rPr>
                <w:i/>
                <w:iCs/>
              </w:rPr>
              <w:t xml:space="preserve">denotes a different place; public model id</w:t>
            </w:r>
            <w:r>
              <w:rPr>
                <w:i/>
                <w:iCs/>
              </w:rPr>
              <w:t xml:space="preserve"> </w:t>
            </w:r>
            <w:r>
              <w:rPr>
                <w:rStyle w:val="VerbatimChar"/>
                <w:i/>
                <w:iCs/>
              </w:rPr>
              <w:t xml:space="preserve">mdl_seq</w:t>
            </w:r>
            <w:r>
              <w:rPr>
                <w:i/>
                <w:iCs/>
              </w:rPr>
              <w:t xml:space="preserve"> </w:t>
            </w:r>
            <w:r>
              <w:rPr>
                <w:i/>
                <w:iCs/>
              </w:rPr>
              <w:t xml:space="preserve">→</w:t>
            </w:r>
            <w:r>
              <w:rPr>
                <w:i/>
                <w:iCs/>
              </w:rPr>
              <w:t xml:space="preserve"> </w:t>
            </w:r>
            <w:r>
              <w:rPr>
                <w:rStyle w:val="VerbatimChar"/>
                <w:i/>
                <w:iCs/>
              </w:rPr>
              <w:t xml:space="preserve">mdl_key</w:t>
            </w:r>
            <w:r>
              <w:rPr>
                <w:i/>
                <w:iCs/>
              </w:rPr>
              <w:t xml:space="preserve">;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 relative to v6</w:t>
            </w:r>
          </w:p>
        </w:tc>
      </w:tr>
      <w:tr>
        <w:trPr>
          <w:cantSplit/>
        </w:trPr>
        <w:tc>
          <w:tcPr>
            <w:tcMar>
              <w:top w:w="108" w:type="dxa"/>
              <w:bottom w:w="108" w:type="dxa"/>
            </w:tcMar>
          </w:tcPr>
          <w:p>
            <w:pPr>
              <w:pStyle w:val="BodyText"/>
            </w:pPr>
            <w:pPr>
              <w:spacing w:before="16"/>
            </w:pPr>
            <w:r>
              <w:rPr>
                <w:i/>
                <w:iCs/>
              </w:rPr>
              <w:t xml:space="preserve">Validity decoupled from Program Areas</w:t>
            </w:r>
          </w:p>
          <w:p>
            <w:pPr>
              <w:pStyle w:val="BodyText"/>
            </w:pPr>
            <w:r>
              <w:rPr>
                <w:b/>
                <w:bCs/>
              </w:rPr>
              <w:t xml:space="preserve">Methods</w:t>
            </w:r>
            <w:r>
              <w:t xml:space="preserve"> </w:t>
            </w:r>
            <w:r>
              <w:t xml:space="preserve">— Scores are recomputed over the full set, with negligible effect: 18 of 20 Program Areas are unchanged.</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 single subregion also carries a composite score, which is a by-product of the study-area rollup rather than a reporting unit.</w:t>
            </w:r>
            <w:r>
              <w:t xml:space="preserve"> </w:t>
            </w:r>
            <w:r>
              <w:rPr>
                <w:i/>
                <w:iCs/>
              </w:rPr>
              <w:t xml:space="preserve">(measured: 20 programarea, 1 subregion scored on the composite metric.)</w:t>
            </w:r>
          </w:p>
          <w:p>
            <w:pPr>
              <w:pStyle w:val="BodyText"/>
            </w:pPr>
            <w:r>
              <w:rPr>
                <w:b/>
                <w:bCs/>
              </w:rPr>
              <w:t xml:space="preserve">Scope</w:t>
            </w:r>
            <w:r>
              <w:t xml:space="preserve"> </w:t>
            </w:r>
            <w:r>
              <w:t xml:space="preserve">—</w:t>
            </w:r>
            <w:r>
              <w:t xml:space="preserve"> </w:t>
            </w:r>
            <w:r>
              <w:rPr>
                <w:b/>
                <w:bCs/>
              </w:rPr>
              <w:t xml:space="preserve">Validity is decoupled from Program Areas.</w:t>
            </w:r>
            <w:r>
              <w:t xml:space="preserve"> </w:t>
            </w:r>
            <w:r>
              <w:t xml:space="preserve">Earlier releases silently required a species to overlap a current Program Area to count as valid, which hid biodiversity outside the program cycle’s footprint. Validity now means a taxonomically valid species with a modeled distribution anywhere in the study area, and Program-Area membership becomes a spatial query answered afterwards. The count rises sharply</w:t>
            </w:r>
            <w:r>
              <w:t xml:space="preserve"> </w:t>
            </w:r>
            <w:r>
              <w:rPr>
                <w:b/>
                <w:bCs/>
              </w:rPr>
              <w:t xml:space="preserve">without a single species being added</w:t>
            </w:r>
            <w:r>
              <w:t xml:space="preserve">.</w:t>
            </w:r>
          </w:p>
          <w:p>
            <w:pPr>
              <w:pStyle w:val="BodyText"/>
            </w:pPr>
            <w:pPr>
              <w:spacing w:after="16"/>
            </w:pPr>
            <w:r>
              <w:rPr>
                <w:i/>
                <w:iCs/>
              </w:rPr>
              <w:t xml:space="preserve">Measured against v6: valid species 9,424 → 16,153;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v6, relative to v5</w:t>
            </w:r>
          </w:p>
        </w:tc>
      </w:tr>
      <w:tr>
        <w:trPr>
          <w:cantSplit/>
        </w:trPr>
        <w:tc>
          <w:tcPr>
            <w:tcMar>
              <w:top w:w="108" w:type="dxa"/>
              <w:bottom w:w="108" w:type="dxa"/>
            </w:tcMar>
          </w:tcPr>
          <w:p>
            <w:pPr>
              <w:pStyle w:val="BodyText"/>
            </w:pPr>
            <w:pPr>
              <w:spacing w:before="16"/>
            </w:pPr>
            <w:r>
              <w:rPr>
                <w:i/>
                <w:iCs/>
              </w:rPr>
              <w:t xml:space="preserve">IUCN range outside US EEZ</w:t>
            </w:r>
          </w:p>
          <w:p>
            <w:pPr>
              <w:pStyle w:val="BodyText"/>
            </w:pPr>
            <w:r>
              <w:rPr>
                <w:b/>
                <w:bCs/>
              </w:rPr>
              <w:t xml:space="preserve">Datasets</w:t>
            </w:r>
            <w:r>
              <w:t xml:space="preserve"> </w:t>
            </w:r>
            <w:r>
              <w:t xml:space="preserve">— Three missing marine-mammal IUCN ranges ingested from a more complete download.</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Species whose</w:t>
            </w:r>
            <w:r>
              <w:t xml:space="preserve"> </w:t>
            </w:r>
            <w:r>
              <w:rPr>
                <w:b/>
                <w:bCs/>
              </w:rPr>
              <w:t xml:space="preserve">IUCN expert range lies entirely outside the US EEZ</w:t>
            </w:r>
            <w:r>
              <w:t xml:space="preserve"> </w:t>
            </w:r>
            <w:r>
              <w:t xml:space="preserve">are excluded. Their apparent presence in US waters was an edge-of-range artifact of environmental-envelope prediction, with near-zero suitability, so the effect on scores is negligible even though the species count drops.</w:t>
            </w:r>
          </w:p>
          <w:p>
            <w:pPr>
              <w:pStyle w:val="BodyText"/>
            </w:pPr>
            <w:pPr>
              <w:spacing w:after="16"/>
            </w:pPr>
            <w:r>
              <w:rPr>
                <w:i/>
                <w:iCs/>
              </w:rPr>
              <w:t xml:space="preserve">Measured against v5: valid species 9,795 → 9,424.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v5, relative to v4b</w:t>
            </w:r>
          </w:p>
        </w:tc>
      </w:tr>
      <w:tr>
        <w:trPr>
          <w:cantSplit/>
        </w:trPr>
        <w:tc>
          <w:tcPr>
            <w:tcMar>
              <w:top w:w="108" w:type="dxa"/>
              <w:bottom w:w="108" w:type="dxa"/>
            </w:tcMar>
          </w:tcPr>
          <w:p>
            <w:pPr>
              <w:pStyle w:val="BodyText"/>
            </w:pPr>
            <w:pPr>
              <w:spacing w:before="16"/>
            </w:pPr>
            <w:r>
              <w:rPr>
                <w:i/>
                <w:iCs/>
              </w:rPr>
              <w:t xml:space="preserve">MMPA spatial floor</w:t>
            </w:r>
          </w:p>
          <w:p>
            <w:pPr>
              <w:pStyle w:val="BodyText"/>
            </w:pPr>
            <w:r>
              <w:rPr>
                <w:b/>
                <w:bCs/>
              </w:rPr>
              <w:t xml:space="preserve">Methods</w:t>
            </w:r>
            <w:r>
              <w:t xml:space="preserve"> </w:t>
            </w:r>
            <w:r>
              <w:t xml:space="preserve">— The</w:t>
            </w:r>
            <w:r>
              <w:t xml:space="preserve"> </w:t>
            </w:r>
            <w:r>
              <w:rPr>
                <w:b/>
                <w:bCs/>
              </w:rPr>
              <w:t xml:space="preserve">MMPA floor is corrected</w:t>
            </w:r>
            <w:r>
              <w:t xml:space="preserve"> </w:t>
            </w:r>
            <w:r>
              <w:t xml:space="preserve">for FWS-managed marine mammals — walrus, polar bear, sea otter, manatee and dugong — which had been missed because the protection flag was derived from the NMFS Species Directory alone.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v4b: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v4b, relative to v4</w:t>
            </w:r>
          </w:p>
        </w:tc>
      </w:tr>
      <w:tr>
        <w:trPr>
          <w:cantSplit/>
        </w:trPr>
        <w:tc>
          <w:tcPr>
            <w:tcMar>
              <w:top w:w="108" w:type="dxa"/>
              <w:bottom w:w="108" w:type="dxa"/>
            </w:tcMar>
          </w:tcPr>
          <w:p>
            <w:pPr>
              <w:pStyle w:val="BodyText"/>
            </w:pPr>
            <w:pPr>
              <w:spacing w:before="16"/>
            </w:pPr>
            <w:r>
              <w:rPr>
                <w:i/>
                <w:iCs/>
              </w:rPr>
              <w:t xml:space="preserve">Turtle multiplicative merge</w:t>
            </w:r>
          </w:p>
          <w:p>
            <w:pPr>
              <w:pStyle w:val="BodyText"/>
            </w:pPr>
            <w:r>
              <w:rPr>
                <w:b/>
                <w:bCs/>
              </w:rPr>
              <w:t xml:space="preserve">Methods</w:t>
            </w:r>
            <w:r>
              <w:t xml:space="preserve"> </w:t>
            </w:r>
            <w:r>
              <w:t xml:space="preserve">— The</w:t>
            </w:r>
            <w:r>
              <w:t xml:space="preserve"> </w:t>
            </w:r>
            <w:r>
              <w:rPr>
                <w:b/>
                <w:bCs/>
              </w:rPr>
              <w:t xml:space="preserve">multiplicative turtle merge</w:t>
            </w:r>
            <w:r>
              <w:t xml:space="preserve">: for sea turtles the DPS extinction-risk surface is multiplied into the suitability surface during merging, with critical habitat overriding by maximum. Risk therefore varies spatially within a species. These taxa pass</w:t>
            </w:r>
            <w:r>
              <w:t xml:space="preserve"> </w:t>
            </w:r>
            <w:r>
              <w:rPr>
                <w:rStyle w:val="VerbatimChar"/>
              </w:rPr>
              <w:t xml:space="preserve">er_score = 100</w:t>
            </w:r>
            <w:r>
              <w:t xml:space="preserve"> </w:t>
            </w:r>
            <w:r>
              <w:t xml:space="preserve">through at scoring so the risk already embedded in their values is not counted twice. From here the toolkit has</w:t>
            </w:r>
            <w:r>
              <w:t xml:space="preserve"> </w:t>
            </w:r>
            <w:r>
              <w:rPr>
                <w:b/>
                <w:bCs/>
              </w:rPr>
              <w:t xml:space="preserve">two</w:t>
            </w:r>
            <w:r>
              <w:t xml:space="preserve"> </w:t>
            </w:r>
            <w:r>
              <w:t xml:space="preserve">merge strategies rather than 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 relative to v3</w:t>
            </w:r>
          </w:p>
        </w:tc>
      </w:tr>
      <w:tr>
        <w:trPr>
          <w:cantSplit/>
        </w:trPr>
        <w:tc>
          <w:tcPr>
            <w:tcMar>
              <w:top w:w="108" w:type="dxa"/>
              <w:bottom w:w="108" w:type="dxa"/>
            </w:tcMar>
          </w:tcPr>
          <w:p>
            <w:pPr>
              <w:pStyle w:val="BodyText"/>
            </w:pPr>
            <w:pPr>
              <w:spacing w:before="16"/>
            </w:pPr>
            <w:r>
              <w:rPr>
                <w:i/>
                <w:iCs/>
              </w:rPr>
              <w:t xml:space="preserve">SWOT sea turtles</w:t>
            </w:r>
          </w:p>
          <w:p>
            <w:pPr>
              <w:pStyle w:val="BodyText"/>
            </w:pPr>
            <w:r>
              <w:rPr>
                <w:b/>
                <w:bCs/>
              </w:rPr>
              <w:t xml:space="preserve">Datasets</w:t>
            </w:r>
            <w:r>
              <w:t xml:space="preserve"> </w:t>
            </w:r>
            <w:r>
              <w:t xml:space="preserve">—</w:t>
            </w:r>
            <w:r>
              <w:t xml:space="preserve"> </w:t>
            </w:r>
            <w:r>
              <w:rPr>
                <w:b/>
                <w:bCs/>
              </w:rPr>
              <w:t xml:space="preserve">SWOT sea turtle ranges</w:t>
            </w:r>
            <w:r>
              <w:t xml:space="preserve"> </w:t>
            </w:r>
            <w:r>
              <w:t xml:space="preserve">and</w:t>
            </w:r>
            <w:r>
              <w:t xml:space="preserve"> </w:t>
            </w:r>
            <w:r>
              <w:rPr>
                <w:b/>
                <w:bCs/>
              </w:rPr>
              <w:t xml:space="preserve">NOAA Distinct Population Segment</w:t>
            </w:r>
            <w:r>
              <w:t xml:space="preserve"> </w:t>
            </w:r>
            <w:r>
              <w:t xml:space="preserve">polygons added, replacing the IUCN range as the global mask for all six sea turtle species. Their role is unusual: the DPS polygons carry</w:t>
            </w:r>
            <w:r>
              <w:t xml:space="preserve"> </w:t>
            </w:r>
            <w:r>
              <w:rPr>
                <w:b/>
                <w:bCs/>
              </w:rPr>
              <w:t xml:space="preserve">ESA listing status spatially</w:t>
            </w:r>
            <w:r>
              <w:t xml:space="preserve"> </w:t>
            </w:r>
            <w:r>
              <w:t xml:space="preserve">(Endangered vs Threatened by region), rather than as one scalar per species — the first input to vary extinction risk</w:t>
            </w:r>
            <w:r>
              <w:t xml:space="preserve"> </w:t>
            </w:r>
            <w:r>
              <w:rPr>
                <w:i/>
                <w:iCs/>
              </w:rPr>
              <w:t xml:space="preserve">within</w:t>
            </w:r>
            <w:r>
              <w:t xml:space="preserve"> </w:t>
            </w:r>
            <w:r>
              <w:t xml:space="preserve">a species’ range.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Turtle distributions become substantially more restrictive, since the IUCN and AquaMaps ranges both extended well beyond where the species actually occur.</w:t>
            </w:r>
          </w:p>
          <w:p>
            <w:pPr>
              <w:pStyle w:val="BodyText"/>
            </w:pPr>
            <w:pPr>
              <w:spacing w:after="16"/>
            </w:pPr>
            <w:r>
              <w:rPr>
                <w:i/>
                <w:iCs/>
              </w:rPr>
              <w:t xml:space="preserve">Measured against v3: datasets added:</w:t>
            </w:r>
            <w:r>
              <w:rPr>
                <w:i/>
                <w:iCs/>
              </w:rPr>
              <w:t xml:space="preserve"> </w:t>
            </w:r>
            <w:r>
              <w:rPr>
                <w:rStyle w:val="VerbatimChar"/>
                <w:i/>
                <w:iCs/>
              </w:rPr>
              <w:t xml:space="preserve">rng_turtle_swot_dps</w:t>
            </w:r>
            <w:r>
              <w:rPr>
                <w:i/>
                <w:iCs/>
              </w:rPr>
              <w:t xml:space="preserve">;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v3, relative to v2</w:t>
            </w:r>
          </w:p>
        </w:tc>
      </w:tr>
      <w:tr>
        <w:trPr>
          <w:cantSplit/>
        </w:trPr>
        <w:tc>
          <w:tcPr>
            <w:tcMar>
              <w:top w:w="108" w:type="dxa"/>
              <w:bottom w:w="108" w:type="dxa"/>
            </w:tcMar>
          </w:tcPr>
          <w:p>
            <w:pPr>
              <w:pStyle w:val="BodyText"/>
            </w:pPr>
            <w:pPr>
              <w:spacing w:before="16"/>
            </w:pPr>
            <w:r>
              <w:rPr>
                <w:i/>
                <w:iCs/>
              </w:rPr>
              <w:t xml:space="preserve">Merged models + extinction risk</w:t>
            </w:r>
          </w:p>
          <w:p>
            <w:pPr>
              <w:pStyle w:val="BodyText"/>
            </w:pPr>
            <w:r>
              <w:rPr>
                <w:b/>
                <w:bCs/>
              </w:rPr>
              <w:t xml:space="preserve">Datasets</w:t>
            </w:r>
            <w:r>
              <w:t xml:space="preserve"> </w:t>
            </w:r>
            <w:r>
              <w:t xml:space="preserve">—</w:t>
            </w:r>
            <w:r>
              <w:t xml:space="preserve"> </w:t>
            </w:r>
            <w:r>
              <w:rPr>
                <w:b/>
                <w:bCs/>
              </w:rPr>
              <w:t xml:space="preserve">NMFS core areas</w:t>
            </w:r>
            <w:r>
              <w:t xml:space="preserve"> </w:t>
            </w:r>
            <w:r>
              <w:t xml:space="preserve">added — designated regions of concentrated use, a targeted high-confidence habitat indicator rather than a broad-coverage model.</w:t>
            </w:r>
          </w:p>
          <w:p>
            <w:pPr>
              <w:pStyle w:val="BodyText"/>
            </w:pPr>
            <w:r>
              <w:rPr>
                <w:b/>
                <w:bCs/>
              </w:rPr>
              <w:t xml:space="preserve">Methods</w:t>
            </w:r>
            <w:r>
              <w:t xml:space="preserve"> </w:t>
            </w:r>
            <w:r>
              <w:t xml:space="preserve">— Extinction risk is reworked into a single</w:t>
            </w:r>
            <w:r>
              <w:t xml:space="preserve"> </w:t>
            </w:r>
            <w:r>
              <w:rPr>
                <w:b/>
                <w:bCs/>
              </w:rPr>
              <w:t xml:space="preserve">governing</w:t>
            </w:r>
            <w:r>
              <w:rPr>
                <w:b/>
                <w:bCs/>
              </w:rPr>
              <w:t xml:space="preserve"> </w:t>
            </w:r>
            <w:r>
              <w:rPr>
                <w:rStyle w:val="VerbatimChar"/>
                <w:b/>
                <w:bCs/>
              </w:rPr>
              <w:t xml:space="preserve">er_score</w:t>
            </w:r>
            <w:r>
              <w:t xml:space="preserve"> </w:t>
            </w:r>
            <w:r>
              <w:t xml:space="preserve">per taxon, taken as the most protective across its datasets with a US national listing overriding the international IUCN category, plus statutory floors for the</w:t>
            </w:r>
            <w:r>
              <w:t xml:space="preserve"> </w:t>
            </w:r>
            <w:r>
              <w:rPr>
                <w:b/>
                <w:bCs/>
              </w:rPr>
              <w:t xml:space="preserve">MMPA</w:t>
            </w:r>
            <w:r>
              <w:t xml:space="preserve"> </w:t>
            </w:r>
            <w:r>
              <w:t xml:space="preserve">(marine mammals) and</w:t>
            </w:r>
            <w:r>
              <w:t xml:space="preserve"> </w:t>
            </w:r>
            <w:r>
              <w:rPr>
                <w:b/>
                <w:bCs/>
              </w:rPr>
              <w:t xml:space="preserve">MBTA</w:t>
            </w:r>
            <w:r>
              <w:t xml:space="preserve"> </w:t>
            </w:r>
            <w:r>
              <w:t xml:space="preserve">(migratory birds). Merging now runs for</w:t>
            </w:r>
            <w:r>
              <w:t xml:space="preserve"> </w:t>
            </w:r>
            <w:r>
              <w:rPr>
                <w:b/>
                <w:bCs/>
              </w:rPr>
              <w:t xml:space="preserve">every</w:t>
            </w:r>
            <w:r>
              <w:t xml:space="preserve"> </w:t>
            </w:r>
            <w:r>
              <w:t xml:space="preserve">taxon, masked to the IUCN range where one exists.</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w:t>
            </w:r>
            <w:r>
              <w:t xml:space="preserve">only. The Planning Area geometry is still carried in the database, and a couple of non-composite metrics with it, but no composite score is computed for it — from here on, Planning Areas are history rather than a reporting unit.</w:t>
            </w:r>
            <w:r>
              <w:t xml:space="preserve"> </w:t>
            </w:r>
            <w:r>
              <w:rPr>
                <w:i/>
                <w:iCs/>
              </w:rPr>
              <w:t xml:space="preserve">(measured: 20 programarea scored on the composite metric.)</w:t>
            </w:r>
          </w:p>
          <w:p>
            <w:pPr>
              <w:pStyle w:val="BodyText"/>
            </w:pPr>
            <w:r>
              <w:rPr>
                <w:b/>
                <w:bCs/>
              </w:rPr>
              <w:t xml:space="preserve">Scope</w:t>
            </w:r>
            <w:r>
              <w:t xml:space="preserve"> </w:t>
            </w:r>
            <w:r>
              <w:t xml:space="preserve">— Taxonomy is tightened: every source name resolves to a canonical WoRMS or BirdLife identity, and non-marine and extinct taxa are dropped. Sea turtles become their own category, and non-turtle reptiles stop being scored. This roughly halves the valid-species count — a change in</w:t>
            </w:r>
            <w:r>
              <w:t xml:space="preserve"> </w:t>
            </w:r>
            <w:r>
              <w:rPr>
                <w:b/>
                <w:bCs/>
              </w:rPr>
              <w:t xml:space="preserve">definition</w:t>
            </w:r>
            <w:r>
              <w:t xml:space="preserve">, not a loss of data.</w:t>
            </w:r>
          </w:p>
          <w:p>
            <w:pPr>
              <w:pStyle w:val="BodyText"/>
            </w:pPr>
            <w:pPr>
              <w:spacing w:after="16"/>
            </w:pPr>
            <w:r>
              <w:rPr>
                <w:i/>
                <w:iCs/>
              </w:rPr>
              <w:t xml:space="preserve">Measured against v2: datasets added:</w:t>
            </w:r>
            <w:r>
              <w:rPr>
                <w:i/>
                <w:iCs/>
              </w:rPr>
              <w:t xml:space="preserve"> </w:t>
            </w:r>
            <w:r>
              <w:rPr>
                <w:rStyle w:val="VerbatimChar"/>
                <w:i/>
                <w:iCs/>
              </w:rPr>
              <w:t xml:space="preserve">ca_nmfs</w:t>
            </w:r>
            <w:r>
              <w:rPr>
                <w:i/>
                <w:iCs/>
              </w:rPr>
              <w:t xml:space="preserve">; valid species 17,353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v2, relative to v1</w:t>
            </w:r>
          </w:p>
        </w:tc>
      </w:tr>
      <w:tr>
        <w:trPr>
          <w:cantSplit/>
        </w:trPr>
        <w:tc>
          <w:tcPr>
            <w:tcMar>
              <w:top w:w="108" w:type="dxa"/>
              <w:bottom w:w="108" w:type="dxa"/>
            </w:tcMar>
          </w:tcPr>
          <w:p>
            <w:pPr>
              <w:pStyle w:val="BodyText"/>
            </w:pPr>
            <w:pPr>
              <w:spacing w:before="16"/>
            </w:pPr>
            <w:r>
              <w:rPr>
                <w:i/>
                <w:iCs/>
              </w:rPr>
              <w:t xml:space="preserve">Program Areas</w:t>
            </w:r>
          </w:p>
          <w:p>
            <w:pPr>
              <w:pStyle w:val="BodyText"/>
            </w:pPr>
            <w:r>
              <w:rPr>
                <w:b/>
                <w:bCs/>
              </w:rPr>
              <w:t xml:space="preserve">Datasets</w:t>
            </w:r>
            <w:r>
              <w:t xml:space="preserve"> </w:t>
            </w:r>
            <w:r>
              <w:t xml:space="preserve">—</w:t>
            </w:r>
            <w:r>
              <w:t xml:space="preserve"> </w:t>
            </w:r>
            <w:r>
              <w:rPr>
                <w:b/>
                <w:bCs/>
              </w:rPr>
              <w:t xml:space="preserve">IUCN Red List range maps</w:t>
            </w:r>
            <w:r>
              <w:t xml:space="preserve"> </w:t>
            </w:r>
            <w:r>
              <w:t xml:space="preserve">added, and used as the global</w:t>
            </w:r>
            <w:r>
              <w:t xml:space="preserve"> </w:t>
            </w:r>
            <w:r>
              <w:rPr>
                <w:b/>
                <w:bCs/>
              </w:rPr>
              <w:t xml:space="preserve">mask</w:t>
            </w:r>
            <w:r>
              <w:t xml:space="preserve"> </w:t>
            </w:r>
            <w:r>
              <w:t xml:space="preserve">— constraining AquaMaps predictions to the expert-assessed range rather than contributing a value of their own.</w:t>
            </w:r>
          </w:p>
          <w:p>
            <w:pPr>
              <w:pStyle w:val="BodyText"/>
            </w:pPr>
            <w:r>
              <w:rPr>
                <w:b/>
                <w:bCs/>
              </w:rPr>
              <w:t xml:space="preserve">Methods</w:t>
            </w:r>
            <w:r>
              <w:t xml:space="preserve"> </w:t>
            </w:r>
            <w:r>
              <w:t xml:space="preserve">— A model-merging pipeline is introduced, producing one merged surface per taxon where a taxon has more than one source.</w:t>
            </w:r>
          </w:p>
          <w:p>
            <w:pPr>
              <w:pStyle w:val="BodyText"/>
            </w:pPr>
            <w:r>
              <w:rPr>
                <w:b/>
                <w:bCs/>
              </w:rPr>
              <w:t xml:space="preserve">Reported units</w:t>
            </w:r>
            <w:r>
              <w:t xml:space="preserve"> </w:t>
            </w:r>
            <w:r>
              <w:t xml:space="preserve">— The</w:t>
            </w:r>
            <w:r>
              <w:t xml:space="preserve"> </w:t>
            </w:r>
            <w:r>
              <w:rPr>
                <w:b/>
                <w:bCs/>
              </w:rPr>
              <w:t xml:space="preserve">transitional</w:t>
            </w:r>
            <w:r>
              <w:t xml:space="preserve"> </w:t>
            </w:r>
            <w:r>
              <w:t xml:space="preserve">release: scores are reported on</w:t>
            </w:r>
            <w:r>
              <w:t xml:space="preserve"> </w:t>
            </w:r>
            <w:r>
              <w:rPr>
                <w:b/>
                <w:bCs/>
              </w:rPr>
              <w:t xml:space="preserve">both</w:t>
            </w:r>
            <w:r>
              <w:t xml:space="preserve"> </w:t>
            </w:r>
            <w:r>
              <w:t xml:space="preserve">the 36 Planning Areas and the new 20 Program Areas, so the two can be compared directly on the same underlying data. This is the only release that scores both.</w:t>
            </w:r>
            <w:r>
              <w:t xml:space="preserve"> </w:t>
            </w:r>
            <w:r>
              <w:rPr>
                <w:i/>
                <w:iCs/>
              </w:rPr>
              <w:t xml:space="preserve">(measured: 36 planarea, 20 programarea scored on the composite metric.)</w:t>
            </w:r>
          </w:p>
          <w:p>
            <w:pPr>
              <w:pStyle w:val="BodyText"/>
            </w:pPr>
            <w:r>
              <w:rPr>
                <w:b/>
                <w:bCs/>
              </w:rPr>
              <w:t xml:space="preserve">Scope</w:t>
            </w:r>
            <w:r>
              <w:t xml:space="preserve"> </w:t>
            </w:r>
            <w:r>
              <w:t xml:space="preserve">— The</w:t>
            </w:r>
            <w:r>
              <w:t xml:space="preserve"> </w:t>
            </w:r>
            <w:r>
              <w:rPr>
                <w:b/>
                <w:bCs/>
              </w:rPr>
              <w:t xml:space="preserve">BOEM Program Areas</w:t>
            </w:r>
            <w:r>
              <w:t xml:space="preserve"> </w:t>
            </w:r>
            <w:r>
              <w:t xml:space="preserve">of the 2026 program cycle are introduced. They do not yet</w:t>
            </w:r>
            <w:r>
              <w:t xml:space="preserve"> </w:t>
            </w:r>
            <w:r>
              <w:rPr>
                <w:i/>
                <w:iCs/>
              </w:rPr>
              <w:t xml:space="preserve">replace</w:t>
            </w:r>
            <w:r>
              <w:t xml:space="preserve"> </w:t>
            </w:r>
            <w:r>
              <w:t xml:space="preserve">the Planning Areas — this release scores both, and the changeover completes at v3.</w:t>
            </w:r>
          </w:p>
          <w:p>
            <w:pPr>
              <w:pStyle w:val="BodyText"/>
            </w:pPr>
            <w:r>
              <w:rPr>
                <w:b/>
                <w:bCs/>
              </w:rPr>
              <w:t xml:space="preserve">Technology</w:t>
            </w:r>
            <w:r>
              <w:t xml:space="preserve"> </w:t>
            </w:r>
            <w:r>
              <w:t xml:space="preserve">— Individual model layers are published, and distributions are stored as cloud-optimized GeoTIFFs.</w:t>
            </w:r>
          </w:p>
          <w:p>
            <w:pPr>
              <w:pStyle w:val="BodyText"/>
            </w:pPr>
            <w:pPr>
              <w:spacing w:after="16"/>
            </w:pPr>
            <w:r>
              <w:rPr>
                <w:i/>
                <w:iCs/>
              </w:rPr>
              <w:t xml:space="preserve">Measured against v1: datasets added:</w:t>
            </w:r>
            <w:r>
              <w:rPr>
                <w:i/>
                <w:iCs/>
              </w:rPr>
              <w:t xml:space="preserve"> </w:t>
            </w:r>
            <w:r>
              <w:rPr>
                <w:rStyle w:val="VerbatimChar"/>
                <w:i/>
                <w:iCs/>
              </w:rPr>
              <w:t xml:space="preserve">rng_iucn</w:t>
            </w:r>
            <w:r>
              <w:rPr>
                <w:i/>
                <w:iCs/>
              </w:rPr>
              <w:t xml:space="preserve">; valid species 17,379 → 17,353;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v1 — the basis everything since builds on</w:t>
            </w:r>
          </w:p>
        </w:tc>
      </w:tr>
      <w:tr>
        <w:trPr>
          <w:cantSplit/>
        </w:trPr>
        <w:tc>
          <w:tcPr>
            <w:tcMar>
              <w:top w:w="108" w:type="dxa"/>
              <w:bottom w:w="108" w:type="dxa"/>
            </w:tcMar>
          </w:tcPr>
          <w:p>
            <w:pPr>
              <w:pStyle w:val="BodyText"/>
            </w:pPr>
            <w:pPr>
              <w:spacing w:before="16"/>
            </w:pPr>
            <w:r>
              <w:rPr>
                <w:i/>
                <w:iCs/>
              </w:rPr>
              <w:t xml:space="preserve">Planning Areas</w:t>
            </w:r>
          </w:p>
          <w:p>
            <w:pPr>
              <w:pStyle w:val="BodyText"/>
            </w:pPr>
            <w:r>
              <w:rPr>
                <w:b/>
                <w:bCs/>
              </w:rPr>
              <w:t xml:space="preserve">Datasets</w:t>
            </w:r>
            <w:r>
              <w:t xml:space="preserve"> </w:t>
            </w:r>
            <w:r>
              <w:t xml:space="preserve">—</w:t>
            </w:r>
            <w:r>
              <w:t xml:space="preserve"> </w:t>
            </w:r>
            <w:r>
              <w:rPr>
                <w:b/>
                <w:bCs/>
              </w:rPr>
              <w:t xml:space="preserve">AquaMaps</w:t>
            </w:r>
            <w:r>
              <w:t xml:space="preserve"> </w:t>
            </w:r>
            <w:r>
              <w:t xml:space="preserve">global environmental-envelope models supply the distribution of nearly every species, with</w:t>
            </w:r>
            <w:r>
              <w:t xml:space="preserve"> </w:t>
            </w:r>
            <w:r>
              <w:rPr>
                <w:b/>
                <w:bCs/>
              </w:rPr>
              <w:t xml:space="preserve">BirdLife</w:t>
            </w:r>
            <w:r>
              <w:t xml:space="preserve"> </w:t>
            </w:r>
            <w:r>
              <w:t xml:space="preserve">expert ranges for birds. NMFS/FWS critical habitat and FWS ranges are present only as a small pilot. Continuous suitability is used as published; expert range polygons take a 50% presence value by convention, since an extent-of-occurrence boundary asserts presence</w:t>
            </w:r>
            <w:r>
              <w:t xml:space="preserve"> </w:t>
            </w:r>
            <w:r>
              <w:rPr>
                <w:i/>
                <w:iCs/>
              </w:rPr>
              <w:t xml:space="preserve">somewhere</w:t>
            </w:r>
            <w:r>
              <w:t xml:space="preserve"> </w:t>
            </w:r>
            <w:r>
              <w:t xml:space="preserve">within it rather than throughout.</w:t>
            </w:r>
          </w:p>
          <w:p>
            <w:pPr>
              <w:pStyle w:val="BodyText"/>
            </w:pPr>
            <w:r>
              <w:rPr>
                <w:b/>
                <w:bCs/>
              </w:rPr>
              <w:t xml:space="preserve">Methods</w:t>
            </w:r>
            <w:r>
              <w:t xml:space="preserve"> </w:t>
            </w:r>
            <w:r>
              <w:t xml:space="preserve">— A cell’s score is the sum, over the species present, of presence × extinction-risk weight, computed separately per species category. Weights are the IUCN</w:t>
            </w:r>
            <w:r>
              <w:t xml:space="preserve"> </w:t>
            </w:r>
            <w:r>
              <w:rPr>
                <w:b/>
                <w:bCs/>
              </w:rPr>
              <w:t xml:space="preserve">equal-steps</w:t>
            </w:r>
            <w:r>
              <w:t xml:space="preserve"> </w:t>
            </w:r>
            <w:r>
              <w:t xml:space="preserve">scale used by the Red List Index and the STAR metric, rescaled so Least Concern keeps a non-zero weight — so overall biological richness stays part of the signal rather than the score being driven entirely by the few threatened species. Cell scores are then rescaled</w:t>
            </w:r>
            <w:r>
              <w:t xml:space="preserve"> </w:t>
            </w:r>
            <w:r>
              <w:rPr>
                <w:b/>
                <w:bCs/>
              </w:rPr>
              <w:t xml:space="preserve">within each BOEM Ecoregion</w:t>
            </w:r>
            <w:r>
              <w:t xml:space="preserve"> </w:t>
            </w:r>
            <w:r>
              <w:t xml:space="preserve">and aggregated by area-weighted mean.</w:t>
            </w:r>
          </w:p>
          <w:p>
            <w:pPr>
              <w:pStyle w:val="BodyText"/>
            </w:pPr>
            <w:r>
              <w:rPr>
                <w:b/>
                <w:bCs/>
              </w:rPr>
              <w:t xml:space="preserve">Reported units</w:t>
            </w:r>
            <w:r>
              <w:t xml:space="preserve"> </w:t>
            </w:r>
            <w:r>
              <w:t xml:space="preserve">— Scores are reported on the</w:t>
            </w:r>
            <w:r>
              <w:t xml:space="preserve"> </w:t>
            </w:r>
            <w:r>
              <w:rPr>
                <w:b/>
                <w:bCs/>
              </w:rPr>
              <w:t xml:space="preserve">36 OCS Planning Areas</w:t>
            </w:r>
            <w:r>
              <w:t xml:space="preserve"> </w:t>
            </w:r>
            <w:r>
              <w:t xml:space="preserve">and the</w:t>
            </w:r>
            <w:r>
              <w:t xml:space="preserve"> </w:t>
            </w:r>
            <w:r>
              <w:rPr>
                <w:b/>
                <w:bCs/>
              </w:rPr>
              <w:t xml:space="preserve">12 BOEM Ecoregions</w:t>
            </w:r>
            <w:r>
              <w:t xml:space="preserve">. v1 predates the Program Areas entirely — its database contains none, which is why a Program Area view of v1 is empty rather than merely uninteresting.</w:t>
            </w:r>
            <w:r>
              <w:t xml:space="preserve"> </w:t>
            </w:r>
            <w:r>
              <w:rPr>
                <w:i/>
                <w:iCs/>
              </w:rPr>
              <w:t xml:space="preserve">(measured: 36 planarea, 12 ecoregion scored on the composite metric.)</w:t>
            </w:r>
          </w:p>
          <w:p>
            <w:pPr>
              <w:pStyle w:val="BodyText"/>
            </w:pPr>
            <w:r>
              <w:rPr>
                <w:b/>
                <w:bCs/>
              </w:rPr>
              <w:t xml:space="preserve">Scope</w:t>
            </w:r>
            <w:r>
              <w:t xml:space="preserve"> </w:t>
            </w:r>
            <w:r>
              <w:t xml:space="preserve">— Marine relevance is decided</w:t>
            </w:r>
            <w:r>
              <w:t xml:space="preserve"> </w:t>
            </w:r>
            <w:r>
              <w:rPr>
                <w:i/>
                <w:iCs/>
              </w:rPr>
              <w:t xml:space="preserve">spatially</w:t>
            </w:r>
            <w:r>
              <w:t xml:space="preserve"> </w:t>
            </w:r>
            <w:r>
              <w:t xml:space="preserve">— any model whose distribution reaches the study area is included — with no independent test of whether the species is marine. Models are merged only for the handful of taxa that have more than one source; every other species is scored directly from its single source model.</w:t>
            </w:r>
          </w:p>
          <w:p>
            <w:pPr>
              <w:pStyle w:val="BodyText"/>
            </w:pPr>
            <w:pPr>
              <w:spacing w:after="16"/>
            </w:pPr>
            <w:r>
              <w:rPr>
                <w:b/>
                <w:bCs/>
              </w:rPr>
              <w:t xml:space="preserve">Technology</w:t>
            </w:r>
            <w:r>
              <w:t xml:space="preserve"> </w:t>
            </w:r>
            <w:r>
              <w:t xml:space="preserve">— A 0.05° geographic (WGS84) grid, chosen because every input arrives on a latitude/longitude grid: analysing in geographic coordinates resamples each input once rather than twice. Area distortion is corrected arithmetically rather than by projection.</w:t>
            </w:r>
          </w:p>
          <w:p/>
        </w:tc>
      </w:tr>
    </w:tbl>
    <w:bookmarkEnd w:id="85"/>
    <w:bookmarkStart w:id="87" w:name="reading-an-older-release"/>
    <w:p>
      <w:pPr>
        <w:pStyle w:val="Heading2"/>
      </w:pPr>
      <w:r>
        <w:t xml:space="preserve">2.3 Reading an older release</w:t>
      </w:r>
    </w:p>
    <w:p>
      <w:pPr>
        <w:pStyle w:val="FirstParagraph"/>
      </w:pPr>
      <w:r>
        <w:t xml:space="preserve">Every release remains published and readable:</w:t>
      </w:r>
    </w:p>
    <w:p>
      <w:pPr>
        <w:pStyle w:val="Compact"/>
        <w:numPr>
          <w:ilvl w:val="0"/>
          <w:numId w:val="1007"/>
        </w:numPr>
      </w:pPr>
      <w:r>
        <w:rPr>
          <w:b/>
          <w:bCs/>
        </w:rPr>
        <w:t xml:space="preserve">Documentation</w:t>
      </w:r>
      <w:r>
        <w:t xml:space="preserve"> </w:t>
      </w:r>
      <w:r>
        <w:t xml:space="preserve">— this book, at</w:t>
      </w:r>
      <w:r>
        <w:t xml:space="preserve"> </w:t>
      </w:r>
      <w:r>
        <w:rPr>
          <w:rStyle w:val="VerbatimChar"/>
        </w:rPr>
        <w:t xml:space="preserve">/{version}/</w:t>
      </w:r>
      <w:r>
        <w:t xml:space="preserve">; the sidebar switcher moves between builds and marks any version whose docs are not built.</w:t>
      </w:r>
    </w:p>
    <w:p>
      <w:pPr>
        <w:pStyle w:val="Compact"/>
        <w:numPr>
          <w:ilvl w:val="0"/>
          <w:numId w:val="1007"/>
        </w:numPr>
      </w:pPr>
      <w:r>
        <w:rPr>
          <w:b/>
          <w:bCs/>
        </w:rPr>
        <w:t xml:space="preserve">Applications</w:t>
      </w:r>
      <w:r>
        <w:t xml:space="preserve"> </w:t>
      </w:r>
      <w:r>
        <w:t xml:space="preserve">— the</w:t>
      </w:r>
      <w:r>
        <w:t xml:space="preserve"> </w:t>
      </w:r>
      <w:hyperlink r:id="rId86">
        <w:r>
          <w:rPr>
            <w:rStyle w:val="Hyperlink"/>
          </w:rPr>
          <w:t xml:space="preserve">Atlas</w:t>
        </w:r>
      </w:hyperlink>
      <w:r>
        <w:t xml:space="preserve">, substituting any published version in</w:t>
      </w:r>
      <w:r>
        <w:t xml:space="preserve"> </w:t>
      </w:r>
      <w:r>
        <w:rPr>
          <w:rStyle w:val="VerbatimChar"/>
        </w:rPr>
        <w:t xml:space="preserve">?ver=</w:t>
      </w:r>
      <w:r>
        <w:t xml:space="preserve"> </w:t>
      </w:r>
      <w:r>
        <w:t xml:space="preserve">(a restricted pre-release is reached only on the preview host, at</w:t>
      </w:r>
      <w:r>
        <w:t xml:space="preserve"> </w:t>
      </w:r>
      <w:r>
        <w:rPr>
          <w:rStyle w:val="VerbatimChar"/>
        </w:rPr>
        <w:t xml:space="preserve">/{version}/atlas/</w:t>
      </w:r>
      <w:r>
        <w:t xml:space="preserve">). The Scores and Species Shiny apps and their per-version forks are retired; their old URLs (</w:t>
      </w:r>
      <w:r>
        <w:rPr>
          <w:rStyle w:val="VerbatimChar"/>
        </w:rPr>
        <w:t xml:space="preserve">/v3/scores/</w:t>
      </w:r>
      <w:r>
        <w:t xml:space="preserve">,</w:t>
      </w:r>
      <w:r>
        <w:t xml:space="preserve"> </w:t>
      </w:r>
      <w:r>
        <w:rPr>
          <w:rStyle w:val="VerbatimChar"/>
        </w:rPr>
        <w:t xml:space="preserve">/v3/species/</w:t>
      </w:r>
      <w:r>
        <w:t xml:space="preserve">, an older</w:t>
      </w:r>
      <w:r>
        <w:t xml:space="preserve"> </w:t>
      </w:r>
      <w:r>
        <w:rPr>
          <w:rStyle w:val="VerbatimChar"/>
        </w:rPr>
        <w:t xml:space="preserve">?ver=v3</w:t>
      </w:r>
      <w:r>
        <w:t xml:space="preserve"> </w:t>
      </w:r>
      <w:r>
        <w:t xml:space="preserve">deep link) redirect to the equivalent Atlas view, so links printed in earlier reports still resolve to the release they always showed.</w:t>
      </w:r>
    </w:p>
    <w:p>
      <w:pPr>
        <w:pStyle w:val="Compact"/>
        <w:numPr>
          <w:ilvl w:val="0"/>
          <w:numId w:val="1007"/>
        </w:numPr>
      </w:pPr>
      <w:r>
        <w:rPr>
          <w:b/>
          <w:bCs/>
        </w:rPr>
        <w:t xml:space="preserve">Data</w:t>
      </w:r>
      <w:r>
        <w:t xml:space="preserve"> </w:t>
      </w:r>
      <w:r>
        <w:t xml:space="preserve">—</w:t>
      </w:r>
      <w:r>
        <w:t xml:space="preserve"> </w:t>
      </w:r>
      <w:r>
        <w:rPr>
          <w:rStyle w:val="VerbatimChar"/>
        </w:rPr>
        <w:t xml:space="preserve">marine-atlas/{version}/tables/*.parquet</w:t>
      </w:r>
      <w:r>
        <w:t xml:space="preserve"> </w:t>
      </w:r>
      <w:r>
        <w:t xml:space="preserve">on S3, readable directly by DuckDB (including in a browser) without downloading a database.</w:t>
      </w:r>
    </w:p>
    <w:p>
      <w:pPr>
        <w:pStyle w:val="FirstParagraph"/>
      </w:pPr>
      <w:r>
        <w:rPr>
          <w:b/>
          <w:bCs/>
        </w:rPr>
        <w:t xml:space="preserve">Promotion is deliberate and separate from publishing.</w:t>
      </w:r>
      <w:r>
        <w:t xml:space="preserve"> </w:t>
      </w:r>
      <w:r>
        <w:t xml:space="preserve">Writing data does not make a release current: the pointer that applications follow by default is only rewritten under an explicit flag, and may only name a released — never a pre-release — version. It currently names</w:t>
      </w:r>
      <w:r>
        <w:t xml:space="preserve"> </w:t>
      </w:r>
      <w:r>
        <w:rPr>
          <w:b/>
          <w:bCs/>
        </w:rPr>
        <w:t xml:space="preserve">v7</w:t>
      </w:r>
      <w:r>
        <w:t xml:space="preserve">.</w:t>
      </w:r>
    </w:p>
    <w:bookmarkEnd w:id="87"/>
    <w:bookmarkEnd w:id="88"/>
    <w:bookmarkStart w:id="109" w:name="sec-release-v1"/>
    <w:p>
      <w:pPr>
        <w:pStyle w:val="Heading1"/>
      </w:pPr>
      <w:r>
        <w:t xml:space="preserve">3. v1 — Planning Areas</w:t>
      </w:r>
    </w:p>
    <w:p>
      <w:pPr>
        <w:pStyle w:val="FirstParagraph"/>
      </w:pPr>
      <w:r>
        <w:t xml:space="preserve">v1 was the first delivered version of the Marine Sensitivity Toolkit, reported to BOEM’s Environmental Studies Program under contract 140M0123P0018 as the</w:t>
      </w:r>
      <w:r>
        <w:t xml:space="preserve"> </w:t>
      </w:r>
      <w:r>
        <w:rPr>
          <w:i/>
          <w:iCs/>
        </w:rPr>
        <w:t xml:space="preserve">Marine Sensitivity Toolkit</w:t>
      </w:r>
      <w:r>
        <w:t xml:space="preserve"> </w:t>
      </w:r>
      <w:r>
        <w:t xml:space="preserve">final report (2025).</w:t>
      </w:r>
    </w:p>
    <w:p>
      <w:pPr>
        <w:pStyle w:val="BodyText"/>
      </w:pPr>
      <w:r>
        <w:t xml:space="preserve">It is documented here in its own right because several of its choices — the conceptual framing, the extinction-risk weighting and its justification, and the honest account of what ecoregional rescaling does and does not preserve — remain the foundation of every later release, and because reports and decisions cite it.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this page is, and is not</w:t>
            </w:r>
          </w:p>
        </w:tc>
      </w:tr>
      <w:tr>
        <w:trPr>
          <w:cantSplit/>
        </w:trPr>
        <w:tc>
          <w:tcPr>
            <w:tcMar>
              <w:top w:w="108" w:type="dxa"/>
              <w:bottom w:w="108" w:type="dxa"/>
            </w:tcMar>
          </w:tcPr>
          <w:p>
            <w:pPr>
              <w:pStyle w:val="BodyText"/>
            </w:pPr>
            <w:pPr>
              <w:spacing w:before="16"/>
            </w:pPr>
            <w:r>
              <w:t xml:space="preserve">This is the</w:t>
            </w:r>
            <w:r>
              <w:t xml:space="preserve"> </w:t>
            </w:r>
            <w:r>
              <w:rPr>
                <w:b/>
                <w:bCs/>
              </w:rPr>
              <w:t xml:space="preserve">methodology</w:t>
            </w:r>
            <w:r>
              <w:t xml:space="preserve"> </w:t>
            </w:r>
            <w:r>
              <w:t xml:space="preserve">of v1. Numbers are deliberately omitted: the counts in the 2025 report are snapshots of a build that has since been superseded, and reprinting them here would set them beside computed figures elsewhere in this book as if the two were equally current. For v1’s counts as published, see the</w:t>
            </w:r>
            <w:r>
              <w:t xml:space="preserve"> </w:t>
            </w:r>
            <w:hyperlink w:anchor="sec-releases">
              <w:r>
                <w:rPr>
                  <w:rStyle w:val="Hyperlink"/>
                </w:rPr>
                <w:t xml:space="preserve">Releases</w:t>
              </w:r>
            </w:hyperlink>
            <w:r>
              <w:t xml:space="preserve"> </w:t>
            </w:r>
            <w:r>
              <w:t xml:space="preserve">table, which reads them from the v1 release itself.</w:t>
            </w:r>
          </w:p>
          <w:p>
            <w:pPr>
              <w:pStyle w:val="BodyText"/>
            </w:pPr>
            <w:pPr>
              <w:spacing w:after="16"/>
            </w:pPr>
            <w:r>
              <w:t xml:space="preserve">The report also retains, as a matter of record, figures it identifies as incorrect. Those are not carried forward.</w:t>
            </w:r>
          </w:p>
          <w:p/>
        </w:tc>
      </w:tr>
    </w:tbl>
    <w:bookmarkStart w:id="94" w:name="conceptual-framework"/>
    <w:p>
      <w:pPr>
        <w:pStyle w:val="Heading2"/>
      </w:pPr>
      <w:r>
        <w:t xml:space="preserve">3.1 Conceptual framework</w:t>
      </w:r>
    </w:p>
    <w:p>
      <w:pPr>
        <w:pStyle w:val="FirstParagraph"/>
      </w:pPr>
      <w:r>
        <w:t xml:space="preserve">Vulnerability (</w:t>
      </w:r>
      <m:oMath>
        <m:r>
          <m:t>V</m:t>
        </m:r>
      </m:oMath>
      <w:r>
        <w:t xml:space="preserve">) is a function of exposure (</w:t>
      </w:r>
      <m:oMath>
        <m:r>
          <m:t>E</m:t>
        </m:r>
      </m:oMath>
      <w:r>
        <w:t xml:space="preserve">), sensitivity (</w:t>
      </w:r>
      <m:oMath>
        <m:r>
          <m:t>S</m:t>
        </m:r>
      </m:oMath>
      <w:r>
        <w:t xml:space="preserve">) and adaptive capacity (</w:t>
      </w:r>
      <m:oMath>
        <m:r>
          <m:t>A</m:t>
        </m:r>
      </m:oMath>
      <w:r>
        <w:t xml:space="preserve">):</w:t>
      </w:r>
    </w:p>
    <w:p>
      <w:pPr>
        <w:pStyle w:val="BodyText"/>
      </w:pPr>
      <w:bookmarkStart w:id="91" w:name="eq-v1-vesa"/>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3.1</m:t>
          </m:r>
          <m:r>
            <m:rPr>
              <m:sty m:val="p"/>
            </m:rPr>
            <m:t>)</m:t>
          </m:r>
        </m:oMath>
      </m:oMathPara>
      <w:bookmarkEnd w:id="91"/>
    </w:p>
    <w:p>
      <w:pPr>
        <w:pStyle w:val="FirstParagraph"/>
      </w:pPr>
      <w:r>
        <w:t xml:space="preserve">This decomposition is the standard framing in ecological risk and climate-vulnerability assessment</w:t>
      </w:r>
      <w:r>
        <w:t xml:space="preserve"> </w:t>
      </w:r>
      <w:r>
        <w:t xml:space="preserve">(Intergovernmental Panel on Climate Change 2014; Halpern et al. 2007;</w:t>
      </w:r>
      <w:r>
        <w:t xml:space="preserve"> </w:t>
      </w:r>
      <w:r>
        <w:t xml:space="preserve">Hare et al.</w:t>
      </w:r>
      <w:r>
        <w:t xml:space="preserve"> </w:t>
      </w:r>
      <w:r>
        <w:t xml:space="preserve">2016)</w:t>
      </w:r>
      <w:r>
        <w:t xml:space="preserve">. The more exposed and sensitive an area is — and the less able it is to recover — the more vulnerable it is to impacts from offshore activities.</w:t>
      </w:r>
    </w:p>
    <w:p>
      <w:pPr>
        <w:pStyle w:val="BodyText"/>
      </w:pPr>
      <w:r>
        <w:t xml:space="preserve">For spatial implementation, the vulnerability of a cell</w:t>
      </w:r>
      <w:r>
        <w:t xml:space="preserve"> </w:t>
      </w:r>
      <m:oMath>
        <m:sSub>
          <m:e>
            <m:r>
              <m:t>v</m:t>
            </m:r>
          </m:e>
          <m:sub>
            <m:r>
              <m:t>c</m:t>
            </m:r>
          </m:sub>
        </m:sSub>
      </m:oMath>
      <w:r>
        <w:t xml:space="preserve"> </w:t>
      </w:r>
      <w:r>
        <w:t xml:space="preserve">is the sum across all species in a taxonomic group</w:t>
      </w:r>
      <w:r>
        <w:t xml:space="preserve"> </w:t>
      </w:r>
      <m:oMath>
        <m:sSub>
          <m:e>
            <m:r>
              <m:t>S</m:t>
            </m:r>
          </m:e>
          <m:sub>
            <m:r>
              <m:t>g</m:t>
            </m:r>
          </m:sub>
        </m:sSub>
      </m:oMath>
      <w:r>
        <w:t xml:space="preserve"> </w:t>
      </w:r>
      <w:r>
        <w:t xml:space="preserve">of the product of the species’ presence in the cell</w:t>
      </w:r>
      <w:r>
        <w:t xml:space="preserve"> </w:t>
      </w:r>
      <m:oMath>
        <m:sSub>
          <m:e>
            <m:r>
              <m:t>p</m:t>
            </m:r>
          </m:e>
          <m:sub>
            <m:r>
              <m:t>s</m:t>
            </m:r>
            <m:r>
              <m:t>c</m:t>
            </m:r>
          </m:sub>
        </m:sSub>
      </m:oMath>
      <w:r>
        <w:t xml:space="preserve"> </w:t>
      </w:r>
      <w:r>
        <w:t xml:space="preserve">and a species weight</w:t>
      </w:r>
      <w:r>
        <w:t xml:space="preserve"> </w:t>
      </w:r>
      <m:oMath>
        <m:sSub>
          <m:e>
            <m:r>
              <m:t>w</m:t>
            </m:r>
          </m:e>
          <m:sub>
            <m:r>
              <m:t>s</m:t>
            </m:r>
          </m:sub>
        </m:sSub>
      </m:oMath>
      <w:r>
        <w:t xml:space="preserve">, the risk of that species going extinct:</w:t>
      </w:r>
    </w:p>
    <w:p>
      <w:pPr>
        <w:pStyle w:val="BodyText"/>
      </w:pPr>
      <w:bookmarkStart w:id="92" w:name="eq-v1-cell"/>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3.2</m:t>
          </m:r>
          <m:r>
            <m:rPr>
              <m:sty m:val="p"/>
            </m:rPr>
            <m:t>)</m:t>
          </m:r>
        </m:oMath>
      </m:oMathPara>
      <w:bookmarkEnd w:id="92"/>
    </w:p>
    <w:p>
      <w:pPr>
        <w:pStyle w:val="FirstParagraph"/>
      </w:pPr>
      <w:r>
        <w:t xml:space="preserve">where</w:t>
      </w:r>
      <w:r>
        <w:t xml:space="preserve"> </w:t>
      </w:r>
      <m:oMath>
        <m:sSub>
          <m:e>
            <m:r>
              <m:t>p</m:t>
            </m:r>
          </m:e>
          <m:sub>
            <m:r>
              <m:t>s</m:t>
            </m:r>
            <m:r>
              <m:t>c</m:t>
            </m:r>
          </m:sub>
        </m:sSub>
      </m:oMath>
      <w:r>
        <w:t xml:space="preserve"> </w:t>
      </w:r>
      <w:r>
        <w:t xml:space="preserve">is presence probability or suitability (0–1) and</w:t>
      </w:r>
      <w:r>
        <w:t xml:space="preserve"> </w:t>
      </w:r>
      <m:oMath>
        <m:sSub>
          <m:e>
            <m:r>
              <m:t>w</m:t>
            </m:r>
          </m:e>
          <m:sub>
            <m:r>
              <m:t>s</m:t>
            </m:r>
          </m:sub>
        </m:sSub>
      </m:oMath>
      <w:r>
        <w:t xml:space="preserve"> </w:t>
      </w:r>
      <w:r>
        <w:t xml:space="preserve">is how at-risk that species is of going extinct (0–1, ranging from Least Concern at 0.2 to Critically Endangered at 1).</w:t>
      </w:r>
    </w:p>
    <w:p>
      <w:pPr>
        <w:pStyle w:val="BodyText"/>
      </w:pPr>
      <w:r>
        <w:t xml:space="preserve">In plain terms: if a cell has many species that are both likely to be present and at high risk of extinction, it gets a higher sensitivity score. This is how places where rare or threatened species concentrate are found.</w:t>
      </w:r>
    </w:p>
    <w:bookmarkStart w:id="93" w:name="where-exposure-and-adaptive-capacity-sit"/>
    <w:p>
      <w:pPr>
        <w:pStyle w:val="Heading3"/>
      </w:pPr>
      <w:r>
        <w:t xml:space="preserve">3.1.1 Where exposure and adaptive capacity sit</w:t>
      </w:r>
    </w:p>
    <w:p>
      <w:pPr>
        <w:pStyle w:val="FirstParagraph"/>
      </w:pPr>
      <w:r>
        <w:t xml:space="preserve">The implemented score resolves the</w:t>
      </w:r>
      <w:r>
        <w:t xml:space="preserve"> </w:t>
      </w:r>
      <w:r>
        <w:rPr>
          <w:b/>
          <w:bCs/>
        </w:rPr>
        <w:t xml:space="preserve">sensitivity</w:t>
      </w:r>
      <w:r>
        <w:t xml:space="preserve"> </w:t>
      </w:r>
      <w:r>
        <w:t xml:space="preserve">and</w:t>
      </w:r>
      <w:r>
        <w:t xml:space="preserve"> </w:t>
      </w:r>
      <w:r>
        <w:rPr>
          <w:b/>
          <w:bCs/>
        </w:rPr>
        <w:t xml:space="preserve">adaptive-capacity</w:t>
      </w:r>
      <w:r>
        <w:t xml:space="preserve"> </w:t>
      </w:r>
      <w:r>
        <w:t xml:space="preserve">terms jointly, and leaves</w:t>
      </w:r>
      <w:r>
        <w:t xml:space="preserve"> </w:t>
      </w:r>
      <w:r>
        <w:rPr>
          <w:b/>
          <w:bCs/>
        </w:rPr>
        <w:t xml:space="preserve">exposure</w:t>
      </w:r>
      <w:r>
        <w:t xml:space="preserve"> </w:t>
      </w:r>
      <w:r>
        <w:t xml:space="preserve">to be supplied by the decision being evaluated.</w:t>
      </w:r>
    </w:p>
    <w:p>
      <w:pPr>
        <w:pStyle w:val="BodyText"/>
      </w:pPr>
      <w:r>
        <w:t xml:space="preserve">Extinction risk serves as an integrated proxy for both because the IUCN and ESA listing criteria assess population size, rate of decline, range restriction and fragmentation — the same properties that govern whether a population can absorb an added impact and recover from it.</w:t>
      </w:r>
    </w:p>
    <w:p>
      <w:pPr>
        <w:pStyle w:val="BodyText"/>
      </w:pPr>
      <w:r>
        <w:t xml:space="preserve">This is a deliberate simplification, and the principal structural limitation of v1: adaptive capacity cannot be varied independently of sensitivity, and traits that distinguish recovery potential</w:t>
      </w:r>
      <w:r>
        <w:t xml:space="preserve"> </w:t>
      </w:r>
      <w:r>
        <w:rPr>
          <w:i/>
          <w:iCs/>
        </w:rPr>
        <w:t xml:space="preserve">within</w:t>
      </w:r>
      <w:r>
        <w:t xml:space="preserve"> </w:t>
      </w:r>
      <w:r>
        <w:t xml:space="preserve">a risk category — generation time, fecundity, dispersal, habitat specialization — are not represented. Separating the terms would mean adding activity-specific exposure layers (spill-trajectory probability, lease-block footprints, modeled noise fields) and letting them interact with trait-based adaptive-capacity attributes drawn from established marine vulnerability protocols</w:t>
      </w:r>
      <w:r>
        <w:t xml:space="preserve"> </w:t>
      </w:r>
      <w:r>
        <w:t xml:space="preserve">(</w:t>
      </w:r>
      <w:r>
        <w:t xml:space="preserve">Hare et al.</w:t>
      </w:r>
      <w:r>
        <w:t xml:space="preserve"> </w:t>
      </w:r>
      <w:r>
        <w:t xml:space="preserve">2016)</w:t>
      </w:r>
      <w:r>
        <w:t xml:space="preserve">.</w:t>
      </w:r>
    </w:p>
    <w:bookmarkEnd w:id="93"/>
    <w:bookmarkEnd w:id="94"/>
    <w:bookmarkStart w:id="95" w:name="X4f3fa85cbce219b97825b6682c3653b20e34e45"/>
    <w:p>
      <w:pPr>
        <w:pStyle w:val="Heading2"/>
      </w:pPr>
      <w:r>
        <w:t xml:space="preserve">3.2 Extinction-risk weighting, and why these numbers</w:t>
      </w:r>
    </w:p>
    <w:p>
      <w:pPr>
        <w:pStyle w:val="FirstParagraph"/>
      </w:pPr>
      <w:r>
        <w:t xml:space="preserve">IUCN Red List categories and ESA status codes were standardized to numeric risk weights: CR = 1.0, EN = 0.8, VU and ESA Threatened = 0.6, NT = 0.4, LC = 0.2. Where a species had several assessments the most recent was used; where statuses conflicted across regions the precautionary principle applied, taking the higher risk category.</w:t>
      </w:r>
    </w:p>
    <w:p>
      <w:pPr>
        <w:pStyle w:val="BodyText"/>
      </w:pPr>
      <w:r>
        <w:t xml:space="preserve">These weights are a rescaling of the IUCN</w:t>
      </w:r>
      <w:r>
        <w:t xml:space="preserve"> </w:t>
      </w:r>
      <w:r>
        <w:rPr>
          <w:b/>
          <w:bCs/>
        </w:rPr>
        <w:t xml:space="preserve">equal-steps</w:t>
      </w:r>
      <w:r>
        <w:t xml:space="preserve"> </w:t>
      </w:r>
      <w:r>
        <w:t xml:space="preserve">weighting used for the Red List Index</w:t>
      </w:r>
      <w:r>
        <w:t xml:space="preserve"> </w:t>
      </w:r>
      <w:r>
        <w:t xml:space="preserve">(Butchart et al. 2004, 2007)</w:t>
      </w:r>
      <w:r>
        <w:t xml:space="preserve"> </w:t>
      </w:r>
      <w:r>
        <w:t xml:space="preserve">and for the Species Threat Abatement and Restoration (STAR) metric</w:t>
      </w:r>
      <w:r>
        <w:t xml:space="preserve"> </w:t>
      </w:r>
      <w:r>
        <w:t xml:space="preserve">(</w:t>
      </w:r>
      <w:r>
        <w:t xml:space="preserve">Mair et al.</w:t>
      </w:r>
      <w:r>
        <w:t xml:space="preserve"> </w:t>
      </w:r>
      <w:r>
        <w:t xml:space="preserve">2021)</w:t>
      </w:r>
      <w:r>
        <w:t xml:space="preserve">, which maps LC = 0, NT = 1, VU = 2, EN = 3, CR = 4. Dividing by five and shifting Least Concern from 0 to 0.2 yields the multipliers above.</w:t>
      </w:r>
    </w:p>
    <w:p>
      <w:pPr>
        <w:pStyle w:val="BodyText"/>
      </w:pPr>
      <w:r>
        <w:t xml:space="preserve">STAR is the closest published analogue to the MST score: an additive, spatially explicit sum of species presence weighted by extinction risk.</w:t>
      </w:r>
    </w:p>
    <w:p>
      <w:pPr>
        <w:pStyle w:val="BodyText"/>
      </w:pPr>
      <w:r>
        <w:rPr>
          <w:b/>
          <w:bCs/>
        </w:rPr>
        <w:t xml:space="preserve">Least Concern is deliberately given non-zero weight</w:t>
      </w:r>
      <w:r>
        <w:t xml:space="preserve"> </w:t>
      </w:r>
      <w:r>
        <w:t xml:space="preserve">so that overall biological richness remains part of the sensitivity signal — consistent with the statutory language — rather than the score being driven entirely by the small fraction of species that are threatened. A Critically Endangered species still carries five times the weight of a Least Concern one.</w:t>
      </w:r>
    </w:p>
    <w:p>
      <w:pPr>
        <w:pStyle w:val="BodyText"/>
      </w:pPr>
      <w:r>
        <w:t xml:space="preserve">Equal-steps weighting is the most widely used convention but not the only defensible one. Extinction-probability weightings</w:t>
      </w:r>
      <w:r>
        <w:t xml:space="preserve"> </w:t>
      </w:r>
      <w:r>
        <w:t xml:space="preserve">(Butchart et al. 2007; Mooers et al. 2008)</w:t>
      </w:r>
      <w:r>
        <w:t xml:space="preserve"> </w:t>
      </w:r>
      <w:r>
        <w:t xml:space="preserve">are strongly convex and would concentrate nearly all weight on CR and EN species. Because the transformation can affect rank order</w:t>
      </w:r>
      <w:r>
        <w:t xml:space="preserve"> </w:t>
      </w:r>
      <w:r>
        <w:t xml:space="preserve">(Mooers et al. 2008)</w:t>
      </w:r>
      <w:r>
        <w:t xml:space="preserve">, a sensitivity analysis comparing area rankings under equal-steps, extinction-probability and equal (richness-only) weightings is a recommended next step.</w:t>
      </w:r>
    </w:p>
    <w:bookmarkEnd w:id="95"/>
    <w:bookmarkStart w:id="98" w:name="scoring"/>
    <w:p>
      <w:pPr>
        <w:pStyle w:val="Heading2"/>
      </w:pPr>
      <w:r>
        <w:t xml:space="preserve">3.3 Scoring</w:t>
      </w:r>
    </w:p>
    <w:p>
      <w:pPr>
        <w:pStyle w:val="FirstParagraph"/>
      </w:pPr>
      <w:r>
        <w:rPr>
          <w:b/>
          <w:bCs/>
        </w:rPr>
        <w:t xml:space="preserve">Step 1 — cell-level scoring.</w:t>
      </w:r>
      <w:r>
        <w:t xml:space="preserve"> </w:t>
      </w:r>
      <w:r>
        <w:t xml:space="preserve">For each 0.05° cell the raw score</w:t>
      </w:r>
      <w:r>
        <w:t xml:space="preserve"> </w:t>
      </w:r>
      <m:oMath>
        <m:sSub>
          <m:e>
            <m:r>
              <m:t>v</m:t>
            </m:r>
          </m:e>
          <m:sub>
            <m:r>
              <m:t>c</m:t>
            </m:r>
          </m:sub>
        </m:sSub>
      </m:oMath>
      <w:r>
        <w:t xml:space="preserve"> </w:t>
      </w:r>
      <w:r>
        <w:t xml:space="preserve">is the sum of presence × extinction-risk weight across the species in a taxonomic group.</w:t>
      </w:r>
    </w:p>
    <w:p>
      <w:pPr>
        <w:pStyle w:val="BodyText"/>
      </w:pPr>
      <w:r>
        <w:rPr>
          <w:b/>
          <w:bCs/>
        </w:rPr>
        <w:t xml:space="preserve">Step 2 — ecoregional rescaling.</w:t>
      </w:r>
      <w:r>
        <w:t xml:space="preserve"> </w:t>
      </w:r>
      <w:r>
        <w:t xml:space="preserve">Raw cell scores are rescaled to 0–100 within each BOEM Ecoregion, using the minimum and maximum observed inside that ecoregion for the component being scored.</w:t>
      </w:r>
    </w:p>
    <w:p>
      <w:pPr>
        <w:pStyle w:val="BodyText"/>
      </w:pPr>
      <w:r>
        <w:rPr>
          <w:b/>
          <w:bCs/>
        </w:rPr>
        <w:t xml:space="preserve">Step 3 — Planning Area aggregation.</w:t>
      </w:r>
      <w:r>
        <w:t xml:space="preserve"> </w:t>
      </w:r>
      <w:r>
        <w:t xml:space="preserve">Rescaled cell scores are aggregated by</w:t>
      </w:r>
      <w:r>
        <w:t xml:space="preserve"> </w:t>
      </w:r>
      <w:r>
        <w:rPr>
          <w:b/>
          <w:bCs/>
        </w:rPr>
        <w:t xml:space="preserve">area-weighted</w:t>
      </w:r>
      <w:r>
        <w:t xml:space="preserve"> </w:t>
      </w:r>
      <w:r>
        <w:t xml:space="preserve">average: each cell contributes in proportion to the fraction of its area falling inside the Planning Area, so larger low-latitude cells do not outweigh smaller high-latitude ones.</w:t>
      </w:r>
    </w:p>
    <w:bookmarkStart w:id="96" w:name="worked-example"/>
    <w:p>
      <w:pPr>
        <w:pStyle w:val="Heading3"/>
      </w:pPr>
      <w:r>
        <w:t xml:space="preserve">3.3.1 Worked example</w:t>
      </w:r>
    </w:p>
    <w:p>
      <w:pPr>
        <w:pStyle w:val="FirstParagraph"/>
      </w:pPr>
      <w:r>
        <w:t xml:space="preserve">A simplified Planning Area with three equal-area cells in an ecoregion whose fish scores run from 65 to 974: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Cell</w:t>
            </w:r>
          </w:p>
        </w:tc>
        <w:tc>
          <w:tcPr/>
          <w:p>
            <w:pPr>
              <w:pStyle w:val="Compact"/>
              <w:jc w:val="right"/>
            </w:pPr>
            <w:r>
              <w:t xml:space="preserve">Raw fish score</w:t>
            </w:r>
          </w:p>
        </w:tc>
        <w:tc>
          <w:tcPr/>
          <w:p>
            <w:pPr>
              <w:pStyle w:val="Compact"/>
              <w:jc w:val="right"/>
            </w:pPr>
            <w:r>
              <w:t xml:space="preserve">Rescaled</w:t>
            </w:r>
          </w:p>
        </w:tc>
        <w:tc>
          <w:tcPr/>
          <w:p>
            <w:pPr>
              <w:pStyle w:val="Compact"/>
              <w:jc w:val="right"/>
            </w:pPr>
            <w:r>
              <w:t xml:space="preserve">Cell area (km²)</w:t>
            </w:r>
          </w:p>
        </w:tc>
        <w:tc>
          <w:tcPr/>
          <w:p>
            <w:pPr>
              <w:pStyle w:val="Compact"/>
              <w:jc w:val="right"/>
            </w:pPr>
            <w:r>
              <w:t xml:space="preserve">Weight</w:t>
            </w:r>
          </w:p>
        </w:tc>
      </w:tr>
      <w:tr>
        <w:tc>
          <w:tcPr/>
          <w:p>
            <w:pPr>
              <w:pStyle w:val="Compact"/>
              <w:jc w:val="left"/>
            </w:pPr>
            <w:r>
              <w:t xml:space="preserve">A</w:t>
            </w:r>
          </w:p>
        </w:tc>
        <w:tc>
          <w:tcPr/>
          <w:p>
            <w:pPr>
              <w:pStyle w:val="Compact"/>
              <w:jc w:val="right"/>
            </w:pPr>
            <w:r>
              <w:t xml:space="preserve">200</w:t>
            </w:r>
          </w:p>
        </w:tc>
        <w:tc>
          <w:tcPr/>
          <w:p>
            <w:pPr>
              <w:pStyle w:val="Compact"/>
              <w:jc w:val="right"/>
            </w:pPr>
            <m:oMath>
              <m:r>
                <m:rPr>
                  <m:sty m:val="p"/>
                </m:rPr>
                <m:t>(</m:t>
              </m:r>
              <m:r>
                <m:t>200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15</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B</w:t>
            </w:r>
          </w:p>
        </w:tc>
        <w:tc>
          <w:tcPr/>
          <w:p>
            <w:pPr>
              <w:pStyle w:val="Compact"/>
              <w:jc w:val="right"/>
            </w:pPr>
            <w:r>
              <w:t xml:space="preserve">600</w:t>
            </w:r>
          </w:p>
        </w:tc>
        <w:tc>
          <w:tcPr/>
          <w:p>
            <w:pPr>
              <w:pStyle w:val="Compact"/>
              <w:jc w:val="right"/>
            </w:pPr>
            <m:oMath>
              <m:r>
                <m:rPr>
                  <m:sty m:val="p"/>
                </m:rPr>
                <m:t>(</m:t>
              </m:r>
              <m:r>
                <m:t>600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59</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C</w:t>
            </w:r>
          </w:p>
        </w:tc>
        <w:tc>
          <w:tcPr/>
          <w:p>
            <w:pPr>
              <w:pStyle w:val="Compact"/>
              <w:jc w:val="right"/>
            </w:pPr>
            <w:r>
              <w:t xml:space="preserve">400</w:t>
            </w:r>
          </w:p>
        </w:tc>
        <w:tc>
          <w:tcPr/>
          <w:p>
            <w:pPr>
              <w:pStyle w:val="Compact"/>
              <w:jc w:val="right"/>
            </w:pPr>
            <m:oMath>
              <m:r>
                <m:rPr>
                  <m:sty m:val="p"/>
                </m:rPr>
                <m:t>(</m:t>
              </m:r>
              <m:r>
                <m:t>400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37</m:t>
              </m:r>
            </m:oMath>
            <w:r>
              <w:t xml:space="preserve">​</w:t>
            </w:r>
          </w:p>
        </w:tc>
        <w:tc>
          <w:tcPr/>
          <w:p>
            <w:pPr>
              <w:pStyle w:val="Compact"/>
              <w:jc w:val="right"/>
            </w:pPr>
            <w:r>
              <w:t xml:space="preserve">25</w:t>
            </w:r>
          </w:p>
        </w:tc>
        <w:tc>
          <w:tcPr/>
          <w:p>
            <w:pPr>
              <w:pStyle w:val="Compact"/>
              <w:jc w:val="right"/>
            </w:pPr>
            <w:r>
              <w:t xml:space="preserve">0.33</w:t>
            </w:r>
          </w:p>
        </w:tc>
      </w:tr>
    </w:tbl>
    <w:p>
      <w:pPr>
        <w:pStyle w:val="BodyText"/>
      </w:pPr>
      <w:r>
        <w:t xml:space="preserve">The Planning Area fish score is</w:t>
      </w:r>
      <w:r>
        <w:t xml:space="preserve"> </w:t>
      </w:r>
      <m:oMath>
        <m:r>
          <m:t>15</m:t>
        </m:r>
        <m:r>
          <m:rPr>
            <m:sty m:val="p"/>
          </m:rPr>
          <m:t>×</m:t>
        </m:r>
        <m:r>
          <m:t>0.33</m:t>
        </m:r>
        <m:r>
          <m:rPr>
            <m:sty m:val="p"/>
          </m:rPr>
          <m:t>+</m:t>
        </m:r>
        <m:r>
          <m:t>59</m:t>
        </m:r>
        <m:r>
          <m:rPr>
            <m:sty m:val="p"/>
          </m:rPr>
          <m:t>×</m:t>
        </m:r>
        <m:r>
          <m:t>0.33</m:t>
        </m:r>
        <m:r>
          <m:rPr>
            <m:sty m:val="p"/>
          </m:rPr>
          <m:t>+</m:t>
        </m:r>
        <m:r>
          <m:t>37</m:t>
        </m:r>
        <m:r>
          <m:rPr>
            <m:sty m:val="p"/>
          </m:rPr>
          <m:t>×</m:t>
        </m:r>
        <m:r>
          <m:t>0.33</m:t>
        </m:r>
        <m:r>
          <m:rPr>
            <m:sty m:val="p"/>
          </m:rPr>
          <m:t>=</m:t>
        </m:r>
        <m:r>
          <m:t>37</m:t>
        </m:r>
      </m:oMath>
      <w:r>
        <w:t xml:space="preserve"> </w:t>
      </w:r>
      <w:r>
        <w:t xml:space="preserve">— meaning the Planning Area sits 37% of the way between the lowest and highest fish scores observed in its ecoregion.</w:t>
      </w:r>
    </w:p>
    <w:bookmarkEnd w:id="96"/>
    <w:bookmarkStart w:id="97" w:name="Xfbea809cb7be11d41411f1c2307633c420f6c2f"/>
    <w:p>
      <w:pPr>
        <w:pStyle w:val="Heading3"/>
      </w:pPr>
      <w:r>
        <w:t xml:space="preserve">3.3.2 What ecoregional rescaling does and does not preserve</w:t>
      </w:r>
    </w:p>
    <w:p>
      <w:pPr>
        <w:pStyle w:val="FirstParagraph"/>
      </w:pPr>
      <w:r>
        <w:t xml:space="preserve">Rescaling within ecoregions is a deliberate analytical choice with a cost that should be explicit.</w:t>
      </w:r>
    </w:p>
    <w:p>
      <w:pPr>
        <w:pStyle w:val="BodyText"/>
      </w:pPr>
      <w:r>
        <w:t xml:space="preserve">Because min–max rescaling is</w:t>
      </w:r>
      <w:r>
        <w:t xml:space="preserve"> </w:t>
      </w:r>
      <w:r>
        <w:rPr>
          <w:b/>
          <w:bCs/>
        </w:rPr>
        <w:t xml:space="preserve">monotonic</w:t>
      </w:r>
      <w:r>
        <w:t xml:space="preserve">, it preserves the complete ordering of cells and Planning Areas</w:t>
      </w:r>
      <w:r>
        <w:t xml:space="preserve"> </w:t>
      </w:r>
      <w:r>
        <w:rPr>
          <w:i/>
          <w:iCs/>
        </w:rPr>
        <w:t xml:space="preserve">within</w:t>
      </w:r>
      <w:r>
        <w:t xml:space="preserve"> </w:t>
      </w:r>
      <w:r>
        <w:t xml:space="preserve">an ecoregion: no within-region comparison is affected. What it removes is the difference in</w:t>
      </w:r>
      <w:r>
        <w:t xml:space="preserve"> </w:t>
      </w:r>
      <w:r>
        <w:rPr>
          <w:b/>
          <w:bCs/>
        </w:rPr>
        <w:t xml:space="preserve">absolute magnitude between</w:t>
      </w:r>
      <w:r>
        <w:t xml:space="preserve"> </w:t>
      </w:r>
      <w:r>
        <w:t xml:space="preserve">ecoregions. A score of 80 in the Gulf of America and a score of 80 in the Arctic both denote</w:t>
      </w:r>
      <w:r>
        <w:t xml:space="preserve"> </w:t>
      </w:r>
      <w:r>
        <w:t xml:space="preserve">“high relative to that region”</w:t>
      </w:r>
      <w:r>
        <w:t xml:space="preserve">, not equal absolute sensitivity, and the difference in raw species richness between those regions is by design not visible in the rescaled value.</w:t>
      </w:r>
    </w:p>
    <w:p>
      <w:pPr>
        <w:pStyle w:val="BodyText"/>
      </w:pPr>
      <w:r>
        <w:t xml:space="preserve">The rationale is that the raw score is count-like — it increases with the number of species modeled in a cell — and is therefore governed by the latitudinal richness gradient. Without rescaling, nearly every subtropical Planning Area would outrank nearly every Arctic one, and the result would approximate a map of model density rather than of conservation concern. Within-region normalization is also consistent with the prior RESA methodology</w:t>
      </w:r>
      <w:r>
        <w:t xml:space="preserve"> </w:t>
      </w:r>
      <w:r>
        <w:t xml:space="preserve">(Niedoroda 2014)</w:t>
      </w:r>
      <w:r>
        <w:t xml:space="preserve">.</w:t>
      </w:r>
    </w:p>
    <w:p>
      <w:pPr>
        <w:pStyle w:val="BodyText"/>
      </w:pPr>
      <w:r>
        <w:t xml:space="preserve">Two consequences follow for interpretation:</w:t>
      </w:r>
    </w:p>
    <w:p>
      <w:pPr>
        <w:pStyle w:val="Compact"/>
        <w:numPr>
          <w:ilvl w:val="0"/>
          <w:numId w:val="1008"/>
        </w:numPr>
      </w:pPr>
      <w:r>
        <w:rPr>
          <w:b/>
          <w:bCs/>
        </w:rPr>
        <w:t xml:space="preserve">Rescaled scores are not a national ranking.</w:t>
      </w:r>
      <w:r>
        <w:t xml:space="preserve"> </w:t>
      </w:r>
      <w:r>
        <w:t xml:space="preserve">Comparing areas across ecoregions compares each to its own regional context.</w:t>
      </w:r>
    </w:p>
    <w:p>
      <w:pPr>
        <w:pStyle w:val="Compact"/>
        <w:numPr>
          <w:ilvl w:val="0"/>
          <w:numId w:val="1008"/>
        </w:numPr>
      </w:pPr>
      <w:r>
        <w:rPr>
          <w:b/>
          <w:bCs/>
        </w:rPr>
        <w:t xml:space="preserve">The endpoints are observed extrema</w:t>
      </w:r>
      <w:r>
        <w:t xml:space="preserve">, so a single outlier cell can set the 100 for an entire ecoregion and compress every other score in it. Robust percentile endpoints (1st/99th) are recommended in their place.</w:t>
      </w:r>
    </w:p>
    <w:p>
      <w:pPr>
        <w:pStyle w:val="FirstParagraph"/>
      </w:pPr>
      <w:r>
        <w:t xml:space="preserve">Because absolute magnitude is management-relevant information, reporting raw scores alongside the rescaled ones — together with a nationally rescaled variant and the rank correlation between the two rankings — would let the effect of the normalization on rank order be assessed directly rather than assumed.</w:t>
      </w:r>
    </w:p>
    <w:bookmarkEnd w:id="97"/>
    <w:bookmarkEnd w:id="98"/>
    <w:bookmarkStart w:id="99" w:name="grid-and-projection"/>
    <w:p>
      <w:pPr>
        <w:pStyle w:val="Heading2"/>
      </w:pPr>
      <w:r>
        <w:t xml:space="preserve">3.4 Grid and projection</w:t>
      </w:r>
    </w:p>
    <w:p>
      <w:pPr>
        <w:pStyle w:val="FirstParagraph"/>
      </w:pPr>
      <w:r>
        <w:t xml:space="preserve">The analysis grid is</w:t>
      </w:r>
      <w:r>
        <w:t xml:space="preserve"> </w:t>
      </w:r>
      <w:r>
        <w:rPr>
          <w:b/>
          <w:bCs/>
        </w:rPr>
        <w:t xml:space="preserve">geographic (WGS84) rather than projected</w:t>
      </w:r>
      <w:r>
        <w:t xml:space="preserve">, because every input dataset — AquaMaps half-degree cells, Bio-ORACLE reference layers, the VIIRS productivity grid, and IUCN/BirdLife range polygons — is distributed on a regular latitude/longitude grid. Analyzing in geographic coordinates resamples each input once rather than twice, avoiding blurred suitability surfaces and displaced range boundaries; and no single equal-area projection serves both the Gulf of America and the Aleutians well.</w:t>
      </w:r>
    </w:p>
    <w:p>
      <w:pPr>
        <w:pStyle w:val="BodyText"/>
      </w:pPr>
      <w:r>
        <w:t xml:space="preserve">Area distortion is therefore corrected</w:t>
      </w:r>
      <w:r>
        <w:t xml:space="preserve"> </w:t>
      </w:r>
      <w:r>
        <w:rPr>
          <w:b/>
          <w:bCs/>
        </w:rPr>
        <w:t xml:space="preserve">arithmetically rather than by projection</w:t>
      </w:r>
      <w:r>
        <w:t xml:space="preserve">: cell area is computed on the sphere, and every cell-to-area aggregation is weighted by that true area and by the cell’s fractional overlap with the Planning Area — making the reported statistics equal-area in effect. Maps are drawn in region-appropriate equal-area projections</w:t>
      </w:r>
      <w:r>
        <w:t xml:space="preserve"> </w:t>
      </w:r>
      <w:r>
        <w:rPr>
          <w:b/>
          <w:bCs/>
        </w:rPr>
        <w:t xml:space="preserve">for display only</w:t>
      </w:r>
      <w:r>
        <w:t xml:space="preserve">; no analysis is performed in a display projection.</w:t>
      </w:r>
    </w:p>
    <w:bookmarkEnd w:id="99"/>
    <w:bookmarkStart w:id="103" w:name="marine-relevance-in-v1"/>
    <w:p>
      <w:pPr>
        <w:pStyle w:val="Heading2"/>
      </w:pPr>
      <w:r>
        <w:t xml:space="preserve">3.5 Marine relevance in v1</w:t>
      </w:r>
    </w:p>
    <w:p>
      <w:pPr>
        <w:pStyle w:val="FirstParagraph"/>
      </w:pPr>
      <w:r>
        <w:t xml:space="preserve">In v1 a</w:t>
      </w:r>
      <w:r>
        <w:t xml:space="preserve"> </w:t>
      </w:r>
      <w:r>
        <w:rPr>
          <w:b/>
          <w:bCs/>
        </w:rPr>
        <w:t xml:space="preserve">spatial inclusion rule</w:t>
      </w:r>
      <w:r>
        <w:t xml:space="preserve"> </w:t>
      </w:r>
      <w:r>
        <w:t xml:space="preserve">was applied — every model whose distribution intersected the study area was ingested — without an independent test of whether the species is marine.</w:t>
      </w:r>
    </w:p>
    <w:p>
      <w:pPr>
        <w:pStyle w:val="BodyText"/>
      </w:pPr>
      <w:r>
        <w:t xml:space="preserve">This admits a small number of non-marine species with coastal range polygons; the introduced White-winged Parakeet (</w:t>
      </w:r>
      <w:r>
        <w:rPr>
          <w:i/>
          <w:iCs/>
        </w:rPr>
        <w:t xml:space="preserve">Brotogeris versicolurus</w:t>
      </w:r>
      <w:r>
        <w:t xml:space="preserve">) in southern Florida is one. Because such species are almost always Least Concern and occupy few cells, the effect on scores is negligible, but their presence in the species viewer is not defensible.</w:t>
      </w:r>
    </w:p>
    <w:p>
      <w:pPr>
        <w:pStyle w:val="BodyText"/>
      </w:pPr>
      <w:r>
        <w:t xml:space="preserve">Subsequent versions apply an explicit marine-relevance filter: birds are scored only if they belong to a marine or coastal family</w:t>
      </w:r>
      <w:r>
        <w:t xml:space="preserve"> </w:t>
      </w:r>
      <w:r>
        <w:rPr>
          <w:b/>
          <w:bCs/>
        </w:rPr>
        <w:t xml:space="preserve">and</w:t>
      </w:r>
      <w:r>
        <w:t xml:space="preserve"> </w:t>
      </w:r>
      <w:r>
        <w:t xml:space="preserve">at least 5% of their whole global range falls over ocean, with a curated include/exclude list for edge cases.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quarto/share/formats/docx/important.png" id="10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standard</w:t>
            </w:r>
            <w:r>
              <w:t xml:space="preserve"> </w:t>
            </w:r>
            <w:r>
              <w:rPr>
                <w:b/>
                <w:bCs/>
              </w:rPr>
              <w:t xml:space="preserve">WoRMS</w:t>
            </w:r>
            <w:r>
              <w:rPr>
                <w:b/>
                <w:bCs/>
              </w:rPr>
              <w:t xml:space="preserve"> </w:t>
            </w:r>
            <w:r>
              <w:rPr>
                <w:rStyle w:val="VerbatimChar"/>
                <w:b/>
                <w:bCs/>
              </w:rPr>
              <w:t xml:space="preserve">isMarine</w:t>
            </w:r>
            <w:r>
              <w:rPr>
                <w:b/>
                <w:bCs/>
              </w:rPr>
              <w:t xml:space="preserve"> </w:t>
            </w:r>
            <w:r>
              <w:rPr>
                <w:b/>
                <w:bCs/>
              </w:rPr>
              <w:t xml:space="preserve">flag cannot be used</w:t>
            </w:r>
            <w:r>
              <w:t xml:space="preserve"> </w:t>
            </w:r>
            <w:r>
              <w:t xml:space="preserve">for this purpose, because seabirds are largely absent from that register. This is the reason the later filter is built from family membership and a measured percentage rather than from the obvious flag — see</w:t>
            </w:r>
            <w:r>
              <w:t xml:space="preserve"> </w:t>
            </w:r>
            <w:hyperlink w:anchor="sec-is-marine">
              <w:r>
                <w:rPr>
                  <w:rStyle w:val="Hyperlink"/>
                </w:rPr>
                <w:t xml:space="preserve">Section 7.4</w:t>
              </w:r>
            </w:hyperlink>
            <w:r>
              <w:t xml:space="preserve">.</w:t>
            </w:r>
          </w:p>
          <w:p/>
        </w:tc>
      </w:tr>
    </w:tbl>
    <w:bookmarkEnd w:id="103"/>
    <w:bookmarkStart w:id="106" w:name="sources-in-v1"/>
    <w:p>
      <w:pPr>
        <w:pStyle w:val="Heading2"/>
      </w:pPr>
      <w:r>
        <w:t xml:space="preserve">3.6 Sources in v1</w:t>
      </w:r>
    </w:p>
    <w:p>
      <w:pPr>
        <w:pStyle w:val="FirstParagraph"/>
      </w:pPr>
      <w:r>
        <w:t xml:space="preserve">v1’s distributions came principally from AquaMaps global species distribution models, downscaled from their native 0.5° half-degree cells to 0.05° by bilinear interpolation, together with BirdLife range maps for birds.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Applications/quarto/share/formats/docx/note.png" id="10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AquaMaps vintage</w:t>
            </w:r>
          </w:p>
        </w:tc>
      </w:tr>
      <w:tr>
        <w:trPr>
          <w:cantSplit/>
        </w:trPr>
        <w:tc>
          <w:tcPr>
            <w:tcMar>
              <w:top w:w="108" w:type="dxa"/>
              <w:bottom w:w="108" w:type="dxa"/>
            </w:tcMar>
          </w:tcPr>
          <w:p>
            <w:pPr>
              <w:pStyle w:val="BodyText"/>
            </w:pPr>
            <w:pPr>
              <w:spacing w:before="16"/>
            </w:pPr>
            <w:r>
              <w:t xml:space="preserve">The 2025 report cites AquaMaps in two ways — a retrieval date in the Methods and</w:t>
            </w:r>
            <w:r>
              <w:t xml:space="preserve"> </w:t>
            </w:r>
            <w:r>
              <w:t xml:space="preserve">“AquaMaps 2019”</w:t>
            </w:r>
            <w:r>
              <w:t xml:space="preserve"> </w:t>
            </w:r>
            <w:r>
              <w:t xml:space="preserve">in the conclusions — which reads as a contradiction. It is not.</w:t>
            </w:r>
          </w:p>
          <w:p>
            <w:pPr>
              <w:pStyle w:val="BodyText"/>
            </w:pPr>
            <w:pPr>
              <w:spacing w:after="16"/>
            </w:pPr>
            <w:r>
              <w:t xml:space="preserve">The</w:t>
            </w:r>
            <w:r>
              <w:t xml:space="preserve"> </w:t>
            </w:r>
            <w:r>
              <w:rPr>
                <w:b/>
                <w:bCs/>
              </w:rPr>
              <w:t xml:space="preserve">model release is AquaMaps Version 10/2019</w:t>
            </w:r>
            <w:r>
              <w:t xml:space="preserve">, which is what the release registry records and what the data itself carries; the later date is when that release was</w:t>
            </w:r>
            <w:r>
              <w:t xml:space="preserve"> </w:t>
            </w:r>
            <w:r>
              <w:rPr>
                <w:i/>
                <w:iCs/>
              </w:rPr>
              <w:t xml:space="preserve">retrieved</w:t>
            </w:r>
            <w:r>
              <w:t xml:space="preserve">. No newer AquaMaps release has been ingested, and the suitability surfaces have not changed.</w:t>
            </w:r>
          </w:p>
          <w:p/>
        </w:tc>
      </w:tr>
    </w:tbl>
    <w:p>
      <w:pPr>
        <w:pStyle w:val="BodyText"/>
      </w:pPr>
      <w:r>
        <w:t xml:space="preserve">Presence values follow external convention where one exists and are assigned by the study where one does not. Continuous suitability models are used as published, without modification. Expert range maps take a 50% presence value, following the convention for extent-of-occurrence polygons, which assert presence</w:t>
      </w:r>
      <w:r>
        <w:t xml:space="preserve"> </w:t>
      </w:r>
      <w:r>
        <w:rPr>
          <w:i/>
          <w:iCs/>
        </w:rPr>
        <w:t xml:space="preserve">somewhere</w:t>
      </w:r>
      <w:r>
        <w:t xml:space="preserve"> </w:t>
      </w:r>
      <w:r>
        <w:t xml:space="preserve">within the boundary rather than throughout it. Designated Critical Habitat takes a higher value reflecting the stronger occupancy evidence implied by a legal designation — an assumption of the study rather than an external standard, and identified as such.</w:t>
      </w:r>
    </w:p>
    <w:bookmarkEnd w:id="106"/>
    <w:bookmarkStart w:id="107" w:name="primary-productivity"/>
    <w:p>
      <w:pPr>
        <w:pStyle w:val="Heading2"/>
      </w:pPr>
      <w:r>
        <w:t xml:space="preserve">3.7 Primary productivity</w:t>
      </w:r>
    </w:p>
    <w:p>
      <w:pPr>
        <w:pStyle w:val="FirstParagraph"/>
      </w:pPr>
      <w:r>
        <w:t xml:space="preserve">Net primary productivity was computed with the Vertically Generalized Production Model</w:t>
      </w:r>
      <w:r>
        <w:t xml:space="preserve"> </w:t>
      </w:r>
      <w:r>
        <w:t xml:space="preserve">(Behrenfeld and Falkowski 1997)</w:t>
      </w:r>
      <w:r>
        <w:t xml:space="preserve"> </w:t>
      </w:r>
      <w:r>
        <w:t xml:space="preserve">from VIIRS satellite data for the most recently completed decade. Monthly NPP was averaged annually, then a ten-year mean and standard deviation computed, downsampled to the analysis grid by bilinear interpolation, and converted to metric tons C km</w:t>
      </w:r>
      <w:r>
        <w:rPr>
          <w:vertAlign w:val="superscript"/>
        </w:rPr>
        <w:t xml:space="preserve">-2</w:t>
      </w:r>
      <w:r>
        <w:t xml:space="preserve"> </w:t>
      </w:r>
      <w:r>
        <w:t xml:space="preserve">yr</w:t>
      </w:r>
      <w:r>
        <w:rPr>
          <w:vertAlign w:val="superscript"/>
        </w:rPr>
        <w:t xml:space="preserve">-1</w:t>
      </w:r>
      <w:r>
        <w:t xml:space="preserve">.</w:t>
      </w:r>
    </w:p>
    <w:bookmarkEnd w:id="107"/>
    <w:bookmarkStart w:id="108" w:name="successor-releases"/>
    <w:p>
      <w:pPr>
        <w:pStyle w:val="Heading2"/>
      </w:pPr>
      <w:r>
        <w:t xml:space="preserve">3.8 Successor releases</w:t>
      </w:r>
    </w:p>
    <w:p>
      <w:pPr>
        <w:pStyle w:val="FirstParagraph"/>
      </w:pPr>
      <w:r>
        <w:t xml:space="preserve">v1 scored</w:t>
      </w:r>
      <w:r>
        <w:t xml:space="preserve"> </w:t>
      </w:r>
      <w:r>
        <w:rPr>
          <w:b/>
          <w:bCs/>
        </w:rPr>
        <w:t xml:space="preserve">Planning Areas</w:t>
      </w:r>
      <w:r>
        <w:t xml:space="preserve">; the 2026 program cycle introduced</w:t>
      </w:r>
      <w:r>
        <w:t xml:space="preserve"> </w:t>
      </w:r>
      <w:r>
        <w:rPr>
          <w:b/>
          <w:bCs/>
        </w:rPr>
        <w:t xml:space="preserve">Program Areas</w:t>
      </w:r>
      <w:r>
        <w:t xml:space="preserve">, which v2 adopted. Later releases changed the taxonomy, the merge and the definition of a valid species — see</w:t>
      </w:r>
      <w:r>
        <w:t xml:space="preserve"> </w:t>
      </w:r>
      <w:hyperlink w:anchor="sec-releases">
        <w:r>
          <w:rPr>
            <w:rStyle w:val="Hyperlink"/>
          </w:rPr>
          <w:t xml:space="preserve">Releases</w:t>
        </w:r>
      </w:hyperlink>
      <w:r>
        <w:t xml:space="preserve"> </w:t>
      </w:r>
      <w:r>
        <w:t xml:space="preserve">for what changed and when, and read this page as the record of what v1 did.</w:t>
      </w:r>
    </w:p>
    <w:bookmarkEnd w:id="108"/>
    <w:bookmarkEnd w:id="109"/>
    <w:bookmarkStart w:id="112" w:name="sec-release-v7c"/>
    <w:p>
      <w:pPr>
        <w:pStyle w:val="Heading1"/>
      </w:pPr>
      <w:r>
        <w:t xml:space="preserve">4. v7c — sea turtles and the North Atlantic right whale where the record places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quarto/share/formats/docx/note.png" id="11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release under review</w:t>
            </w:r>
          </w:p>
        </w:tc>
      </w:tr>
      <w:tr>
        <w:trPr>
          <w:cantSplit/>
        </w:trPr>
        <w:tc>
          <w:tcPr>
            <w:tcMar>
              <w:top w:w="108" w:type="dxa"/>
              <w:bottom w:w="108" w:type="dxa"/>
            </w:tcMar>
          </w:tcPr>
          <w:p>
            <w:pPr>
              <w:pStyle w:val="BodyText"/>
            </w:pPr>
            <w:pPr>
              <w:spacing w:before="16" w:after="16"/>
            </w:pPr>
            <w:r>
              <w:t xml:space="preserve">v7c (titled v7.2) is a pre-release under review. It patches v7’s sea-turtle and North Atlantic</w:t>
            </w:r>
            <w:r>
              <w:t xml:space="preserve"> </w:t>
            </w:r>
            <w:r>
              <w:t xml:space="preserve">right whale distributions where the observational record places them. Its chapter (the rules,</w:t>
            </w:r>
            <w:r>
              <w:t xml:space="preserve"> </w:t>
            </w:r>
            <w:r>
              <w:t xml:space="preserve">the evidence behind them and what moved in the scores) is published with the v7c documentation</w:t>
            </w:r>
            <w:r>
              <w:t xml:space="preserve"> </w:t>
            </w:r>
            <w:r>
              <w:t xml:space="preserve">on the signed-in review host, and appears in every version of this book once v7c is released.</w:t>
            </w:r>
          </w:p>
          <w:p/>
        </w:tc>
      </w:tr>
    </w:tbl>
    <w:bookmarkEnd w:id="112"/>
    <w:bookmarkStart w:id="128" w:name="sec-science"/>
    <w:p>
      <w:pPr>
        <w:pStyle w:val="Heading1"/>
      </w:pPr>
      <w:r>
        <w:t xml:space="preserve">5. Science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Applications/quarto/share/formats/docx/tip.png" id="115"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New to the MST scoring pipeline? The</w:t>
            </w:r>
            <w:r>
              <w:t xml:space="preserve"> </w:t>
            </w:r>
            <w:hyperlink r:id="rId25">
              <w:r>
                <w:rPr>
                  <w:rStyle w:val="Hyperlink"/>
                </w:rPr>
                <w:t xml:space="preserve">Scoring Walkthrough</w:t>
              </w:r>
            </w:hyperlink>
            <w:r>
              <w:t xml:space="preserve"> </w:t>
            </w:r>
            <w:r>
              <w:t xml:space="preserve">provides a step-by-step interactive visualization of how input rasters are merged, rescaled by ecoregion, and averaged into final sensitivity scores.</w:t>
            </w:r>
          </w:p>
          <w:p/>
        </w:tc>
      </w:tr>
    </w:tbl>
    <w:bookmarkStart w:id="117" w:name="conceptual-framework-1"/>
    <w:p>
      <w:pPr>
        <w:pStyle w:val="Heading2"/>
      </w:pPr>
      <w:r>
        <w:t xml:space="preserve">5.1 Conceptual Framework</w:t>
      </w:r>
    </w:p>
    <w:p>
      <w:pPr>
        <w:pStyle w:val="FirstParagraph"/>
      </w:pPr>
      <w:r>
        <w:t xml:space="preserve">The term vulnerability</w:t>
      </w:r>
      <w:r>
        <w:t xml:space="preserve"> </w:t>
      </w:r>
      <w:r>
        <w:t xml:space="preserve"> </w:t>
      </w:r>
      <w:r>
        <w:t xml:space="preserve">(</w:t>
      </w:r>
      <m:oMath>
        <m:r>
          <m:t>V</m:t>
        </m:r>
      </m:oMath>
      <w:r>
        <w:t xml:space="preserve">) is a function of exposure</w:t>
      </w:r>
      <w:r>
        <w:t xml:space="preserve"> </w:t>
      </w:r>
      <w:r>
        <w:t xml:space="preserve"> </w:t>
      </w:r>
      <w:r>
        <w:t xml:space="preserve">(</w:t>
      </w:r>
      <m:oMath>
        <m:r>
          <m:t>E</m:t>
        </m:r>
      </m:oMath>
      <w:r>
        <w:t xml:space="preserve">), sensitivity</w:t>
      </w:r>
      <w:r>
        <w:t xml:space="preserve"> </w:t>
      </w:r>
      <w:r>
        <w:t xml:space="preserve"> </w:t>
      </w:r>
      <w:r>
        <w:t xml:space="preserve">(</w:t>
      </w:r>
      <m:oMath>
        <m:r>
          <m:t>S</m:t>
        </m:r>
      </m:oMath>
      <w:r>
        <w:t xml:space="preserve">) and adaptive capacity</w:t>
      </w:r>
      <w:r>
        <w:t xml:space="preserve"> </w:t>
      </w:r>
      <w:r>
        <w:t xml:space="preserve"> </w:t>
      </w:r>
      <w:r>
        <w:t xml:space="preserve">(</w:t>
      </w:r>
      <m:oMath>
        <m:r>
          <m:t>A</m:t>
        </m:r>
      </m:oMath>
      <w:r>
        <w:t xml:space="preserve">) (</w:t>
      </w:r>
      <w:hyperlink w:anchor="eq-v">
        <w:r>
          <w:rPr>
            <w:rStyle w:val="Hyperlink"/>
          </w:rPr>
          <w:t xml:space="preserve">Equation 5.1</w:t>
        </w:r>
      </w:hyperlink>
      <w:r>
        <w:t xml:space="preserve">).</w:t>
      </w:r>
    </w:p>
    <w:p>
      <w:pPr>
        <w:pStyle w:val="BodyText"/>
      </w:pPr>
      <w:bookmarkStart w:id="116" w:name="eq-v"/>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5.1</m:t>
          </m:r>
          <m:r>
            <m:rPr>
              <m:sty m:val="p"/>
            </m:rPr>
            <m:t>)</m:t>
          </m:r>
        </m:oMath>
      </m:oMathPara>
      <w:bookmarkEnd w:id="116"/>
    </w:p>
    <w:p>
      <w:pPr>
        <w:pStyle w:val="FirstParagraph"/>
      </w:pPr>
      <w:r>
        <w:t xml:space="preserve">The more exposed and sensitive an area is—and the less able it is to recover—the more vulnerable it is to impacts from offshore human activities. The MST currently focuses on the</w:t>
      </w:r>
      <w:r>
        <w:t xml:space="preserve"> </w:t>
      </w:r>
      <w:r>
        <w:rPr>
          <w:b/>
          <w:bCs/>
        </w:rPr>
        <w:t xml:space="preserve">sensitivity</w:t>
      </w:r>
      <w:r>
        <w:t xml:space="preserve"> </w:t>
      </w:r>
      <w:r>
        <w:t xml:space="preserve">component, quantifying the intrinsic biological sensitivity of marine ecosystems based on the species present and their conservation status. Exposure and adaptive capacity components are planned for future phases (see</w:t>
      </w:r>
      <w:r>
        <w:t xml:space="preserve"> </w:t>
      </w:r>
      <w:hyperlink w:anchor="sec-stressors">
        <w:r>
          <w:rPr>
            <w:rStyle w:val="Hyperlink"/>
          </w:rPr>
          <w:t xml:space="preserve">Chapter 12</w:t>
        </w:r>
      </w:hyperlink>
      <w:r>
        <w:t xml:space="preserve">).</w:t>
      </w:r>
    </w:p>
    <w:bookmarkEnd w:id="117"/>
    <w:bookmarkStart w:id="119" w:name="cell-vulnerability"/>
    <w:p>
      <w:pPr>
        <w:pStyle w:val="Heading2"/>
      </w:pPr>
      <w:r>
        <w:t xml:space="preserve">5.2 Cell Vulnerability</w:t>
      </w:r>
    </w:p>
    <w:p>
      <w:pPr>
        <w:pStyle w:val="FirstParagraph"/>
      </w:pPr>
      <w:r>
        <w:t xml:space="preserve">For a given cell</w:t>
      </w:r>
      <w:r>
        <w:t xml:space="preserve"> </w:t>
      </w:r>
      <m:oMath>
        <m:r>
          <m:t>c</m:t>
        </m:r>
      </m:oMath>
      <w:r>
        <w:t xml:space="preserve">, the vulnerability score for a species group</w:t>
      </w:r>
      <w:r>
        <w:t xml:space="preserve"> </w:t>
      </w:r>
      <m:oMath>
        <m:r>
          <m:t>g</m:t>
        </m:r>
      </m:oMath>
      <w:r>
        <w:t xml:space="preserve"> </w:t>
      </w:r>
      <w:r>
        <w:t xml:space="preserve">is the sum across all</w:t>
      </w:r>
      <w:r>
        <w:t xml:space="preserve"> </w:t>
      </w:r>
      <m:oMath>
        <m:sSub>
          <m:e>
            <m:r>
              <m:t>S</m:t>
            </m:r>
          </m:e>
          <m:sub>
            <m:r>
              <m:t>g</m:t>
            </m:r>
          </m:sub>
        </m:sSub>
      </m:oMath>
      <w:r>
        <w:t xml:space="preserve"> </w:t>
      </w:r>
      <w:r>
        <w:t xml:space="preserve">species of the product of species presence probability</w:t>
      </w:r>
      <w:r>
        <w:t xml:space="preserve"> </w:t>
      </w:r>
      <m:oMath>
        <m:sSub>
          <m:e>
            <m:r>
              <m:t>p</m:t>
            </m:r>
          </m:e>
          <m:sub>
            <m:r>
              <m:t>s</m:t>
            </m:r>
            <m:r>
              <m:t>c</m:t>
            </m:r>
          </m:sub>
        </m:sSub>
      </m:oMath>
      <w:r>
        <w:t xml:space="preserve"> </w:t>
      </w:r>
      <w:r>
        <w:t xml:space="preserve">and extinction risk weight</w:t>
      </w:r>
      <w:r>
        <w:t xml:space="preserve"> </w:t>
      </w:r>
      <m:oMath>
        <m:sSub>
          <m:e>
            <m:r>
              <m:t>w</m:t>
            </m:r>
          </m:e>
          <m:sub>
            <m:r>
              <m:t>s</m:t>
            </m:r>
          </m:sub>
        </m:sSub>
      </m:oMath>
      <w:r>
        <w:t xml:space="preserve"> </w:t>
      </w:r>
      <w:r>
        <w:t xml:space="preserve">(</w:t>
      </w:r>
      <w:hyperlink w:anchor="eq-cells-v">
        <w:r>
          <w:rPr>
            <w:rStyle w:val="Hyperlink"/>
          </w:rPr>
          <w:t xml:space="preserve">Equation 5.2</w:t>
        </w:r>
      </w:hyperlink>
      <w:r>
        <w:t xml:space="preserve">):</w:t>
      </w:r>
    </w:p>
    <w:p>
      <w:pPr>
        <w:pStyle w:val="BodyText"/>
      </w:pPr>
      <w:bookmarkStart w:id="118" w:name="eq-cells-v"/>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5.2</m:t>
          </m:r>
          <m:r>
            <m:rPr>
              <m:sty m:val="p"/>
            </m:rPr>
            <m:t>)</m:t>
          </m:r>
        </m:oMath>
      </m:oMathPara>
      <w:bookmarkEnd w:id="118"/>
    </w:p>
    <w:p>
      <w:pPr>
        <w:pStyle w:val="FirstParagraph"/>
      </w:pPr>
      <w:r>
        <w:t xml:space="preserve">where:</w:t>
      </w:r>
    </w:p>
    <w:p>
      <w:pPr>
        <w:pStyle w:val="Compact"/>
        <w:numPr>
          <w:ilvl w:val="0"/>
          <w:numId w:val="1009"/>
        </w:numPr>
      </w:pPr>
      <m:oMath>
        <m:sSub>
          <m:e>
            <m:r>
              <m:t>v</m:t>
            </m:r>
          </m:e>
          <m:sub>
            <m:r>
              <m:t>c</m:t>
            </m:r>
          </m:sub>
        </m:sSub>
      </m:oMath>
      <w:r>
        <w:t xml:space="preserve"> </w:t>
      </w:r>
      <w:r>
        <w:t xml:space="preserve">= vulnerability score of cell</w:t>
      </w:r>
      <w:r>
        <w:t xml:space="preserve"> </w:t>
      </w:r>
      <m:oMath>
        <m:r>
          <m:t>c</m:t>
        </m:r>
      </m:oMath>
      <w:r>
        <w:t xml:space="preserve"> </w:t>
      </w:r>
      <w:r>
        <w:t xml:space="preserve">for species group</w:t>
      </w:r>
      <w:r>
        <w:t xml:space="preserve"> </w:t>
      </w:r>
      <m:oMath>
        <m:r>
          <m:t>g</m:t>
        </m:r>
      </m:oMath>
    </w:p>
    <w:p>
      <w:pPr>
        <w:pStyle w:val="Compact"/>
        <w:numPr>
          <w:ilvl w:val="0"/>
          <w:numId w:val="1009"/>
        </w:numPr>
      </w:pPr>
      <m:oMath>
        <m:sSub>
          <m:e>
            <m:r>
              <m:t>p</m:t>
            </m:r>
          </m:e>
          <m:sub>
            <m:r>
              <m:t>s</m:t>
            </m:r>
            <m:r>
              <m:t>c</m:t>
            </m:r>
          </m:sub>
        </m:sSub>
      </m:oMath>
      <w:r>
        <w:t xml:space="preserve"> </w:t>
      </w:r>
      <w:r>
        <w:t xml:space="preserve">= probability of species</w:t>
      </w:r>
      <w:r>
        <w:t xml:space="preserve"> </w:t>
      </w:r>
      <m:oMath>
        <m:r>
          <m:t>s</m:t>
        </m:r>
      </m:oMath>
      <w:r>
        <w:t xml:space="preserve"> </w:t>
      </w:r>
      <w:r>
        <w:t xml:space="preserve">presence in cell</w:t>
      </w:r>
      <w:r>
        <w:t xml:space="preserve"> </w:t>
      </w:r>
      <m:oMath>
        <m:r>
          <m:t>c</m:t>
        </m:r>
      </m:oMath>
      <w:r>
        <w:t xml:space="preserve"> </w:t>
      </w:r>
      <w:r>
        <w:t xml:space="preserve">(0–1 scale, from merged species distribution models)</w:t>
      </w:r>
    </w:p>
    <w:p>
      <w:pPr>
        <w:pStyle w:val="Compact"/>
        <w:numPr>
          <w:ilvl w:val="0"/>
          <w:numId w:val="1009"/>
        </w:numPr>
      </w:pPr>
      <m:oMath>
        <m:sSub>
          <m:e>
            <m:r>
              <m:t>w</m:t>
            </m:r>
          </m:e>
          <m:sub>
            <m:r>
              <m:t>s</m:t>
            </m:r>
          </m:sub>
        </m:sSub>
      </m:oMath>
      <w:r>
        <w:t xml:space="preserve"> </w:t>
      </w:r>
      <w:r>
        <w:t xml:space="preserve">= extinction risk weight for species</w:t>
      </w:r>
      <w:r>
        <w:t xml:space="preserve"> </w:t>
      </w:r>
      <m:oMath>
        <m:r>
          <m:t>s</m:t>
        </m:r>
      </m:oMath>
      <w:r>
        <w:t xml:space="preserve"> </w:t>
      </w:r>
      <w:r>
        <w:t xml:space="preserve">(0–1 scale, derived from ESA/MMPA/MBTA/IUCN status; see</w:t>
      </w:r>
      <w:r>
        <w:t xml:space="preserve"> </w:t>
      </w:r>
      <w:hyperlink w:anchor="sec-extinction-risk">
        <w:r>
          <w:rPr>
            <w:rStyle w:val="Hyperlink"/>
          </w:rPr>
          <w:t xml:space="preserve">Chapter 8</w:t>
        </w:r>
      </w:hyperlink>
      <w:r>
        <w:t xml:space="preserve">)</w:t>
      </w:r>
    </w:p>
    <w:p>
      <w:pPr>
        <w:pStyle w:val="Compact"/>
        <w:numPr>
          <w:ilvl w:val="0"/>
          <w:numId w:val="1009"/>
        </w:numPr>
      </w:pPr>
      <m:oMath>
        <m:sSub>
          <m:e>
            <m:r>
              <m:t>S</m:t>
            </m:r>
          </m:e>
          <m:sub>
            <m:r>
              <m:t>g</m:t>
            </m:r>
          </m:sub>
        </m:sSub>
      </m:oMath>
      <w:r>
        <w:t xml:space="preserve"> </w:t>
      </w:r>
      <w:r>
        <w:t xml:space="preserve">= total number of species in taxonomic group</w:t>
      </w:r>
      <w:r>
        <w:t xml:space="preserve"> </w:t>
      </w:r>
      <m:oMath>
        <m:r>
          <m:t>g</m:t>
        </m:r>
      </m:oMath>
      <w:r>
        <w:t xml:space="preserve"> </w:t>
      </w:r>
      <w:r>
        <w:t xml:space="preserve">(e.g., bird, fish, mammal, coral, invertebrate, reptile/turtle)</w:t>
      </w:r>
    </w:p>
    <w:p>
      <w:pPr>
        <w:pStyle w:val="FirstParagraph"/>
      </w:pPr>
      <w:r>
        <w:t xml:space="preserve">In other words, if a cell has many species that are both likely to be present and at high risk of extinction, it gets a higher sensitivity score. This helps identify places where rare or threatened species are concentrated.</w:t>
      </w:r>
    </w:p>
    <w:bookmarkEnd w:id="119"/>
    <w:bookmarkStart w:id="120" w:name="sensitivity-components"/>
    <w:p>
      <w:pPr>
        <w:pStyle w:val="Heading2"/>
      </w:pPr>
      <w:r>
        <w:t xml:space="preserve">5.3 Sensitivity Components</w:t>
      </w:r>
    </w:p>
    <w:p>
      <w:pPr>
        <w:pStyle w:val="FirstParagraph"/>
      </w:pPr>
      <w:r>
        <w:t xml:space="preserve">The MST assesses sensitivity through three components:</w:t>
      </w:r>
    </w:p>
    <w:p>
      <w:pPr>
        <w:pStyle w:val="Compact"/>
        <w:numPr>
          <w:ilvl w:val="0"/>
          <w:numId w:val="1010"/>
        </w:numPr>
      </w:pPr>
      <w:r>
        <w:rPr>
          <w:b/>
          <w:bCs/>
        </w:rPr>
        <w:t xml:space="preserve">Species</w:t>
      </w:r>
      <w:r>
        <w:t xml:space="preserve"> </w:t>
      </w:r>
      <w:r>
        <w:t xml:space="preserve">— by taxonomic category (bird, coral, fish, invertebrate, mammal, reptile/turtle): extinction risk weighted species distribution models across 17,130 valid species (see</w:t>
      </w:r>
      <w:r>
        <w:t xml:space="preserve"> </w:t>
      </w:r>
      <w:hyperlink w:anchor="sec-data-sources">
        <w:r>
          <w:rPr>
            <w:rStyle w:val="Hyperlink"/>
          </w:rPr>
          <w:t xml:space="preserve">Chapter 6</w:t>
        </w:r>
      </w:hyperlink>
      <w:r>
        <w:t xml:space="preserve">,</w:t>
      </w:r>
      <w:r>
        <w:t xml:space="preserve"> </w:t>
      </w:r>
      <w:hyperlink w:anchor="sec-extinction-risk">
        <w:r>
          <w:rPr>
            <w:rStyle w:val="Hyperlink"/>
          </w:rPr>
          <w:t xml:space="preserve">Chapter 8</w:t>
        </w:r>
      </w:hyperlink>
      <w:r>
        <w:t xml:space="preserve">)</w:t>
      </w:r>
    </w:p>
    <w:p>
      <w:pPr>
        <w:pStyle w:val="Compact"/>
        <w:numPr>
          <w:ilvl w:val="0"/>
          <w:numId w:val="1010"/>
        </w:numPr>
      </w:pPr>
      <w:r>
        <w:rPr>
          <w:b/>
          <w:bCs/>
        </w:rPr>
        <w:t xml:space="preserve">Habitats</w:t>
      </w:r>
      <w:r>
        <w:t xml:space="preserve"> </w:t>
      </w:r>
      <w:r>
        <w:t xml:space="preserve">— benthic habitats such as coral reefs, seamounts, and hydrothermal vents (planned for future phases)</w:t>
      </w:r>
    </w:p>
    <w:p>
      <w:pPr>
        <w:pStyle w:val="Compact"/>
        <w:numPr>
          <w:ilvl w:val="0"/>
          <w:numId w:val="1010"/>
        </w:numPr>
      </w:pPr>
      <w:r>
        <w:rPr>
          <w:b/>
          <w:bCs/>
        </w:rPr>
        <w:t xml:space="preserve">Primary Productivity</w:t>
      </w:r>
      <w:r>
        <w:t xml:space="preserve"> </w:t>
      </w:r>
      <w:r>
        <w:t xml:space="preserve">— satellite-derived net primary productivity from the Vertically Generalized Production Model (VGPM), measured as metric tons C km</w:t>
      </w:r>
      <w:r>
        <w:rPr>
          <w:vertAlign w:val="superscript"/>
        </w:rPr>
        <w:t xml:space="preserve">-2</w:t>
      </w:r>
      <w:r>
        <w:t xml:space="preserve"> </w:t>
      </w:r>
      <w:r>
        <w:t xml:space="preserve">yr</w:t>
      </w:r>
      <w:r>
        <w:rPr>
          <w:vertAlign w:val="superscript"/>
        </w:rPr>
        <w:t xml:space="preserve">-1</w:t>
      </w:r>
      <w:r>
        <w:t xml:space="preserve"> </w:t>
      </w:r>
      <w:r>
        <w:t xml:space="preserve">(see</w:t>
      </w:r>
      <w:r>
        <w:t xml:space="preserve"> </w:t>
      </w:r>
      <w:hyperlink w:anchor="sec-data-sources">
        <w:r>
          <w:rPr>
            <w:rStyle w:val="Hyperlink"/>
          </w:rPr>
          <w:t xml:space="preserve">Chapter 6</w:t>
        </w:r>
      </w:hyperlink>
      <w:r>
        <w:t xml:space="preserve">)</w:t>
      </w:r>
    </w:p>
    <w:bookmarkEnd w:id="120"/>
    <w:bookmarkStart w:id="127" w:name="ecoregional-rescaling"/>
    <w:p>
      <w:pPr>
        <w:pStyle w:val="Heading2"/>
      </w:pPr>
      <w:r>
        <w:t xml:space="preserve">5.4 Ecoregional Rescaling</w:t>
      </w:r>
    </w:p>
    <w:p>
      <w:pPr>
        <w:pStyle w:val="FirstParagraph"/>
      </w:pPr>
      <w:r>
        <w:t xml:space="preserve">Raw cell scores vary naturally across regions due to differences in species richness and oceanographic conditions. To enable meaningful comparison, scores are rescaled to a [0–100] range within each BOEM Ecoregion using min-max normalization (</w:t>
      </w:r>
      <w:hyperlink w:anchor="eq-rescale">
        <w:r>
          <w:rPr>
            <w:rStyle w:val="Hyperlink"/>
          </w:rPr>
          <w:t xml:space="preserve">Equation 5.3</w:t>
        </w:r>
      </w:hyperlink>
      <w:r>
        <w:t xml:space="preserve">):</w:t>
      </w:r>
    </w:p>
    <w:p>
      <w:pPr>
        <w:pStyle w:val="BodyText"/>
      </w:pPr>
      <w:bookmarkStart w:id="121" w:name="eq-rescale"/>
      <m:oMathPara>
        <m:oMathParaPr>
          <m:jc m:val="center"/>
        </m:oMathParaPr>
        <m:oMath>
          <m:sSubSup>
            <m:e>
              <m:r>
                <m:t>v</m:t>
              </m:r>
            </m:e>
            <m:sub>
              <m:r>
                <m:t>c</m:t>
              </m:r>
            </m:sub>
            <m:sup>
              <m:r>
                <m:rPr>
                  <m:sty m:val="p"/>
                </m:rPr>
                <m:t>′</m:t>
              </m:r>
            </m:sup>
          </m:sSubSup>
          <m:r>
            <m:rPr>
              <m:sty m:val="p"/>
            </m:rPr>
            <m:t>=</m:t>
          </m:r>
          <m:f>
            <m:fPr>
              <m:type m:val="bar"/>
            </m:fPr>
            <m:num>
              <m:sSub>
                <m:e>
                  <m:r>
                    <m:t>v</m:t>
                  </m:r>
                </m:e>
                <m:sub>
                  <m:r>
                    <m:t>c</m:t>
                  </m:r>
                </m:sub>
              </m:sSub>
              <m:r>
                <m:rPr>
                  <m:sty m:val="p"/>
                </m:rPr>
                <m:t>−</m:t>
              </m:r>
              <m:sSub>
                <m:e>
                  <m:r>
                    <m:t>v</m:t>
                  </m:r>
                </m:e>
                <m:sub>
                  <m:r>
                    <m:t>m</m:t>
                  </m:r>
                  <m:r>
                    <m:t>i</m:t>
                  </m:r>
                  <m:r>
                    <m:t>n</m:t>
                  </m:r>
                </m:sub>
              </m:sSub>
            </m:num>
            <m:den>
              <m:sSub>
                <m:e>
                  <m:r>
                    <m:t>v</m:t>
                  </m:r>
                </m:e>
                <m:sub>
                  <m:r>
                    <m:t>m</m:t>
                  </m:r>
                  <m:r>
                    <m:t>a</m:t>
                  </m:r>
                  <m:r>
                    <m:t>x</m:t>
                  </m:r>
                </m:sub>
              </m:sSub>
              <m:r>
                <m:rPr>
                  <m:sty m:val="p"/>
                </m:rPr>
                <m:t>−</m:t>
              </m:r>
              <m:sSub>
                <m:e>
                  <m:r>
                    <m:t>v</m:t>
                  </m:r>
                </m:e>
                <m:sub>
                  <m:r>
                    <m:t>m</m:t>
                  </m:r>
                  <m:r>
                    <m:t>i</m:t>
                  </m:r>
                  <m:r>
                    <m:t>n</m:t>
                  </m:r>
                </m:sub>
              </m:sSub>
            </m:den>
          </m:f>
          <m:r>
            <m:rPr>
              <m:sty m:val="p"/>
            </m:rPr>
            <m:t>×</m:t>
          </m:r>
          <m:r>
            <m:t>100</m:t>
          </m:r>
          <m:r>
            <m:t>  </m:t>
          </m:r>
          <m:r>
            <m:rPr>
              <m:sty m:val="p"/>
            </m:rPr>
            <m:t>(</m:t>
          </m:r>
          <m:r>
            <m:t>5.3</m:t>
          </m:r>
          <m:r>
            <m:rPr>
              <m:sty m:val="p"/>
            </m:rPr>
            <m:t>)</m:t>
          </m:r>
        </m:oMath>
      </m:oMathPara>
      <w:bookmarkEnd w:id="121"/>
    </w:p>
    <w:p>
      <w:pPr>
        <w:pStyle w:val="FirstParagraph"/>
      </w:pPr>
      <w:r>
        <w:t xml:space="preserve">where</w:t>
      </w:r>
      <w:r>
        <w:t xml:space="preserve"> </w:t>
      </w:r>
      <m:oMath>
        <m:sSub>
          <m:e>
            <m:r>
              <m:t>v</m:t>
            </m:r>
          </m:e>
          <m:sub>
            <m:r>
              <m:t>m</m:t>
            </m:r>
            <m:r>
              <m:t>i</m:t>
            </m:r>
            <m:r>
              <m:t>n</m:t>
            </m:r>
          </m:sub>
        </m:sSub>
      </m:oMath>
      <w:r>
        <w:t xml:space="preserve"> </w:t>
      </w:r>
      <w:r>
        <w:t xml:space="preserve">and</w:t>
      </w:r>
      <w:r>
        <w:t xml:space="preserve"> </w:t>
      </w:r>
      <m:oMath>
        <m:sSub>
          <m:e>
            <m:r>
              <m:t>v</m:t>
            </m:r>
          </m:e>
          <m:sub>
            <m:r>
              <m:t>m</m:t>
            </m:r>
            <m:r>
              <m:t>a</m:t>
            </m:r>
            <m:r>
              <m:t>x</m:t>
            </m:r>
          </m:sub>
        </m:sSub>
      </m:oMath>
      <w:r>
        <w:t xml:space="preserve"> </w:t>
      </w:r>
      <w:r>
        <w:t xml:space="preserve">are the minimum and maximum cell scores for a given component within the Ecoregion.</w:t>
      </w:r>
    </w:p>
    <w:p>
      <w:pPr>
        <w:pStyle w:val="BodyText"/>
      </w:pPr>
      <w:r>
        <w:rPr>
          <w:b/>
          <w:bCs/>
        </w:rPr>
        <w:t xml:space="preserve">Scores are relative within Ecoregions, not absolute.</w:t>
      </w:r>
      <w:r>
        <w:t xml:space="preserve"> </w:t>
      </w:r>
      <w:r>
        <w:t xml:space="preserve">A score of 100 represents the most sensitive 0.05° cell for a given component (e.g., fish, marine mammals, or primary productivity) within a given BOEM Ecoregion—not globally. The final score is an equally weighted average of these ecoregionally rescaled components. This means that a score of 30 in Alaska reflects a different ecological context than a score of 30 in the Pacific.</w:t>
      </w:r>
    </w:p>
    <w:p>
      <w:pPr>
        <w:pStyle w:val="BodyText"/>
      </w:pPr>
      <w:r>
        <w:rPr>
          <w:b/>
          <w:bCs/>
        </w:rPr>
        <w:t xml:space="preserve">Why rescale by Ecoregion?</w:t>
      </w:r>
      <w:r>
        <w:t xml:space="preserve"> </w:t>
      </w:r>
      <w:r>
        <w:t xml:space="preserve">Without this step, areas with naturally higher numbers of species (like upwelling zones in the Pacific) would almost always get the highest scores, simply because they have more species. While more species may indicate greater ecological importance, it could also be argued that the fewer species in an ecosystem, the more important each is to its function and resilience. Rescaling by Ecoregion prevents scores from being overwhelmed by species-rich areas. However, comparing</w:t>
      </w:r>
      <w:r>
        <w:t xml:space="preserve"> </w:t>
      </w:r>
      <w:r>
        <w:rPr>
          <w:i/>
          <w:iCs/>
        </w:rPr>
        <w:t xml:space="preserve">across</w:t>
      </w:r>
      <w:r>
        <w:t xml:space="preserve"> </w:t>
      </w:r>
      <w:r>
        <w:t xml:space="preserve">Ecoregions would require developing a mathematical relationship between these competing arguments for sensitivity—one that is still a source of earnest academic debate. For this reason,</w:t>
      </w:r>
      <w:r>
        <w:t xml:space="preserve"> </w:t>
      </w:r>
      <w:r>
        <w:rPr>
          <w:b/>
          <w:bCs/>
        </w:rPr>
        <w:t xml:space="preserve">scores are directly comparable among Program Areas within the same Ecoregion, but should not be compared across Ecoregions</w:t>
      </w:r>
      <w:r>
        <w:t xml:space="preserve">.</w:t>
      </w:r>
    </w:p>
    <w:bookmarkStart w:id="126" w:name="geographic-scope"/>
    <w:p>
      <w:pPr>
        <w:pStyle w:val="Heading3"/>
      </w:pPr>
      <w:r>
        <w:t xml:space="preserve">5.4.1 Geographic Scope</w:t>
      </w:r>
    </w:p>
    <w:p>
      <w:pPr>
        <w:pStyle w:val="FirstParagraph"/>
      </w:pPr>
      <w:r>
        <w:t xml:space="preserve">The current analysis covers 20 BOEM Program Areas from the 11th National Draft Proposed Program (2025) spanning Alaska, the Pacific, and the Gulf of America (</w:t>
      </w:r>
      <w:hyperlink w:anchor="fig-map-ecoregions-science">
        <w:r>
          <w:rPr>
            <w:rStyle w:val="Hyperlink"/>
          </w:rPr>
          <w:t xml:space="preserve">Figure 5.1</w:t>
        </w:r>
      </w:hyperlink>
      <w:r>
        <w:t xml:space="preserve">). The Atlantic OCS region is not included in this program cycle, so ecoregions without Program Areas (e.g., Northeast Continental Shelf, Southeast Continental Shelf, Washington/Oregon) are excluded from the analysis. Species whose distributions do not overlap with any Program Area will not appear in the interactive mapping applications.</w:t>
      </w:r>
    </w:p>
    <w:p>
      <w:pPr>
        <w:pStyle w:val="BodyText"/>
      </w:pPr>
      <w:r>
        <w:t xml:space="preserve">The Gulf of America Program Areas—GOA Program Area A (GAA) and GOA Program Area B (GAB)—were derived from the larger Gulf of America Planning Areas and span parts of two Ecoregions: Western and Central Gulf of America (WCGOA) and Eastern Gulf of America (EGOA). Because cell scores are rescaled within each Ecoregion before aggregation, cells in GAA that fall within the WCGOA Ecoregion are rescaled relative to WCGOA min/max values, while cells within EGOA use EGOA min/max values. The aggregated Program Area score is then the area-weighted average across all constituent cells, regardless of which Ecoregion they belong to. This approach ensures that the rescaling reflects local ecological context even when a Program Area spans Ecoregion boundaries. See</w:t>
      </w:r>
      <w:r>
        <w:t xml:space="preserve"> </w:t>
      </w:r>
      <w:hyperlink w:anchor="sec-scoring">
        <w:r>
          <w:rPr>
            <w:rStyle w:val="Hyperlink"/>
          </w:rPr>
          <w:t xml:space="preserve">Chapter 10</w:t>
        </w:r>
      </w:hyperlink>
      <w:r>
        <w:t xml:space="preserve"> </w:t>
      </w:r>
      <w:r>
        <w:t xml:space="preserve">for implementation details.</w:t>
      </w:r>
    </w:p>
    <w:tbl>
      <w:tblPr>
        <w:tblStyle w:val="Table"/>
        <w:tblW w:type="pct" w:w="5000"/>
        <w:tblLayout w:type="fixed"/>
        <w:tblLook w:firstRow="0" w:lastRow="0" w:firstColumn="0" w:lastColumn="0" w:noHBand="0" w:noVBand="0" w:val="0000"/>
      </w:tblPr>
      <w:tblGrid>
        <w:gridCol w:w="7920"/>
      </w:tblGrid>
      <w:tr>
        <w:tc>
          <w:tcPr/>
          <w:bookmarkStart w:id="125" w:name="fig-map-ecoregions-science"/>
          <w:p>
            <w:pPr>
              <w:pStyle w:val="Compact"/>
              <w:jc w:val="center"/>
            </w:pPr>
            <w:r>
              <w:drawing>
                <wp:inline>
                  <wp:extent cx="5334000" cy="3182620"/>
                  <wp:effectExtent b="0" l="0" r="0" t="0"/>
                  <wp:docPr descr="" title="" id="123" name="Picture"/>
                  <a:graphic>
                    <a:graphicData uri="http://schemas.openxmlformats.org/drawingml/2006/picture">
                      <pic:pic>
                        <pic:nvPicPr>
                          <pic:cNvPr descr="figures/map-ecoregions-static.png" id="124" name="Picture"/>
                          <pic:cNvPicPr>
                            <a:picLocks noChangeArrowheads="1" noChangeAspect="1"/>
                          </pic:cNvPicPr>
                        </pic:nvPicPr>
                        <pic:blipFill>
                          <a:blip r:embed="rId122"/>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125"/>
        </w:tc>
      </w:tr>
    </w:tbl>
    <w:p>
      <w:pPr>
        <w:pStyle w:val="BodyText"/>
      </w:pPr>
      <w:r>
        <w:t xml:space="preserve">See subsequent chapters for detailed descriptions of: data sources (</w:t>
      </w:r>
      <w:hyperlink w:anchor="sec-data-sources">
        <w:r>
          <w:rPr>
            <w:rStyle w:val="Hyperlink"/>
          </w:rPr>
          <w:t xml:space="preserve">Chapter 6</w:t>
        </w:r>
      </w:hyperlink>
      <w:r>
        <w:t xml:space="preserve">), taxonomic integration (</w:t>
      </w:r>
      <w:hyperlink w:anchor="sec-taxonomy">
        <w:r>
          <w:rPr>
            <w:rStyle w:val="Hyperlink"/>
          </w:rPr>
          <w:t xml:space="preserve">Chapter 7</w:t>
        </w:r>
      </w:hyperlink>
      <w:r>
        <w:t xml:space="preserve">), extinction risk scoring (</w:t>
      </w:r>
      <w:hyperlink w:anchor="sec-extinction-risk">
        <w:r>
          <w:rPr>
            <w:rStyle w:val="Hyperlink"/>
          </w:rPr>
          <w:t xml:space="preserve">Chapter 8</w:t>
        </w:r>
      </w:hyperlink>
      <w:r>
        <w:t xml:space="preserve">), model merging (</w:t>
      </w:r>
      <w:hyperlink w:anchor="sec-model-merging">
        <w:r>
          <w:rPr>
            <w:rStyle w:val="Hyperlink"/>
          </w:rPr>
          <w:t xml:space="preserve">Chapter 9</w:t>
        </w:r>
      </w:hyperlink>
      <w:r>
        <w:t xml:space="preserve">), and scoring methodology (</w:t>
      </w:r>
      <w:hyperlink w:anchor="sec-scoring">
        <w:r>
          <w:rPr>
            <w:rStyle w:val="Hyperlink"/>
          </w:rPr>
          <w:t xml:space="preserve">Chapter 10</w:t>
        </w:r>
      </w:hyperlink>
      <w:r>
        <w:t xml:space="preserve">).</w:t>
      </w:r>
    </w:p>
    <w:bookmarkEnd w:id="126"/>
    <w:bookmarkEnd w:id="127"/>
    <w:bookmarkEnd w:id="128"/>
    <w:bookmarkStart w:id="180" w:name="sec-data-sources"/>
    <w:p>
      <w:pPr>
        <w:pStyle w:val="Heading1"/>
      </w:pPr>
      <w:r>
        <w:t xml:space="preserve">6. Data Sources</w:t>
      </w:r>
    </w:p>
    <w:p>
      <w:pPr>
        <w:pStyle w:val="FirstParagraph"/>
      </w:pPr>
      <w:r>
        <w:t xml:space="preserve">The MST integrates species distributions from</w:t>
      </w:r>
      <w:r>
        <w:t xml:space="preserve"> </w:t>
      </w:r>
      <w:r>
        <w:rPr>
          <w:b/>
          <w:bCs/>
        </w:rPr>
        <w:t xml:space="preserve">10 source datasets</w:t>
      </w:r>
      <w:r>
        <w:t xml:space="preserve">, though not in equal measure —</w:t>
      </w:r>
      <w:r>
        <w:t xml:space="preserve"> </w:t>
      </w:r>
      <w:r>
        <w:rPr>
          <w:rStyle w:val="VerbatimChar"/>
        </w:rPr>
        <w:t xml:space="preserve">am</w:t>
      </w:r>
      <w:r>
        <w:t xml:space="preserve"> </w:t>
      </w:r>
      <w:r>
        <w:t xml:space="preserve">alone supplies the distribution of 97% of this release’s valid species. Each source predicts where a species occurs, and they differ in kind: continuous suitability models, habitats tied to a core area, critical habitat or distinct population segment, and expert range maps.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quarto/share/formats/docx/note.png" id="13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counts and citations on this page are read from</w:t>
            </w:r>
            <w:r>
              <w:t xml:space="preserve"> </w:t>
            </w:r>
            <w:r>
              <w:rPr>
                <w:b/>
                <w:bCs/>
              </w:rPr>
              <w:t xml:space="preserve">v9</w:t>
            </w:r>
            <w:r>
              <w:t xml:space="preserve">’s own published</w:t>
            </w:r>
            <w:r>
              <w:t xml:space="preserve"> </w:t>
            </w:r>
            <w:r>
              <w:rPr>
                <w:rStyle w:val="VerbatimChar"/>
              </w:rPr>
              <w:t xml:space="preserve">dataset</w:t>
            </w:r>
            <w:r>
              <w:t xml:space="preserve"> </w:t>
            </w:r>
            <w:r>
              <w:t xml:space="preserve">table, so they describe that release rather than the current one. Earlier releases integrated fewer sources: the table below</w:t>
            </w:r>
            <w:r>
              <w:t xml:space="preserve"> </w:t>
            </w:r>
            <w:r>
              <w:rPr>
                <w:i/>
                <w:iCs/>
              </w:rPr>
              <w:t xml:space="preserve">is</w:t>
            </w:r>
            <w:r>
              <w:t xml:space="preserve"> </w:t>
            </w:r>
            <w:r>
              <w:t xml:space="preserve">the answer for this version.</w:t>
            </w:r>
          </w:p>
          <w:p/>
        </w:tc>
      </w:tr>
    </w:tbl>
    <w:bookmarkStart w:id="136" w:name="dataset-overview"/>
    <w:p>
      <w:pPr>
        <w:pStyle w:val="Heading2"/>
      </w:pPr>
      <w:r>
        <w:t xml:space="preserve">6.1 Dataset overview</w:t>
      </w:r>
    </w:p>
    <w:tbl>
      <w:tblPr>
        <w:tblStyle w:val="Table"/>
        <w:tblW w:type="pct" w:w="5000"/>
        <w:tblLayout w:type="fixed"/>
        <w:tblLook w:firstRow="0" w:lastRow="0" w:firstColumn="0" w:lastColumn="0" w:noHBand="0" w:noVBand="0" w:val="0000"/>
      </w:tblPr>
      <w:tblGrid>
        <w:gridCol w:w="7920"/>
      </w:tblGrid>
      <w:tr>
        <w:tc>
          <w:tcPr/>
          <w:bookmarkStart w:id="131" w:name="tbl-datasets"/>
          <w:p>
            <w:pPr>
              <w:jc w:val="center"/>
            </w:pPr>
            <w:pPr>
              <w:jc w:val="left"/>
              <w:spacing w:before="200"/>
              <w:pStyle w:val="ImageCaption"/>
            </w:pPr>
            <w:r>
              <w:t xml:space="preserve">Table 6.1: Source datasets in v9, ordered by merge priority.</w:t>
            </w:r>
            <w:r>
              <w:t xml:space="preserve"> </w:t>
            </w:r>
            <w:r>
              <w:rPr>
                <w:i/>
                <w:iCs/>
              </w:rPr>
              <w:t xml:space="preserve">Mask</w:t>
            </w:r>
            <w:r>
              <w:t xml:space="preserve"> </w:t>
            </w:r>
            <w:r>
              <w:t xml:space="preserve">datasets constrain a taxon’s merged distribution to its known range as well as contributing values.</w:t>
            </w:r>
            <w:r>
              <w:t xml:space="preserve"> </w:t>
            </w:r>
            <w:r>
              <w:rPr>
                <w:i/>
                <w:iCs/>
              </w:rPr>
              <w:t xml:space="preserve">Taxa</w:t>
            </w:r>
            <w:r>
              <w:t xml:space="preserve"> </w:t>
            </w:r>
            <w:r>
              <w:t xml:space="preserve">is how many of this release’s valid species the dataset actually supplied a model for — not how many models it registered.</w:t>
            </w:r>
          </w:p>
          <w:tbl>
            <w:tblPr>
              <w:tblStyle w:val="Table"/>
              <w:tblW w:type="pct" w:w="5000"/>
              <w:tblLayout w:type="fixed"/>
              <w:tblLook w:firstRow="1" w:lastRow="0" w:firstColumn="0" w:lastColumn="0" w:noHBand="0" w:noVBand="0" w:val="0020"/>
            </w:tblPr>
            <w:tblGrid>
              <w:gridCol w:w="774"/>
              <w:gridCol w:w="880"/>
              <w:gridCol w:w="5596"/>
              <w:gridCol w:w="211"/>
              <w:gridCol w:w="246"/>
              <w:gridCol w:w="211"/>
            </w:tblGrid>
            <w:tr>
              <w:trPr>
                <w:tblHeader w:val="on"/>
              </w:trPr>
              <w:tc>
                <w:tcPr/>
                <w:p>
                  <w:pPr>
                    <w:pStyle w:val="Compact"/>
                    <w:jc w:val="left"/>
                    <w:jc w:val="center"/>
                  </w:pPr>
                  <w:r>
                    <w:t xml:space="preserve">Dataset key</w:t>
                  </w:r>
                </w:p>
              </w:tc>
              <w:tc>
                <w:tcPr/>
                <w:p>
                  <w:pPr>
                    <w:pStyle w:val="Compact"/>
                    <w:jc w:val="left"/>
                    <w:jc w:val="center"/>
                  </w:pPr>
                  <w:r>
                    <w:t xml:space="preserve">Name</w:t>
                  </w:r>
                </w:p>
              </w:tc>
              <w:tc>
                <w:tcPr/>
                <w:p>
                  <w:pPr>
                    <w:pStyle w:val="Compact"/>
                    <w:jc w:val="left"/>
                    <w:jc w:val="center"/>
                  </w:pPr>
                  <w:r>
                    <w:t xml:space="preserve">Cell values</w:t>
                  </w:r>
                </w:p>
              </w:tc>
              <w:tc>
                <w:tcPr/>
                <w:p>
                  <w:pPr>
                    <w:pStyle w:val="Compact"/>
                    <w:jc w:val="center"/>
                    <w:jc w:val="center"/>
                  </w:pPr>
                  <w:r>
                    <w:t xml:space="preserve">Mask</w:t>
                  </w:r>
                </w:p>
              </w:tc>
              <w:tc>
                <w:tcPr/>
                <w:p>
                  <w:pPr>
                    <w:pStyle w:val="Compact"/>
                    <w:jc w:val="right"/>
                    <w:jc w:val="center"/>
                  </w:pPr>
                  <w:r>
                    <w:t xml:space="preserve">Taxa</w:t>
                  </w:r>
                </w:p>
              </w:tc>
              <w:tc>
                <w:tcPr/>
                <w:p>
                  <w:pPr>
                    <w:pStyle w:val="Compact"/>
                    <w:jc w:val="right"/>
                    <w:jc w:val="center"/>
                  </w:pPr>
                  <w:r>
                    <w:t xml:space="preserve">Share</w:t>
                  </w:r>
                </w:p>
              </w:tc>
            </w:tr>
            <w:tr>
              <w:tc>
                <w:tcPr/>
                <w:p>
                  <w:pPr>
                    <w:pStyle w:val="Compact"/>
                    <w:jc w:val="left"/>
                    <w:jc w:val="center"/>
                  </w:pPr>
                  <w:r>
                    <w:rPr>
                      <w:rStyle w:val="VerbatimChar"/>
                    </w:rPr>
                    <w:t xml:space="preserve">ax</w:t>
                  </w:r>
                </w:p>
              </w:tc>
              <w:tc>
                <w:tcPr/>
                <w:p>
                  <w:pPr>
                    <w:pStyle w:val="Compact"/>
                    <w:jc w:val="left"/>
                    <w:jc w:val="center"/>
                  </w:pPr>
                  <w:r>
                    <w:t xml:space="preserve">AquaX</w:t>
                  </w:r>
                </w:p>
              </w:tc>
              <w:tc>
                <w:tcPr/>
                <w:p>
                  <w:pPr>
                    <w:pStyle w:val="Compact"/>
                    <w:jc w:val="left"/>
                    <w:jc w:val="center"/>
                  </w:pPr>
                  <w:r>
                    <w:t xml:space="preserve">habitat suitability 0–100 (delivered 0–1000 ensemble mean ÷ 10)</w:t>
                  </w:r>
                </w:p>
              </w:tc>
              <w:tc>
                <w:tcPr/>
                <w:p>
                  <w:pPr>
                    <w:pStyle w:val="Compact"/>
                    <w:jc w:val="center"/>
                    <w:jc w:val="center"/>
                  </w:pPr>
                  <w:r>
                    <w:t xml:space="preserve">No</w:t>
                  </w:r>
                </w:p>
              </w:tc>
              <w:tc>
                <w:tcPr/>
                <w:p>
                  <w:pPr>
                    <w:pStyle w:val="Compact"/>
                    <w:jc w:val="right"/>
                    <w:jc w:val="center"/>
                  </w:pPr>
                  <w:r>
                    <w:t xml:space="preserve">10,506</w:t>
                  </w:r>
                </w:p>
              </w:tc>
              <w:tc>
                <w:tcPr/>
                <w:p>
                  <w:pPr>
                    <w:pStyle w:val="Compact"/>
                    <w:jc w:val="right"/>
                    <w:jc w:val="center"/>
                  </w:pPr>
                  <w:r>
                    <w:t xml:space="preserve">61.3%</w:t>
                  </w:r>
                </w:p>
              </w:tc>
            </w:tr>
            <w:tr>
              <w:tc>
                <w:tcPr/>
                <w:p>
                  <w:pPr>
                    <w:pStyle w:val="Compact"/>
                    <w:jc w:val="left"/>
                    <w:jc w:val="center"/>
                  </w:pPr>
                  <w:r>
                    <w:rPr>
                      <w:rStyle w:val="VerbatimChar"/>
                    </w:rPr>
                    <w:t xml:space="preserve">am</w:t>
                  </w:r>
                </w:p>
              </w:tc>
              <w:tc>
                <w:tcPr/>
                <w:p>
                  <w:pPr>
                    <w:pStyle w:val="Compact"/>
                    <w:jc w:val="left"/>
                    <w:jc w:val="center"/>
                  </w:pPr>
                  <w:r>
                    <w:t xml:space="preserve">AquaMaps SDM</w:t>
                  </w:r>
                </w:p>
              </w:tc>
              <w:tc>
                <w:tcPr/>
                <w:p>
                  <w:pPr>
                    <w:pStyle w:val="Compact"/>
                  </w:pPr>
                </w:p>
              </w:tc>
              <w:tc>
                <w:tcPr/>
                <w:p>
                  <w:pPr>
                    <w:pStyle w:val="Compact"/>
                    <w:jc w:val="center"/>
                    <w:jc w:val="center"/>
                  </w:pPr>
                  <w:r>
                    <w:t xml:space="preserve">No</w:t>
                  </w:r>
                </w:p>
              </w:tc>
              <w:tc>
                <w:tcPr/>
                <w:p>
                  <w:pPr>
                    <w:pStyle w:val="Compact"/>
                    <w:jc w:val="right"/>
                    <w:jc w:val="center"/>
                  </w:pPr>
                  <w:r>
                    <w:t xml:space="preserve">16,589</w:t>
                  </w:r>
                </w:p>
              </w:tc>
              <w:tc>
                <w:tcPr/>
                <w:p>
                  <w:pPr>
                    <w:pStyle w:val="Compact"/>
                    <w:jc w:val="right"/>
                    <w:jc w:val="center"/>
                  </w:pPr>
                  <w:r>
                    <w:t xml:space="preserve">96.8%</w:t>
                  </w:r>
                </w:p>
              </w:tc>
            </w:tr>
            <w:tr>
              <w:tc>
                <w:tcPr/>
                <w:p>
                  <w:pPr>
                    <w:pStyle w:val="Compact"/>
                    <w:jc w:val="left"/>
                    <w:jc w:val="center"/>
                  </w:pPr>
                  <w:r>
                    <w:rPr>
                      <w:rStyle w:val="VerbatimChar"/>
                    </w:rPr>
                    <w:t xml:space="preserve">ca_nmfs</w:t>
                  </w:r>
                </w:p>
              </w:tc>
              <w:tc>
                <w:tcPr/>
                <w:p>
                  <w:pPr>
                    <w:pStyle w:val="Compact"/>
                    <w:jc w:val="left"/>
                    <w:jc w:val="center"/>
                  </w:pPr>
                  <w:r>
                    <w:t xml:space="preserve">NMFS Core Area</w:t>
                  </w:r>
                </w:p>
              </w:tc>
              <w:tc>
                <w:tcPr/>
                <w:p>
                  <w:pPr>
                    <w:pStyle w:val="Compact"/>
                    <w:jc w:val="left"/>
                    <w:jc w:val="center"/>
                  </w:pPr>
                  <w:r>
                    <w:t xml:space="preserve">Core: 100</w:t>
                  </w:r>
                </w:p>
              </w:tc>
              <w:tc>
                <w:tcPr/>
                <w:p>
                  <w:pPr>
                    <w:pStyle w:val="Compact"/>
                    <w:jc w:val="center"/>
                    <w:jc w:val="center"/>
                  </w:pPr>
                  <w:r>
                    <w:t xml:space="preserve">Yes</w:t>
                  </w:r>
                </w:p>
              </w:tc>
              <w:tc>
                <w:tcPr/>
                <w:p>
                  <w:pPr>
                    <w:pStyle w:val="Compact"/>
                    <w:jc w:val="right"/>
                    <w:jc w:val="center"/>
                  </w:pPr>
                  <w:r>
                    <w:t xml:space="preserve">1</w:t>
                  </w:r>
                </w:p>
              </w:tc>
              <w:tc>
                <w:tcPr/>
                <w:p>
                  <w:pPr>
                    <w:pStyle w:val="Compact"/>
                    <w:jc w:val="right"/>
                    <w:jc w:val="center"/>
                  </w:pPr>
                  <w:r>
                    <w:t xml:space="preserve">&lt;0.1%</w:t>
                  </w:r>
                </w:p>
              </w:tc>
            </w:tr>
            <w:tr>
              <w:tc>
                <w:tcPr/>
                <w:p>
                  <w:pPr>
                    <w:pStyle w:val="Compact"/>
                    <w:jc w:val="left"/>
                    <w:jc w:val="center"/>
                  </w:pPr>
                  <w:r>
                    <w:rPr>
                      <w:rStyle w:val="VerbatimChar"/>
                    </w:rPr>
                    <w:t xml:space="preserve">ch_nmfs</w:t>
                  </w:r>
                </w:p>
              </w:tc>
              <w:tc>
                <w:tcPr/>
                <w:p>
                  <w:pPr>
                    <w:pStyle w:val="Compact"/>
                    <w:jc w:val="left"/>
                    <w:jc w:val="center"/>
                  </w:pPr>
                  <w:r>
                    <w:t xml:space="preserve">NMFS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36</w:t>
                  </w:r>
                </w:p>
              </w:tc>
              <w:tc>
                <w:tcPr/>
                <w:p>
                  <w:pPr>
                    <w:pStyle w:val="Compact"/>
                    <w:jc w:val="right"/>
                    <w:jc w:val="center"/>
                  </w:pPr>
                  <w:r>
                    <w:t xml:space="preserve">0.2%</w:t>
                  </w:r>
                </w:p>
              </w:tc>
            </w:tr>
            <w:tr>
              <w:tc>
                <w:tcPr/>
                <w:p>
                  <w:pPr>
                    <w:pStyle w:val="Compact"/>
                    <w:jc w:val="left"/>
                    <w:jc w:val="center"/>
                  </w:pPr>
                  <w:r>
                    <w:rPr>
                      <w:rStyle w:val="VerbatimChar"/>
                    </w:rPr>
                    <w:t xml:space="preserve">ch_fws</w:t>
                  </w:r>
                </w:p>
              </w:tc>
              <w:tc>
                <w:tcPr/>
                <w:p>
                  <w:pPr>
                    <w:pStyle w:val="Compact"/>
                    <w:jc w:val="left"/>
                    <w:jc w:val="center"/>
                  </w:pPr>
                  <w:r>
                    <w:t xml:space="preserve">FWS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16</w:t>
                  </w:r>
                </w:p>
              </w:tc>
              <w:tc>
                <w:tcPr/>
                <w:p>
                  <w:pPr>
                    <w:pStyle w:val="Compact"/>
                    <w:jc w:val="right"/>
                    <w:jc w:val="center"/>
                  </w:pPr>
                  <w:r>
                    <w:t xml:space="preserve">&lt;0.1%</w:t>
                  </w:r>
                </w:p>
              </w:tc>
            </w:tr>
            <w:tr>
              <w:tc>
                <w:tcPr/>
                <w:p>
                  <w:pPr>
                    <w:pStyle w:val="Compact"/>
                    <w:jc w:val="left"/>
                    <w:jc w:val="center"/>
                  </w:pPr>
                  <w:r>
                    <w:rPr>
                      <w:rStyle w:val="VerbatimChar"/>
                    </w:rPr>
                    <w:t xml:space="preserve">rng_fws</w:t>
                  </w:r>
                </w:p>
              </w:tc>
              <w:tc>
                <w:tcPr/>
                <w:p>
                  <w:pPr>
                    <w:pStyle w:val="Compact"/>
                    <w:jc w:val="left"/>
                    <w:jc w:val="center"/>
                  </w:pPr>
                  <w:r>
                    <w:t xml:space="preserve">FWS Range</w:t>
                  </w:r>
                </w:p>
              </w:tc>
              <w:tc>
                <w:tcPr/>
                <w:p>
                  <w:pPr>
                    <w:pStyle w:val="Compact"/>
                    <w:jc w:val="left"/>
                    <w:jc w:val="center"/>
                  </w:pPr>
                  <w:r>
                    <w:t xml:space="preserve">EN:100, TN:50, LC:1</w:t>
                  </w:r>
                </w:p>
              </w:tc>
              <w:tc>
                <w:tcPr/>
                <w:p>
                  <w:pPr>
                    <w:pStyle w:val="Compact"/>
                    <w:jc w:val="center"/>
                    <w:jc w:val="center"/>
                  </w:pPr>
                  <w:r>
                    <w:t xml:space="preserve">Yes</w:t>
                  </w:r>
                </w:p>
              </w:tc>
              <w:tc>
                <w:tcPr/>
                <w:p>
                  <w:pPr>
                    <w:pStyle w:val="Compact"/>
                    <w:jc w:val="right"/>
                    <w:jc w:val="center"/>
                  </w:pPr>
                  <w:r>
                    <w:t xml:space="preserve">47</w:t>
                  </w:r>
                </w:p>
              </w:tc>
              <w:tc>
                <w:tcPr/>
                <w:p>
                  <w:pPr>
                    <w:pStyle w:val="Compact"/>
                    <w:jc w:val="right"/>
                    <w:jc w:val="center"/>
                  </w:pPr>
                  <w:r>
                    <w:t xml:space="preserve">0.3%</w:t>
                  </w:r>
                </w:p>
              </w:tc>
            </w:tr>
            <w:tr>
              <w:tc>
                <w:tcPr/>
                <w:p>
                  <w:pPr>
                    <w:pStyle w:val="Compact"/>
                    <w:jc w:val="left"/>
                    <w:jc w:val="center"/>
                  </w:pPr>
                  <w:r>
                    <w:rPr>
                      <w:rStyle w:val="VerbatimChar"/>
                    </w:rPr>
                    <w:t xml:space="preserve">bl</w:t>
                  </w:r>
                </w:p>
              </w:tc>
              <w:tc>
                <w:tcPr/>
                <w:p>
                  <w:pPr>
                    <w:pStyle w:val="Compact"/>
                    <w:jc w:val="left"/>
                    <w:jc w:val="center"/>
                  </w:pPr>
                  <w:r>
                    <w:t xml:space="preserve">BirdLife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226</w:t>
                  </w:r>
                </w:p>
              </w:tc>
              <w:tc>
                <w:tcPr/>
                <w:p>
                  <w:pPr>
                    <w:pStyle w:val="Compact"/>
                    <w:jc w:val="right"/>
                    <w:jc w:val="center"/>
                  </w:pPr>
                  <w:r>
                    <w:t xml:space="preserve">1.3%</w:t>
                  </w:r>
                </w:p>
              </w:tc>
            </w:tr>
            <w:tr>
              <w:tc>
                <w:tcPr/>
                <w:p>
                  <w:pPr>
                    <w:pStyle w:val="Compact"/>
                    <w:jc w:val="left"/>
                    <w:jc w:val="center"/>
                  </w:pPr>
                  <w:r>
                    <w:rPr>
                      <w:rStyle w:val="VerbatimChar"/>
                    </w:rPr>
                    <w:t xml:space="preserve">rng_iucn</w:t>
                  </w:r>
                </w:p>
              </w:tc>
              <w:tc>
                <w:tcPr/>
                <w:p>
                  <w:pPr>
                    <w:pStyle w:val="Compact"/>
                    <w:jc w:val="left"/>
                    <w:jc w:val="center"/>
                  </w:pPr>
                  <w:r>
                    <w:t xml:space="preserve">IUCN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1,877</w:t>
                  </w:r>
                </w:p>
              </w:tc>
              <w:tc>
                <w:tcPr/>
                <w:p>
                  <w:pPr>
                    <w:pStyle w:val="Compact"/>
                    <w:jc w:val="right"/>
                    <w:jc w:val="center"/>
                  </w:pPr>
                  <w:r>
                    <w:t xml:space="preserve">11.0%</w:t>
                  </w:r>
                </w:p>
              </w:tc>
            </w:tr>
            <w:tr>
              <w:tc>
                <w:tcPr/>
                <w:p>
                  <w:pPr>
                    <w:pStyle w:val="Compact"/>
                    <w:jc w:val="left"/>
                    <w:jc w:val="center"/>
                  </w:pPr>
                  <w:r>
                    <w:rPr>
                      <w:rStyle w:val="VerbatimChar"/>
                    </w:rPr>
                    <w:t xml:space="preserve">rng_turtle_swot_dps</w:t>
                  </w:r>
                </w:p>
              </w:tc>
              <w:tc>
                <w:tcPr/>
                <w:p>
                  <w:pPr>
                    <w:pStyle w:val="Compact"/>
                    <w:jc w:val="left"/>
                    <w:jc w:val="center"/>
                  </w:pPr>
                  <w:r>
                    <w:t xml:space="preserve">SWOT+DPS Turtle Range</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6</w:t>
                  </w:r>
                </w:p>
              </w:tc>
              <w:tc>
                <w:tcPr/>
                <w:p>
                  <w:pPr>
                    <w:pStyle w:val="Compact"/>
                    <w:jc w:val="right"/>
                    <w:jc w:val="center"/>
                  </w:pPr>
                  <w:r>
                    <w:t xml:space="preserve">&lt;0.1%</w:t>
                  </w:r>
                </w:p>
              </w:tc>
            </w:tr>
            <w:tr>
              <w:tc>
                <w:tcPr/>
                <w:p>
                  <w:pPr>
                    <w:pStyle w:val="Compact"/>
                    <w:jc w:val="left"/>
                    <w:jc w:val="center"/>
                  </w:pPr>
                  <w:r>
                    <w:rPr>
                      <w:rStyle w:val="VerbatimChar"/>
                    </w:rPr>
                    <w:t xml:space="preserve">dps_nmfs</w:t>
                  </w:r>
                </w:p>
              </w:tc>
              <w:tc>
                <w:tcPr/>
                <w:p>
                  <w:pPr>
                    <w:pStyle w:val="Compact"/>
                    <w:jc w:val="left"/>
                    <w:jc w:val="center"/>
                  </w:pPr>
                  <w:r>
                    <w:t xml:space="preserve">NMFS DPS extinction risk</w:t>
                  </w:r>
                </w:p>
              </w:tc>
              <w:tc>
                <w:tcPr/>
                <w:p>
                  <w:pPr>
                    <w:pStyle w:val="Compact"/>
                    <w:jc w:val="left"/>
                    <w:jc w:val="center"/>
                  </w:pPr>
                  <w:r>
                    <w:t xml:space="preserve">extinction-risk score per cell (NMFS:EN 100 / NMFS:TN 50 inside a listed entity’s critical habitat; IUCN category elsewhere, the MMPA floor of 20 for mammals)</w:t>
                  </w:r>
                </w:p>
              </w:tc>
              <w:tc>
                <w:tcPr/>
                <w:p>
                  <w:pPr>
                    <w:pStyle w:val="Compact"/>
                    <w:jc w:val="center"/>
                    <w:jc w:val="center"/>
                  </w:pPr>
                  <w:r>
                    <w:t xml:space="preserve">Yes</w:t>
                  </w:r>
                </w:p>
              </w:tc>
              <w:tc>
                <w:tcPr/>
                <w:p>
                  <w:pPr>
                    <w:pStyle w:val="Compact"/>
                    <w:jc w:val="right"/>
                    <w:jc w:val="center"/>
                  </w:pPr>
                  <w:r>
                    <w:t xml:space="preserve">17</w:t>
                  </w:r>
                </w:p>
              </w:tc>
              <w:tc>
                <w:tcPr/>
                <w:p>
                  <w:pPr>
                    <w:pStyle w:val="Compact"/>
                    <w:jc w:val="right"/>
                    <w:jc w:val="center"/>
                  </w:pPr>
                  <w:r>
                    <w:t xml:space="preserve">&lt;0.1%</w:t>
                  </w:r>
                </w:p>
              </w:tc>
            </w:tr>
          </w:tbl>
          <w:bookmarkEnd w:id="131"/>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Applications/quarto/share/formats/docx/important.png" id="133"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Coverage is very uneven — read the</w:t>
            </w:r>
            <w:r>
              <w:t xml:space="preserve"> </w:t>
            </w:r>
            <w:r>
              <w:rPr>
                <w:i/>
                <w:iCs/>
              </w:rPr>
              <w:t xml:space="preserve">Taxa</w:t>
            </w:r>
            <w:r>
              <w:t xml:space="preserve"> </w:t>
            </w:r>
            <w:r>
              <w:t xml:space="preserve">column, not the row count</w:t>
            </w:r>
          </w:p>
        </w:tc>
      </w:tr>
      <w:tr>
        <w:trPr>
          <w:cantSplit/>
        </w:trPr>
        <w:tc>
          <w:tcPr>
            <w:tcMar>
              <w:top w:w="108" w:type="dxa"/>
              <w:bottom w:w="108" w:type="dxa"/>
            </w:tcMar>
          </w:tcPr>
          <w:p>
            <w:pPr>
              <w:pStyle w:val="BodyText"/>
            </w:pPr>
            <w:pPr>
              <w:spacing w:before="16"/>
            </w:pPr>
            <w:r>
              <w:rPr>
                <w:b/>
                <w:bCs/>
              </w:rPr>
              <w:t xml:space="preserve">Broad coverage.</w:t>
            </w:r>
            <w:r>
              <w:t xml:space="preserve"> </w:t>
            </w:r>
            <w:r>
              <w:rPr>
                <w:rStyle w:val="VerbatimChar"/>
              </w:rPr>
              <w:t xml:space="preserve">ax</w:t>
            </w:r>
            <w:r>
              <w:t xml:space="preserve"> </w:t>
            </w:r>
            <w:r>
              <w:t xml:space="preserve">(10,506),</w:t>
            </w:r>
            <w:r>
              <w:t xml:space="preserve"> </w:t>
            </w:r>
            <w:r>
              <w:rPr>
                <w:rStyle w:val="VerbatimChar"/>
              </w:rPr>
              <w:t xml:space="preserve">am</w:t>
            </w:r>
            <w:r>
              <w:t xml:space="preserve"> </w:t>
            </w:r>
            <w:r>
              <w:t xml:space="preserve">(16,589),</w:t>
            </w:r>
            <w:r>
              <w:t xml:space="preserve"> </w:t>
            </w:r>
            <w:r>
              <w:rPr>
                <w:rStyle w:val="VerbatimChar"/>
              </w:rPr>
              <w:t xml:space="preserve">bl</w:t>
            </w:r>
            <w:r>
              <w:t xml:space="preserve"> </w:t>
            </w:r>
            <w:r>
              <w:t xml:space="preserve">(226),</w:t>
            </w:r>
            <w:r>
              <w:t xml:space="preserve"> </w:t>
            </w:r>
            <w:r>
              <w:rPr>
                <w:rStyle w:val="VerbatimChar"/>
              </w:rPr>
              <w:t xml:space="preserve">rng_iucn</w:t>
            </w:r>
            <w:r>
              <w:t xml:space="preserve"> </w:t>
            </w:r>
            <w:r>
              <w:t xml:space="preserve">(1,877) — between them these account for the distribution of essentially every scored species.</w:t>
            </w:r>
          </w:p>
          <w:p>
            <w:pPr>
              <w:pStyle w:val="BodyText"/>
            </w:pPr>
            <w:pPr>
              <w:spacing w:after="16"/>
            </w:pPr>
            <w:r>
              <w:rPr>
                <w:b/>
                <w:bCs/>
              </w:rPr>
              <w:t xml:space="preserve">Targeted designations.</w:t>
            </w:r>
            <w:r>
              <w:t xml:space="preserve"> </w:t>
            </w:r>
            <w:r>
              <w:rPr>
                <w:rStyle w:val="VerbatimChar"/>
              </w:rPr>
              <w:t xml:space="preserve">ca_nmfs</w:t>
            </w:r>
            <w:r>
              <w:t xml:space="preserve"> </w:t>
            </w:r>
            <w:r>
              <w:t xml:space="preserve">(1),</w:t>
            </w:r>
            <w:r>
              <w:t xml:space="preserve"> </w:t>
            </w:r>
            <w:r>
              <w:rPr>
                <w:rStyle w:val="VerbatimChar"/>
              </w:rPr>
              <w:t xml:space="preserve">ch_nmfs</w:t>
            </w:r>
            <w:r>
              <w:t xml:space="preserve"> </w:t>
            </w:r>
            <w:r>
              <w:t xml:space="preserve">(36),</w:t>
            </w:r>
            <w:r>
              <w:t xml:space="preserve"> </w:t>
            </w:r>
            <w:r>
              <w:rPr>
                <w:rStyle w:val="VerbatimChar"/>
              </w:rPr>
              <w:t xml:space="preserve">ch_fws</w:t>
            </w:r>
            <w:r>
              <w:t xml:space="preserve"> </w:t>
            </w:r>
            <w:r>
              <w:t xml:space="preserve">(16),</w:t>
            </w:r>
            <w:r>
              <w:t xml:space="preserve"> </w:t>
            </w:r>
            <w:r>
              <w:rPr>
                <w:rStyle w:val="VerbatimChar"/>
              </w:rPr>
              <w:t xml:space="preserve">rng_fws</w:t>
            </w:r>
            <w:r>
              <w:t xml:space="preserve"> </w:t>
            </w:r>
            <w:r>
              <w:t xml:space="preserve">(47),</w:t>
            </w:r>
            <w:r>
              <w:t xml:space="preserve"> </w:t>
            </w:r>
            <w:r>
              <w:rPr>
                <w:rStyle w:val="VerbatimChar"/>
              </w:rPr>
              <w:t xml:space="preserve">rng_turtle_swot_dps</w:t>
            </w:r>
            <w:r>
              <w:t xml:space="preserve"> </w:t>
            </w:r>
            <w:r>
              <w:t xml:space="preserve">(6),</w:t>
            </w:r>
            <w:r>
              <w:t xml:space="preserve"> </w:t>
            </w:r>
            <w:r>
              <w:rPr>
                <w:rStyle w:val="VerbatimChar"/>
              </w:rPr>
              <w:t xml:space="preserve">dps_nmfs</w:t>
            </w:r>
            <w:r>
              <w:t xml:space="preserve"> </w:t>
            </w:r>
            <w:r>
              <w:t xml:space="preserve">(17) — each under 1% of valid species. These are legal designations and expert ranges for specific taxa (critical habitat, core areas, sea turtle ranges), so they are small by nature rather than incomplete; they raise the value of the cells they cover rather than extending coverage to new species.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Applications/quarto/share/formats/docx/important.png" id="135"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Registered but not scored</w:t>
            </w:r>
          </w:p>
        </w:tc>
      </w:tr>
      <w:tr>
        <w:trPr>
          <w:cantSplit/>
        </w:trPr>
        <w:tc>
          <w:tcPr>
            <w:tcMar>
              <w:top w:w="108" w:type="dxa"/>
              <w:bottom w:w="108" w:type="dxa"/>
            </w:tcMar>
          </w:tcPr>
          <w:p>
            <w:pPr>
              <w:pStyle w:val="BodyText"/>
            </w:pPr>
            <w:pPr>
              <w:spacing w:before="16" w:after="16"/>
            </w:pPr>
            <w:r>
              <w:t xml:space="preserve">v9 also catalogues</w:t>
            </w:r>
            <w:r>
              <w:t xml:space="preserve"> </w:t>
            </w:r>
            <w:r>
              <w:rPr>
                <w:b/>
                <w:bCs/>
              </w:rPr>
              <w:t xml:space="preserve">NOAA SEFSC (density)</w:t>
            </w:r>
            <w:r>
              <w:t xml:space="preserve"> </w:t>
            </w:r>
            <w:r>
              <w:t xml:space="preserve">(</w:t>
            </w:r>
            <w:r>
              <w:rPr>
                <w:rStyle w:val="VerbatimChar"/>
              </w:rPr>
              <w:t xml:space="preserve">gm</w:t>
            </w:r>
            <w:r>
              <w:t xml:space="preserve">) and</w:t>
            </w:r>
            <w:r>
              <w:t xml:space="preserve"> </w:t>
            </w:r>
            <w:r>
              <w:rPr>
                <w:b/>
                <w:bCs/>
              </w:rPr>
              <w:t xml:space="preserve">NOAA NCCOS (density)</w:t>
            </w:r>
            <w:r>
              <w:t xml:space="preserve"> </w:t>
            </w:r>
            <w:r>
              <w:t xml:space="preserve">(</w:t>
            </w:r>
            <w:r>
              <w:rPr>
                <w:rStyle w:val="VerbatimChar"/>
              </w:rPr>
              <w:t xml:space="preserve">nc</w:t>
            </w:r>
            <w:r>
              <w:t xml:space="preserve">). These are ingested and published, but they are</w:t>
            </w:r>
            <w:r>
              <w:t xml:space="preserve"> </w:t>
            </w:r>
            <w:r>
              <w:rPr>
                <w:b/>
                <w:bCs/>
              </w:rPr>
              <w:t xml:space="preserve">not</w:t>
            </w:r>
            <w:r>
              <w:t xml:space="preserve"> </w:t>
            </w:r>
            <w:r>
              <w:t xml:space="preserve">part of the merge and contribute to no score — their density units (individuals km</w:t>
            </w:r>
            <w:r>
              <w:rPr>
                <w:vertAlign w:val="superscript"/>
              </w:rPr>
              <w:t xml:space="preserve">-2</w:t>
            </w:r>
            <w:r>
              <w:t xml:space="preserve">) have no agreed mapping onto the 0–100 suitability scale the merge operates on. They are excluded from every count on this page, and from</w:t>
            </w:r>
            <w:r>
              <w:t xml:space="preserve"> </w:t>
            </w:r>
            <w:r>
              <w:rPr>
                <w:rStyle w:val="VerbatimChar"/>
              </w:rPr>
              <w:t xml:space="preserve">dataset.is_scored</w:t>
            </w:r>
            <w:r>
              <w:t xml:space="preserve">.</w:t>
            </w:r>
          </w:p>
          <w:p/>
        </w:tc>
      </w:tr>
    </w:tbl>
    <w:p>
      <w:pPr>
        <w:pStyle w:val="BodyText"/>
      </w:pPr>
      <w:r>
        <w:t xml:space="preserve">The</w:t>
      </w:r>
      <w:r>
        <w:t xml:space="preserve"> </w:t>
      </w:r>
      <w:r>
        <w:rPr>
          <w:b/>
          <w:bCs/>
        </w:rPr>
        <w:t xml:space="preserve">merged model</w:t>
      </w:r>
      <w:r>
        <w:t xml:space="preserve"> </w:t>
      </w:r>
      <w:r>
        <w:t xml:space="preserve">(</w:t>
      </w:r>
      <w:r>
        <w:rPr>
          <w:rStyle w:val="VerbatimChar"/>
        </w:rPr>
        <w:t xml:space="preserve">ms_merge</w:t>
      </w:r>
      <w:r>
        <w:t xml:space="preserve">) is the derived output rather than a source, so it is excluded from the table above: for each taxon it takes the maximum value across that taxon’s source datasets in each cell, constrained to the taxon’s expert range where one exists (see</w:t>
      </w:r>
      <w:r>
        <w:t xml:space="preserve"> </w:t>
      </w:r>
      <w:hyperlink w:anchor="sec-model-merging">
        <w:r>
          <w:rPr>
            <w:rStyle w:val="Hyperlink"/>
          </w:rPr>
          <w:t xml:space="preserve">Chapter 9</w:t>
        </w:r>
      </w:hyperlink>
      <w:r>
        <w:t xml:space="preserve">).</w:t>
      </w:r>
    </w:p>
    <w:bookmarkEnd w:id="136"/>
    <w:bookmarkStart w:id="163" w:name="the-sources"/>
    <w:p>
      <w:pPr>
        <w:pStyle w:val="Heading2"/>
      </w:pPr>
      <w:r>
        <w:t xml:space="preserve">6.2 The sources</w:t>
      </w:r>
    </w:p>
    <w:bookmarkStart w:id="138" w:name="aquax-ax"/>
    <w:p>
      <w:pPr>
        <w:pStyle w:val="Heading3"/>
      </w:pPr>
      <w:r>
        <w:t xml:space="preserve">6.2.1 AquaX (</w:t>
      </w:r>
      <w:r>
        <w:rPr>
          <w:rStyle w:val="VerbatimChar"/>
        </w:rPr>
        <w:t xml:space="preserve">ax</w:t>
      </w:r>
      <w:r>
        <w:t xml:space="preserve">)</w:t>
      </w:r>
    </w:p>
    <w:p>
      <w:pPr>
        <w:pStyle w:val="FirstParagraph"/>
      </w:pPr>
      <w:r>
        <w:t xml:space="preserve">Ensemble habitat suitability (present day, cropped to the species’ biogeographic range) from the AquaX framework — an enhanced and revised AquaMaps — delivered on the 0.05° grid masked to US waters. Supersedes AquaMaps for the same taxon wherever AquaX was modeled.</w:t>
      </w:r>
    </w:p>
    <w:p>
      <w:pPr>
        <w:pStyle w:val="Compact"/>
        <w:numPr>
          <w:ilvl w:val="0"/>
          <w:numId w:val="1011"/>
        </w:numPr>
      </w:pPr>
      <w:r>
        <w:rPr>
          <w:b/>
          <w:bCs/>
        </w:rPr>
        <w:t xml:space="preserve">Models</w:t>
      </w:r>
      <w:r>
        <w:t xml:space="preserve">: 10,536</w:t>
      </w:r>
    </w:p>
    <w:p>
      <w:pPr>
        <w:pStyle w:val="Compact"/>
        <w:numPr>
          <w:ilvl w:val="0"/>
          <w:numId w:val="1011"/>
        </w:numPr>
      </w:pPr>
      <w:r>
        <w:rPr>
          <w:b/>
          <w:bCs/>
        </w:rPr>
        <w:t xml:space="preserve">Response</w:t>
      </w:r>
      <w:r>
        <w:t xml:space="preserve">: suitability</w:t>
      </w:r>
    </w:p>
    <w:p>
      <w:pPr>
        <w:pStyle w:val="Compact"/>
        <w:numPr>
          <w:ilvl w:val="0"/>
          <w:numId w:val="1011"/>
        </w:numPr>
      </w:pPr>
      <w:r>
        <w:rPr>
          <w:b/>
          <w:bCs/>
        </w:rPr>
        <w:t xml:space="preserve">Cell values</w:t>
      </w:r>
      <w:r>
        <w:t xml:space="preserve">: habitat suitability 0–100 (delivered 0–1000 ensemble mean ÷ 10)</w:t>
      </w:r>
    </w:p>
    <w:p>
      <w:pPr>
        <w:pStyle w:val="Compact"/>
        <w:numPr>
          <w:ilvl w:val="0"/>
          <w:numId w:val="1011"/>
        </w:numPr>
      </w:pPr>
      <w:r>
        <w:rPr>
          <w:b/>
          <w:bCs/>
        </w:rPr>
        <w:t xml:space="preserve">Coverage</w:t>
      </w:r>
      <w:r>
        <w:t xml:space="preserve">: US waters (BOEM study-area mask)</w:t>
      </w:r>
    </w:p>
    <w:p>
      <w:pPr>
        <w:pStyle w:val="Compact"/>
        <w:numPr>
          <w:ilvl w:val="0"/>
          <w:numId w:val="1011"/>
        </w:numPr>
      </w:pPr>
      <w:r>
        <w:rPr>
          <w:b/>
          <w:bCs/>
        </w:rPr>
        <w:t xml:space="preserve">Role</w:t>
      </w:r>
      <w:r>
        <w:t xml:space="preserve">: contributes values</w:t>
      </w:r>
    </w:p>
    <w:p>
      <w:pPr>
        <w:pStyle w:val="BlockText"/>
      </w:pPr>
      <w:r>
        <w:t xml:space="preserve">Reygondeau G, Egorova Y, Boerder K, Tittensor DP, Kaschner K, Kesner-Reyes K, Bailly N, Cheung WWL (2026) AquaX: An enhanced and revised AquaMaps framework to model marine species distributions and biodiversity. PLOS One 21(2): e0335823. https://doi.org/10.1371/journal.pone.0335823</w:t>
      </w:r>
    </w:p>
    <w:p>
      <w:pPr>
        <w:pStyle w:val="FirstParagraph"/>
      </w:pPr>
      <w:hyperlink r:id="rId137">
        <w:r>
          <w:rPr>
            <w:rStyle w:val="Hyperlink"/>
          </w:rPr>
          <w:t xml:space="preserve">Source</w:t>
        </w:r>
      </w:hyperlink>
    </w:p>
    <w:bookmarkEnd w:id="138"/>
    <w:bookmarkStart w:id="141" w:name="aquamaps-sdm-am"/>
    <w:p>
      <w:pPr>
        <w:pStyle w:val="Heading3"/>
      </w:pPr>
      <w:r>
        <w:t xml:space="preserve">6.2.2 AquaMaps SDM (</w:t>
      </w:r>
      <w:r>
        <w:rPr>
          <w:rStyle w:val="VerbatimChar"/>
        </w:rPr>
        <w:t xml:space="preserve">am</w:t>
      </w:r>
      <w:r>
        <w:t xml:space="preserve">)</w:t>
      </w:r>
    </w:p>
    <w:p>
      <w:pPr>
        <w:pStyle w:val="FirstParagraph"/>
      </w:pPr>
      <w:r>
        <w:t xml:space="preserve">AquaMaps species distribution models downscaled from 0.5° to 0.05° cells</w:t>
      </w:r>
    </w:p>
    <w:p>
      <w:pPr>
        <w:pStyle w:val="Compact"/>
        <w:numPr>
          <w:ilvl w:val="0"/>
          <w:numId w:val="1012"/>
        </w:numPr>
      </w:pPr>
      <w:r>
        <w:rPr>
          <w:b/>
          <w:bCs/>
        </w:rPr>
        <w:t xml:space="preserve">Models</w:t>
      </w:r>
      <w:r>
        <w:t xml:space="preserve">: 23,699</w:t>
      </w:r>
    </w:p>
    <w:p>
      <w:pPr>
        <w:pStyle w:val="Compact"/>
        <w:numPr>
          <w:ilvl w:val="0"/>
          <w:numId w:val="1012"/>
        </w:numPr>
      </w:pPr>
      <w:r>
        <w:rPr>
          <w:b/>
          <w:bCs/>
        </w:rPr>
        <w:t xml:space="preserve">Response</w:t>
      </w:r>
      <w:r>
        <w:t xml:space="preserve">: suitability</w:t>
      </w:r>
    </w:p>
    <w:p>
      <w:pPr>
        <w:pStyle w:val="Compact"/>
        <w:numPr>
          <w:ilvl w:val="0"/>
          <w:numId w:val="1012"/>
        </w:numPr>
      </w:pPr>
      <w:r>
        <w:rPr>
          <w:b/>
          <w:bCs/>
        </w:rPr>
        <w:t xml:space="preserve">Coverage</w:t>
      </w:r>
      <w:r>
        <w:t xml:space="preserve">: Global</w:t>
      </w:r>
    </w:p>
    <w:p>
      <w:pPr>
        <w:pStyle w:val="Compact"/>
        <w:numPr>
          <w:ilvl w:val="0"/>
          <w:numId w:val="1012"/>
        </w:numPr>
      </w:pPr>
      <w:r>
        <w:rPr>
          <w:b/>
          <w:bCs/>
        </w:rPr>
        <w:t xml:space="preserve">Taxa</w:t>
      </w:r>
      <w:r>
        <w:t xml:space="preserve">: all taxa, except birds</w:t>
      </w:r>
    </w:p>
    <w:p>
      <w:pPr>
        <w:pStyle w:val="Compact"/>
        <w:numPr>
          <w:ilvl w:val="0"/>
          <w:numId w:val="1012"/>
        </w:numPr>
      </w:pPr>
      <w:r>
        <w:rPr>
          <w:b/>
          <w:bCs/>
        </w:rPr>
        <w:t xml:space="preserve">Role</w:t>
      </w:r>
      <w:r>
        <w:t xml:space="preserve">: contributes values</w:t>
      </w:r>
    </w:p>
    <w:p>
      <w:pPr>
        <w:pStyle w:val="BlockText"/>
      </w:pPr>
      <w:r>
        <w:t xml:space="preserve">Kaschner, K., K. Kesner-Reyes, C. Garilao, J. Segschneider, J. Rius-Barile, T. Rees, and R. Froese. 2019. AquaMaps: Predicted range maps for aquatic species. World wide web electronic publication, www.aquamaps.org, Version 10/2019. Content from AquaMaps as provided in this R package is licensed under a Creative Commons Attribution-NonCommercial 3.0 UnportedLicense, please see http://creativecommons.org/licenses/by-nc/3.0/</w:t>
      </w:r>
    </w:p>
    <w:p>
      <w:pPr>
        <w:pStyle w:val="FirstParagraph"/>
      </w:pPr>
      <w:hyperlink r:id="rId31">
        <w:r>
          <w:rPr>
            <w:rStyle w:val="Hyperlink"/>
          </w:rPr>
          <w:t xml:space="preserve">Source</w:t>
        </w:r>
      </w:hyperlink>
      <w:r>
        <w:t xml:space="preserve"> </w:t>
      </w:r>
      <w:r>
        <w:t xml:space="preserve">·</w:t>
      </w:r>
      <w:r>
        <w:t xml:space="preserve"> </w:t>
      </w:r>
      <w:hyperlink r:id="rId139">
        <w:r>
          <w:rPr>
            <w:rStyle w:val="Hyperlink"/>
          </w:rPr>
          <w:t xml:space="preserve">Download</w:t>
        </w:r>
      </w:hyperlink>
      <w:r>
        <w:t xml:space="preserve"> </w:t>
      </w:r>
      <w:r>
        <w:t xml:space="preserve">·</w:t>
      </w:r>
      <w:r>
        <w:t xml:space="preserve"> </w:t>
      </w:r>
      <w:hyperlink r:id="rId140">
        <w:r>
          <w:rPr>
            <w:rStyle w:val="Hyperlink"/>
          </w:rPr>
          <w:t xml:space="preserve">Metadata</w:t>
        </w:r>
      </w:hyperlink>
    </w:p>
    <w:bookmarkEnd w:id="141"/>
    <w:bookmarkStart w:id="144" w:name="nmfs-core-area-ca_nmfs"/>
    <w:p>
      <w:pPr>
        <w:pStyle w:val="Heading3"/>
      </w:pPr>
      <w:r>
        <w:t xml:space="preserve">6.2.3 NMFS Core Area (</w:t>
      </w:r>
      <w:r>
        <w:rPr>
          <w:rStyle w:val="VerbatimChar"/>
        </w:rPr>
        <w:t xml:space="preserve">ca_nmfs</w:t>
      </w:r>
      <w:r>
        <w:t xml:space="preserve">)</w:t>
      </w:r>
    </w:p>
    <w:p>
      <w:pPr>
        <w:pStyle w:val="FirstParagraph"/>
      </w:pPr>
      <w:r>
        <w:t xml:space="preserve">Core distribution areas designated by NOAA Fisheries for species with restricted ranges, used as high-confidence habitat indicators.</w:t>
      </w:r>
    </w:p>
    <w:p>
      <w:pPr>
        <w:pStyle w:val="Compact"/>
        <w:numPr>
          <w:ilvl w:val="0"/>
          <w:numId w:val="1013"/>
        </w:numPr>
      </w:pPr>
      <w:r>
        <w:rPr>
          <w:b/>
          <w:bCs/>
        </w:rPr>
        <w:t xml:space="preserve">Models</w:t>
      </w:r>
      <w:r>
        <w:t xml:space="preserve">: 1</w:t>
      </w:r>
    </w:p>
    <w:p>
      <w:pPr>
        <w:pStyle w:val="Compact"/>
        <w:numPr>
          <w:ilvl w:val="0"/>
          <w:numId w:val="1013"/>
        </w:numPr>
      </w:pPr>
      <w:r>
        <w:rPr>
          <w:b/>
          <w:bCs/>
        </w:rPr>
        <w:t xml:space="preserve">Response</w:t>
      </w:r>
      <w:r>
        <w:t xml:space="preserve">: range</w:t>
      </w:r>
    </w:p>
    <w:p>
      <w:pPr>
        <w:pStyle w:val="Compact"/>
        <w:numPr>
          <w:ilvl w:val="0"/>
          <w:numId w:val="1013"/>
        </w:numPr>
      </w:pPr>
      <w:r>
        <w:rPr>
          <w:b/>
          <w:bCs/>
        </w:rPr>
        <w:t xml:space="preserve">Cell values</w:t>
      </w:r>
      <w:r>
        <w:t xml:space="preserve">: Core: 100</w:t>
      </w:r>
    </w:p>
    <w:p>
      <w:pPr>
        <w:pStyle w:val="Compact"/>
        <w:numPr>
          <w:ilvl w:val="0"/>
          <w:numId w:val="1013"/>
        </w:numPr>
      </w:pPr>
      <w:r>
        <w:rPr>
          <w:b/>
          <w:bCs/>
        </w:rPr>
        <w:t xml:space="preserve">Coverage</w:t>
      </w:r>
      <w:r>
        <w:t xml:space="preserve">: USA</w:t>
      </w:r>
    </w:p>
    <w:p>
      <w:pPr>
        <w:pStyle w:val="Compact"/>
        <w:numPr>
          <w:ilvl w:val="0"/>
          <w:numId w:val="1013"/>
        </w:numPr>
      </w:pPr>
      <w:r>
        <w:rPr>
          <w:b/>
          <w:bCs/>
        </w:rPr>
        <w:t xml:space="preserve">Taxa</w:t>
      </w:r>
      <w:r>
        <w:t xml:space="preserve">: cetaceans</w:t>
      </w:r>
    </w:p>
    <w:p>
      <w:pPr>
        <w:pStyle w:val="Compact"/>
        <w:numPr>
          <w:ilvl w:val="0"/>
          <w:numId w:val="1013"/>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2">
        <w:r>
          <w:rPr>
            <w:rStyle w:val="Hyperlink"/>
          </w:rPr>
          <w:t xml:space="preserve">Source</w:t>
        </w:r>
      </w:hyperlink>
      <w:r>
        <w:t xml:space="preserve"> </w:t>
      </w:r>
      <w:r>
        <w:t xml:space="preserve">·</w:t>
      </w:r>
      <w:r>
        <w:t xml:space="preserve"> </w:t>
      </w:r>
      <w:hyperlink r:id="rId143">
        <w:r>
          <w:rPr>
            <w:rStyle w:val="Hyperlink"/>
          </w:rPr>
          <w:t xml:space="preserve">Download</w:t>
        </w:r>
      </w:hyperlink>
    </w:p>
    <w:bookmarkEnd w:id="144"/>
    <w:bookmarkStart w:id="148" w:name="nmfs-critical-habitat-ch_nmfs"/>
    <w:p>
      <w:pPr>
        <w:pStyle w:val="Heading3"/>
      </w:pPr>
      <w:r>
        <w:t xml:space="preserve">6.2.4 NMFS Critical Habitat (</w:t>
      </w:r>
      <w:r>
        <w:rPr>
          <w:rStyle w:val="VerbatimChar"/>
        </w:rPr>
        <w:t xml:space="preserve">ch_nmfs</w:t>
      </w:r>
      <w:r>
        <w:t xml:space="preserve">)</w:t>
      </w:r>
    </w:p>
    <w:p>
      <w:pPr>
        <w:pStyle w:val="FirstParagraph"/>
      </w:pPr>
      <w:r>
        <w:t xml:space="preserve">The National Marine Fisheries Service (NMFS) developed this geodatabase to standardize its Endangered Species Act (ESA) critical habitat spatial data.</w:t>
      </w:r>
    </w:p>
    <w:p>
      <w:pPr>
        <w:pStyle w:val="Compact"/>
        <w:numPr>
          <w:ilvl w:val="0"/>
          <w:numId w:val="1014"/>
        </w:numPr>
      </w:pPr>
      <w:r>
        <w:rPr>
          <w:b/>
          <w:bCs/>
        </w:rPr>
        <w:t xml:space="preserve">Models</w:t>
      </w:r>
      <w:r>
        <w:t xml:space="preserve">: 38</w:t>
      </w:r>
    </w:p>
    <w:p>
      <w:pPr>
        <w:pStyle w:val="Compact"/>
        <w:numPr>
          <w:ilvl w:val="0"/>
          <w:numId w:val="1014"/>
        </w:numPr>
      </w:pPr>
      <w:r>
        <w:rPr>
          <w:b/>
          <w:bCs/>
        </w:rPr>
        <w:t xml:space="preserve">Response</w:t>
      </w:r>
      <w:r>
        <w:t xml:space="preserve">: range</w:t>
      </w:r>
    </w:p>
    <w:p>
      <w:pPr>
        <w:pStyle w:val="Compact"/>
        <w:numPr>
          <w:ilvl w:val="0"/>
          <w:numId w:val="1014"/>
        </w:numPr>
      </w:pPr>
      <w:r>
        <w:rPr>
          <w:b/>
          <w:bCs/>
        </w:rPr>
        <w:t xml:space="preserve">Cell values</w:t>
      </w:r>
      <w:r>
        <w:t xml:space="preserve">: EN:100, TN:50</w:t>
      </w:r>
    </w:p>
    <w:p>
      <w:pPr>
        <w:pStyle w:val="Compact"/>
        <w:numPr>
          <w:ilvl w:val="0"/>
          <w:numId w:val="1014"/>
        </w:numPr>
      </w:pPr>
      <w:r>
        <w:rPr>
          <w:b/>
          <w:bCs/>
        </w:rPr>
        <w:t xml:space="preserve">Coverage</w:t>
      </w:r>
      <w:r>
        <w:t xml:space="preserve">: USA</w:t>
      </w:r>
    </w:p>
    <w:p>
      <w:pPr>
        <w:pStyle w:val="Compact"/>
        <w:numPr>
          <w:ilvl w:val="0"/>
          <w:numId w:val="1014"/>
        </w:numPr>
      </w:pPr>
      <w:r>
        <w:rPr>
          <w:b/>
          <w:bCs/>
        </w:rPr>
        <w:t xml:space="preserve">Taxa</w:t>
      </w:r>
      <w:r>
        <w:t xml:space="preserve">: all taxa</w:t>
      </w:r>
    </w:p>
    <w:p>
      <w:pPr>
        <w:pStyle w:val="Compact"/>
        <w:numPr>
          <w:ilvl w:val="0"/>
          <w:numId w:val="1014"/>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5">
        <w:r>
          <w:rPr>
            <w:rStyle w:val="Hyperlink"/>
          </w:rPr>
          <w:t xml:space="preserve">Source</w:t>
        </w:r>
      </w:hyperlink>
      <w:r>
        <w:t xml:space="preserve"> </w:t>
      </w:r>
      <w:r>
        <w:t xml:space="preserve">·</w:t>
      </w:r>
      <w:r>
        <w:t xml:space="preserve"> </w:t>
      </w:r>
      <w:hyperlink r:id="rId146">
        <w:r>
          <w:rPr>
            <w:rStyle w:val="Hyperlink"/>
          </w:rPr>
          <w:t xml:space="preserve">Download</w:t>
        </w:r>
      </w:hyperlink>
      <w:r>
        <w:t xml:space="preserve"> </w:t>
      </w:r>
      <w:r>
        <w:t xml:space="preserve">·</w:t>
      </w:r>
      <w:r>
        <w:t xml:space="preserve"> </w:t>
      </w:r>
      <w:hyperlink r:id="rId147">
        <w:r>
          <w:rPr>
            <w:rStyle w:val="Hyperlink"/>
          </w:rPr>
          <w:t xml:space="preserve">Metadata</w:t>
        </w:r>
      </w:hyperlink>
    </w:p>
    <w:bookmarkEnd w:id="148"/>
    <w:bookmarkStart w:id="151" w:name="fws-critical-habitat-ch_fws"/>
    <w:p>
      <w:pPr>
        <w:pStyle w:val="Heading3"/>
      </w:pPr>
      <w:r>
        <w:t xml:space="preserve">6.2.5 FWS Critical Habitat (</w:t>
      </w:r>
      <w:r>
        <w:rPr>
          <w:rStyle w:val="VerbatimChar"/>
        </w:rPr>
        <w:t xml:space="preserve">ch_fws</w:t>
      </w:r>
      <w:r>
        <w:t xml:space="preserve">)</w:t>
      </w:r>
    </w:p>
    <w:p>
      <w:pPr>
        <w:pStyle w:val="FirstParagraph"/>
      </w:pPr>
      <w:r>
        <w:t xml:space="preserve">This page contains the spatial data for active proposed and final critical habitat for FWS only and Joint FWS/NMFS threatened and endangered species. ECOS is a FWS-sponsored platform for FWS data. The ECOS critical habitat on-line mapper includes (some, not all of the) proposed and final critical habitat for species listed as Threatened and Endangered by the FWS, or that are jointly managed by FWS/NMFS. The on-line mapper does not include species which are under the sole jurisdiction of NMFS.</w:t>
      </w:r>
    </w:p>
    <w:p>
      <w:pPr>
        <w:pStyle w:val="Compact"/>
        <w:numPr>
          <w:ilvl w:val="0"/>
          <w:numId w:val="1015"/>
        </w:numPr>
      </w:pPr>
      <w:r>
        <w:rPr>
          <w:b/>
          <w:bCs/>
        </w:rPr>
        <w:t xml:space="preserve">Models</w:t>
      </w:r>
      <w:r>
        <w:t xml:space="preserve">: 29</w:t>
      </w:r>
    </w:p>
    <w:p>
      <w:pPr>
        <w:pStyle w:val="Compact"/>
        <w:numPr>
          <w:ilvl w:val="0"/>
          <w:numId w:val="1015"/>
        </w:numPr>
      </w:pPr>
      <w:r>
        <w:rPr>
          <w:b/>
          <w:bCs/>
        </w:rPr>
        <w:t xml:space="preserve">Response</w:t>
      </w:r>
      <w:r>
        <w:t xml:space="preserve">: range</w:t>
      </w:r>
    </w:p>
    <w:p>
      <w:pPr>
        <w:pStyle w:val="Compact"/>
        <w:numPr>
          <w:ilvl w:val="0"/>
          <w:numId w:val="1015"/>
        </w:numPr>
      </w:pPr>
      <w:r>
        <w:rPr>
          <w:b/>
          <w:bCs/>
        </w:rPr>
        <w:t xml:space="preserve">Cell values</w:t>
      </w:r>
      <w:r>
        <w:t xml:space="preserve">: EN:100, TN:50</w:t>
      </w:r>
    </w:p>
    <w:p>
      <w:pPr>
        <w:pStyle w:val="Compact"/>
        <w:numPr>
          <w:ilvl w:val="0"/>
          <w:numId w:val="1015"/>
        </w:numPr>
      </w:pPr>
      <w:r>
        <w:rPr>
          <w:b/>
          <w:bCs/>
        </w:rPr>
        <w:t xml:space="preserve">Coverage</w:t>
      </w:r>
      <w:r>
        <w:t xml:space="preserve">: USA</w:t>
      </w:r>
    </w:p>
    <w:p>
      <w:pPr>
        <w:pStyle w:val="Compact"/>
        <w:numPr>
          <w:ilvl w:val="0"/>
          <w:numId w:val="1015"/>
        </w:numPr>
      </w:pPr>
      <w:r>
        <w:rPr>
          <w:b/>
          <w:bCs/>
        </w:rPr>
        <w:t xml:space="preserve">Taxa</w:t>
      </w:r>
      <w:r>
        <w:t xml:space="preserve">: all taxa</w:t>
      </w:r>
    </w:p>
    <w:p>
      <w:pPr>
        <w:pStyle w:val="Compact"/>
        <w:numPr>
          <w:ilvl w:val="0"/>
          <w:numId w:val="1015"/>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9">
        <w:r>
          <w:rPr>
            <w:rStyle w:val="Hyperlink"/>
          </w:rPr>
          <w:t xml:space="preserve">Source</w:t>
        </w:r>
      </w:hyperlink>
      <w:r>
        <w:t xml:space="preserve"> </w:t>
      </w:r>
      <w:r>
        <w:t xml:space="preserve">·</w:t>
      </w:r>
      <w:r>
        <w:t xml:space="preserve"> </w:t>
      </w:r>
      <w:hyperlink r:id="rId150">
        <w:r>
          <w:rPr>
            <w:rStyle w:val="Hyperlink"/>
          </w:rPr>
          <w:t xml:space="preserve">Download</w:t>
        </w:r>
      </w:hyperlink>
      <w:r>
        <w:t xml:space="preserve"> </w:t>
      </w:r>
      <w:r>
        <w:t xml:space="preserve">·</w:t>
      </w:r>
      <w:r>
        <w:t xml:space="preserve"> </w:t>
      </w:r>
      <w:hyperlink r:id="rId149">
        <w:r>
          <w:rPr>
            <w:rStyle w:val="Hyperlink"/>
          </w:rPr>
          <w:t xml:space="preserve">Metadata</w:t>
        </w:r>
      </w:hyperlink>
    </w:p>
    <w:bookmarkEnd w:id="151"/>
    <w:bookmarkStart w:id="154" w:name="fws-range-rng_fws"/>
    <w:p>
      <w:pPr>
        <w:pStyle w:val="Heading3"/>
      </w:pPr>
      <w:r>
        <w:t xml:space="preserve">6.2.6 FWS Range (</w:t>
      </w:r>
      <w:r>
        <w:rPr>
          <w:rStyle w:val="VerbatimChar"/>
        </w:rPr>
        <w:t xml:space="preserve">rng_fws</w:t>
      </w:r>
      <w:r>
        <w:t xml:space="preserve">)</w:t>
      </w:r>
    </w:p>
    <w:p>
      <w:pPr>
        <w:pStyle w:val="FirstParagraph"/>
      </w:pPr>
      <w:r>
        <w:t xml:space="preserve">This is a dataset representing the polygonal boundaries for species as understood by the United States Fish and Wildlife Service.</w:t>
      </w:r>
    </w:p>
    <w:p>
      <w:pPr>
        <w:pStyle w:val="Compact"/>
        <w:numPr>
          <w:ilvl w:val="0"/>
          <w:numId w:val="1016"/>
        </w:numPr>
      </w:pPr>
      <w:r>
        <w:rPr>
          <w:b/>
          <w:bCs/>
        </w:rPr>
        <w:t xml:space="preserve">Models</w:t>
      </w:r>
      <w:r>
        <w:t xml:space="preserve">: 2,196</w:t>
      </w:r>
    </w:p>
    <w:p>
      <w:pPr>
        <w:pStyle w:val="Compact"/>
        <w:numPr>
          <w:ilvl w:val="0"/>
          <w:numId w:val="1016"/>
        </w:numPr>
      </w:pPr>
      <w:r>
        <w:rPr>
          <w:b/>
          <w:bCs/>
        </w:rPr>
        <w:t xml:space="preserve">Response</w:t>
      </w:r>
      <w:r>
        <w:t xml:space="preserve">: range</w:t>
      </w:r>
    </w:p>
    <w:p>
      <w:pPr>
        <w:pStyle w:val="Compact"/>
        <w:numPr>
          <w:ilvl w:val="0"/>
          <w:numId w:val="1016"/>
        </w:numPr>
      </w:pPr>
      <w:r>
        <w:rPr>
          <w:b/>
          <w:bCs/>
        </w:rPr>
        <w:t xml:space="preserve">Cell values</w:t>
      </w:r>
      <w:r>
        <w:t xml:space="preserve">: EN:100, TN:50, LC:1</w:t>
      </w:r>
    </w:p>
    <w:p>
      <w:pPr>
        <w:pStyle w:val="Compact"/>
        <w:numPr>
          <w:ilvl w:val="0"/>
          <w:numId w:val="1016"/>
        </w:numPr>
      </w:pPr>
      <w:r>
        <w:rPr>
          <w:b/>
          <w:bCs/>
        </w:rPr>
        <w:t xml:space="preserve">Coverage</w:t>
      </w:r>
      <w:r>
        <w:t xml:space="preserve">: USA</w:t>
      </w:r>
    </w:p>
    <w:p>
      <w:pPr>
        <w:pStyle w:val="Compact"/>
        <w:numPr>
          <w:ilvl w:val="0"/>
          <w:numId w:val="1016"/>
        </w:numPr>
      </w:pPr>
      <w:r>
        <w:rPr>
          <w:b/>
          <w:bCs/>
        </w:rPr>
        <w:t xml:space="preserve">Taxa</w:t>
      </w:r>
      <w:r>
        <w:t xml:space="preserve">: all taxa</w:t>
      </w:r>
    </w:p>
    <w:p>
      <w:pPr>
        <w:pStyle w:val="Compact"/>
        <w:numPr>
          <w:ilvl w:val="0"/>
          <w:numId w:val="1016"/>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52">
        <w:r>
          <w:rPr>
            <w:rStyle w:val="Hyperlink"/>
          </w:rPr>
          <w:t xml:space="preserve">Source</w:t>
        </w:r>
      </w:hyperlink>
      <w:r>
        <w:t xml:space="preserve"> </w:t>
      </w:r>
      <w:r>
        <w:t xml:space="preserve">·</w:t>
      </w:r>
      <w:r>
        <w:t xml:space="preserve"> </w:t>
      </w:r>
      <w:hyperlink r:id="rId153">
        <w:r>
          <w:rPr>
            <w:rStyle w:val="Hyperlink"/>
          </w:rPr>
          <w:t xml:space="preserve">Download</w:t>
        </w:r>
      </w:hyperlink>
    </w:p>
    <w:bookmarkEnd w:id="154"/>
    <w:bookmarkStart w:id="156" w:name="birdlife-range-bl"/>
    <w:p>
      <w:pPr>
        <w:pStyle w:val="Heading3"/>
      </w:pPr>
      <w:r>
        <w:t xml:space="preserve">6.2.7 BirdLife Range (</w:t>
      </w:r>
      <w:r>
        <w:rPr>
          <w:rStyle w:val="VerbatimChar"/>
        </w:rPr>
        <w:t xml:space="preserve">bl</w:t>
      </w:r>
      <w:r>
        <w:t xml:space="preserve">)</w:t>
      </w:r>
    </w:p>
    <w:p>
      <w:pPr>
        <w:pStyle w:val="FirstParagraph"/>
      </w:pPr>
      <w:r>
        <w:t xml:space="preserve">This dataset contains digital distribution information for the world’s birds. It is a joint product of BirdLife International and Handbook of the Birds of the World.</w:t>
      </w:r>
    </w:p>
    <w:p>
      <w:pPr>
        <w:pStyle w:val="Compact"/>
        <w:numPr>
          <w:ilvl w:val="0"/>
          <w:numId w:val="1017"/>
        </w:numPr>
      </w:pPr>
      <w:r>
        <w:rPr>
          <w:b/>
          <w:bCs/>
        </w:rPr>
        <w:t xml:space="preserve">Models</w:t>
      </w:r>
      <w:r>
        <w:t xml:space="preserve">: 10,995</w:t>
      </w:r>
    </w:p>
    <w:p>
      <w:pPr>
        <w:pStyle w:val="Compact"/>
        <w:numPr>
          <w:ilvl w:val="0"/>
          <w:numId w:val="1017"/>
        </w:numPr>
      </w:pPr>
      <w:r>
        <w:rPr>
          <w:b/>
          <w:bCs/>
        </w:rPr>
        <w:t xml:space="preserve">Response</w:t>
      </w:r>
      <w:r>
        <w:t xml:space="preserve">: range</w:t>
      </w:r>
    </w:p>
    <w:p>
      <w:pPr>
        <w:pStyle w:val="Compact"/>
        <w:numPr>
          <w:ilvl w:val="0"/>
          <w:numId w:val="1017"/>
        </w:numPr>
      </w:pPr>
      <w:r>
        <w:rPr>
          <w:b/>
          <w:bCs/>
        </w:rPr>
        <w:t xml:space="preserve">Cell values</w:t>
      </w:r>
      <w:r>
        <w:t xml:space="preserve">: CR:50, EN:25, VU:5, NT:2, LC:1, DD:1</w:t>
      </w:r>
    </w:p>
    <w:p>
      <w:pPr>
        <w:pStyle w:val="Compact"/>
        <w:numPr>
          <w:ilvl w:val="0"/>
          <w:numId w:val="1017"/>
        </w:numPr>
      </w:pPr>
      <w:r>
        <w:rPr>
          <w:b/>
          <w:bCs/>
        </w:rPr>
        <w:t xml:space="preserve">Coverage</w:t>
      </w:r>
      <w:r>
        <w:t xml:space="preserve">: Global</w:t>
      </w:r>
    </w:p>
    <w:p>
      <w:pPr>
        <w:pStyle w:val="Compact"/>
        <w:numPr>
          <w:ilvl w:val="0"/>
          <w:numId w:val="1017"/>
        </w:numPr>
      </w:pPr>
      <w:r>
        <w:rPr>
          <w:b/>
          <w:bCs/>
        </w:rPr>
        <w:t xml:space="preserve">Taxa</w:t>
      </w:r>
      <w:r>
        <w:t xml:space="preserve">: birds</w:t>
      </w:r>
    </w:p>
    <w:p>
      <w:pPr>
        <w:pStyle w:val="Compact"/>
        <w:numPr>
          <w:ilvl w:val="0"/>
          <w:numId w:val="1017"/>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55">
        <w:r>
          <w:rPr>
            <w:rStyle w:val="Hyperlink"/>
          </w:rPr>
          <w:t xml:space="preserve">Source</w:t>
        </w:r>
      </w:hyperlink>
      <w:r>
        <w:t xml:space="preserve"> </w:t>
      </w:r>
      <w:r>
        <w:t xml:space="preserve">·</w:t>
      </w:r>
      <w:r>
        <w:t xml:space="preserve"> </w:t>
      </w:r>
      <w:hyperlink r:id="rId155">
        <w:r>
          <w:rPr>
            <w:rStyle w:val="Hyperlink"/>
          </w:rPr>
          <w:t xml:space="preserve">Download</w:t>
        </w:r>
      </w:hyperlink>
      <w:r>
        <w:t xml:space="preserve"> </w:t>
      </w:r>
      <w:r>
        <w:t xml:space="preserve">·</w:t>
      </w:r>
      <w:r>
        <w:t xml:space="preserve"> </w:t>
      </w:r>
      <w:hyperlink r:id="rId147">
        <w:r>
          <w:rPr>
            <w:rStyle w:val="Hyperlink"/>
          </w:rPr>
          <w:t xml:space="preserve">Metadata</w:t>
        </w:r>
      </w:hyperlink>
    </w:p>
    <w:bookmarkEnd w:id="156"/>
    <w:bookmarkStart w:id="158" w:name="iucn-range-rng_iucn"/>
    <w:p>
      <w:pPr>
        <w:pStyle w:val="Heading3"/>
      </w:pPr>
      <w:r>
        <w:t xml:space="preserve">6.2.8 IUCN Range (</w:t>
      </w:r>
      <w:r>
        <w:rPr>
          <w:rStyle w:val="VerbatimChar"/>
        </w:rPr>
        <w:t xml:space="preserve">rng_iucn</w:t>
      </w:r>
      <w:r>
        <w:t xml:space="preserve">)</w:t>
      </w:r>
    </w:p>
    <w:p>
      <w:pPr>
        <w:pStyle w:val="FirstParagraph"/>
      </w:pPr>
      <w:r>
        <w:t xml:space="preserve">This dataset contains distribution information on species assessed for The IUCN Red List of Threatened Species™. The maps are developed as part of a comprehensive assessment of global biodiversity in order to highlight taxa threatened with extinction, and thereby promote their conservation.</w:t>
      </w:r>
    </w:p>
    <w:p>
      <w:pPr>
        <w:pStyle w:val="Compact"/>
        <w:numPr>
          <w:ilvl w:val="0"/>
          <w:numId w:val="1018"/>
        </w:numPr>
      </w:pPr>
      <w:r>
        <w:rPr>
          <w:b/>
          <w:bCs/>
        </w:rPr>
        <w:t xml:space="preserve">Models</w:t>
      </w:r>
      <w:r>
        <w:t xml:space="preserve">: 6,246</w:t>
      </w:r>
    </w:p>
    <w:p>
      <w:pPr>
        <w:pStyle w:val="Compact"/>
        <w:numPr>
          <w:ilvl w:val="0"/>
          <w:numId w:val="1018"/>
        </w:numPr>
      </w:pPr>
      <w:r>
        <w:rPr>
          <w:b/>
          <w:bCs/>
        </w:rPr>
        <w:t xml:space="preserve">Response</w:t>
      </w:r>
      <w:r>
        <w:t xml:space="preserve">: range</w:t>
      </w:r>
    </w:p>
    <w:p>
      <w:pPr>
        <w:pStyle w:val="Compact"/>
        <w:numPr>
          <w:ilvl w:val="0"/>
          <w:numId w:val="1018"/>
        </w:numPr>
      </w:pPr>
      <w:r>
        <w:rPr>
          <w:b/>
          <w:bCs/>
        </w:rPr>
        <w:t xml:space="preserve">Cell values</w:t>
      </w:r>
      <w:r>
        <w:t xml:space="preserve">: CR:50, EN:25, VU:5, NT:2, LC:1, DD:1</w:t>
      </w:r>
    </w:p>
    <w:p>
      <w:pPr>
        <w:pStyle w:val="Compact"/>
        <w:numPr>
          <w:ilvl w:val="0"/>
          <w:numId w:val="1018"/>
        </w:numPr>
      </w:pPr>
      <w:r>
        <w:rPr>
          <w:b/>
          <w:bCs/>
        </w:rPr>
        <w:t xml:space="preserve">Coverage</w:t>
      </w:r>
      <w:r>
        <w:t xml:space="preserve">: Global</w:t>
      </w:r>
    </w:p>
    <w:p>
      <w:pPr>
        <w:pStyle w:val="Compact"/>
        <w:numPr>
          <w:ilvl w:val="0"/>
          <w:numId w:val="1018"/>
        </w:numPr>
      </w:pPr>
      <w:r>
        <w:rPr>
          <w:b/>
          <w:bCs/>
        </w:rPr>
        <w:t xml:space="preserve">Taxa</w:t>
      </w:r>
      <w:r>
        <w:t xml:space="preserve">: all taxa (except birds)</w:t>
      </w:r>
    </w:p>
    <w:p>
      <w:pPr>
        <w:pStyle w:val="Compact"/>
        <w:numPr>
          <w:ilvl w:val="0"/>
          <w:numId w:val="1018"/>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IUCN Red List of Threatened Species. Version 2025-2. &lt;www.iucnredlist.org&gt;. Downloaded on 21 January 2026.</w:t>
      </w:r>
    </w:p>
    <w:p>
      <w:pPr>
        <w:pStyle w:val="FirstParagraph"/>
      </w:pPr>
      <w:hyperlink r:id="rId157">
        <w:r>
          <w:rPr>
            <w:rStyle w:val="Hyperlink"/>
          </w:rPr>
          <w:t xml:space="preserve">Source</w:t>
        </w:r>
      </w:hyperlink>
    </w:p>
    <w:bookmarkEnd w:id="158"/>
    <w:bookmarkStart w:id="160" w:name="swotdps-turtle-range-rng_turtle_swot_dps"/>
    <w:p>
      <w:pPr>
        <w:pStyle w:val="Heading3"/>
      </w:pPr>
      <w:r>
        <w:t xml:space="preserve">6.2.9 SWOT+DPS Turtle Range (</w:t>
      </w:r>
      <w:r>
        <w:rPr>
          <w:rStyle w:val="VerbatimChar"/>
        </w:rPr>
        <w:t xml:space="preserve">rng_turtle_swot_dps</w:t>
      </w:r>
      <w:r>
        <w:t xml:space="preserve">)</w:t>
      </w:r>
    </w:p>
    <w:p>
      <w:pPr>
        <w:pStyle w:val="FirstParagraph"/>
      </w:pPr>
      <w:r>
        <w:t xml:space="preserve">SWOT sea turtle global distributions overlaid with NMFS Endangered Distinct Population Segments. EN DPS areas coded as Endangered (value=100), remainder as Threatened (value=50).</w:t>
      </w:r>
    </w:p>
    <w:p>
      <w:pPr>
        <w:pStyle w:val="Compact"/>
        <w:numPr>
          <w:ilvl w:val="0"/>
          <w:numId w:val="1019"/>
        </w:numPr>
      </w:pPr>
      <w:r>
        <w:rPr>
          <w:b/>
          <w:bCs/>
        </w:rPr>
        <w:t xml:space="preserve">Models</w:t>
      </w:r>
      <w:r>
        <w:t xml:space="preserve">: 6</w:t>
      </w:r>
    </w:p>
    <w:p>
      <w:pPr>
        <w:pStyle w:val="Compact"/>
        <w:numPr>
          <w:ilvl w:val="0"/>
          <w:numId w:val="1019"/>
        </w:numPr>
      </w:pPr>
      <w:r>
        <w:rPr>
          <w:b/>
          <w:bCs/>
        </w:rPr>
        <w:t xml:space="preserve">Response</w:t>
      </w:r>
      <w:r>
        <w:t xml:space="preserve">: range</w:t>
      </w:r>
    </w:p>
    <w:p>
      <w:pPr>
        <w:pStyle w:val="Compact"/>
        <w:numPr>
          <w:ilvl w:val="0"/>
          <w:numId w:val="1019"/>
        </w:numPr>
      </w:pPr>
      <w:r>
        <w:rPr>
          <w:b/>
          <w:bCs/>
        </w:rPr>
        <w:t xml:space="preserve">Cell values</w:t>
      </w:r>
      <w:r>
        <w:t xml:space="preserve">: EN:100, TN:50</w:t>
      </w:r>
    </w:p>
    <w:p>
      <w:pPr>
        <w:pStyle w:val="Compact"/>
        <w:numPr>
          <w:ilvl w:val="0"/>
          <w:numId w:val="1019"/>
        </w:numPr>
      </w:pPr>
      <w:r>
        <w:rPr>
          <w:b/>
          <w:bCs/>
        </w:rPr>
        <w:t xml:space="preserve">Coverage</w:t>
      </w:r>
      <w:r>
        <w:t xml:space="preserve">: Global</w:t>
      </w:r>
    </w:p>
    <w:p>
      <w:pPr>
        <w:pStyle w:val="Compact"/>
        <w:numPr>
          <w:ilvl w:val="0"/>
          <w:numId w:val="1019"/>
        </w:numPr>
      </w:pPr>
      <w:r>
        <w:rPr>
          <w:b/>
          <w:bCs/>
        </w:rPr>
        <w:t xml:space="preserve">Taxa</w:t>
      </w:r>
      <w:r>
        <w:t xml:space="preserve">: turtles</w:t>
      </w:r>
    </w:p>
    <w:p>
      <w:pPr>
        <w:pStyle w:val="Compact"/>
        <w:numPr>
          <w:ilvl w:val="0"/>
          <w:numId w:val="1019"/>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Wallace BP et al. (2023) Marine turtle regional management units 2.0. Endangered Species Research 52:209-223. DOI:10.3354/esr01243</w:t>
      </w:r>
    </w:p>
    <w:p>
      <w:pPr>
        <w:pStyle w:val="FirstParagraph"/>
      </w:pPr>
      <w:hyperlink r:id="rId159">
        <w:r>
          <w:rPr>
            <w:rStyle w:val="Hyperlink"/>
          </w:rPr>
          <w:t xml:space="preserve">Source</w:t>
        </w:r>
      </w:hyperlink>
    </w:p>
    <w:bookmarkEnd w:id="160"/>
    <w:bookmarkStart w:id="162" w:name="nmfs-dps-extinction-risk-dps_nmfs"/>
    <w:p>
      <w:pPr>
        <w:pStyle w:val="Heading3"/>
      </w:pPr>
      <w:r>
        <w:t xml:space="preserve">6.2.10 NMFS DPS extinction risk (</w:t>
      </w:r>
      <w:r>
        <w:rPr>
          <w:rStyle w:val="VerbatimChar"/>
        </w:rPr>
        <w:t xml:space="preserve">dps_nmfs</w:t>
      </w:r>
      <w:r>
        <w:t xml:space="preserve">)</w:t>
      </w:r>
    </w:p>
    <w:p>
      <w:pPr>
        <w:pStyle w:val="FirstParagraph"/>
      </w:pPr>
      <w:r>
        <w:t xml:space="preserve">Per-cell extinction risk for ESA listed entities that are Distinct Population Segments, ESUs or subspecies rather than whole species: each listed entity’s designated critical habitat carries that entity’s status (Endangered 100 / Threatened 50, with the MMPA floor), and the rest of the species’ IUCN range carries the species’ IUCN status plus the MMPA floor. Merged multiplicatively with suitability, like the sea turtles.</w:t>
      </w:r>
    </w:p>
    <w:p>
      <w:pPr>
        <w:pStyle w:val="Compact"/>
        <w:numPr>
          <w:ilvl w:val="0"/>
          <w:numId w:val="1020"/>
        </w:numPr>
      </w:pPr>
      <w:r>
        <w:rPr>
          <w:b/>
          <w:bCs/>
        </w:rPr>
        <w:t xml:space="preserve">Response</w:t>
      </w:r>
      <w:r>
        <w:t xml:space="preserve">: range</w:t>
      </w:r>
    </w:p>
    <w:p>
      <w:pPr>
        <w:pStyle w:val="Compact"/>
        <w:numPr>
          <w:ilvl w:val="0"/>
          <w:numId w:val="1020"/>
        </w:numPr>
      </w:pPr>
      <w:r>
        <w:rPr>
          <w:b/>
          <w:bCs/>
        </w:rPr>
        <w:t xml:space="preserve">Cell values</w:t>
      </w:r>
      <w:r>
        <w:t xml:space="preserve">: extinction-risk score per cell (NMFS:EN 100 / NMFS:TN 50 inside a listed entity’s critical habitat; IUCN category elsewhere, the MMPA floor of 20 for mammals)</w:t>
      </w:r>
    </w:p>
    <w:p>
      <w:pPr>
        <w:pStyle w:val="Compact"/>
        <w:numPr>
          <w:ilvl w:val="0"/>
          <w:numId w:val="1020"/>
        </w:numPr>
      </w:pPr>
      <w:r>
        <w:rPr>
          <w:b/>
          <w:bCs/>
        </w:rPr>
        <w:t xml:space="preserve">Coverage</w:t>
      </w:r>
      <w:r>
        <w:t xml:space="preserve">: US waters (critical habitat) + the species’ global IUCN range (baseline)</w:t>
      </w:r>
    </w:p>
    <w:p>
      <w:pPr>
        <w:pStyle w:val="Compact"/>
        <w:numPr>
          <w:ilvl w:val="0"/>
          <w:numId w:val="1020"/>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NOAA Fisheries (2026) All NMFS Critical Habitat, ArcGIS MapServer (maps.fisheries.noaa.gov), All_critical_habitat_poly_20230502 and per-entity layers; species-range services with DPS-level ranges expected end of CY2026</w:t>
      </w:r>
    </w:p>
    <w:p>
      <w:pPr>
        <w:pStyle w:val="FirstParagraph"/>
      </w:pPr>
      <w:hyperlink r:id="rId145">
        <w:r>
          <w:rPr>
            <w:rStyle w:val="Hyperlink"/>
          </w:rPr>
          <w:t xml:space="preserve">Source</w:t>
        </w:r>
      </w:hyperlink>
      <w:r>
        <w:t xml:space="preserve"> </w:t>
      </w:r>
      <w:r>
        <w:t xml:space="preserve">·</w:t>
      </w:r>
      <w:r>
        <w:t xml:space="preserve"> </w:t>
      </w:r>
      <w:hyperlink r:id="rId161">
        <w:r>
          <w:rPr>
            <w:rStyle w:val="Hyperlink"/>
          </w:rPr>
          <w:t xml:space="preserve">Download</w:t>
        </w:r>
      </w:hyperlink>
    </w:p>
    <w:bookmarkEnd w:id="162"/>
    <w:bookmarkEnd w:id="163"/>
    <w:bookmarkStart w:id="170" w:name="notes-on-individual-sources"/>
    <w:p>
      <w:pPr>
        <w:pStyle w:val="Heading2"/>
      </w:pPr>
      <w:r>
        <w:t xml:space="preserve">6.3 Notes on individual sources</w:t>
      </w:r>
    </w:p>
    <w:bookmarkStart w:id="164" w:name="aquamaps-vintage-1"/>
    <w:p>
      <w:pPr>
        <w:pStyle w:val="Heading3"/>
      </w:pPr>
      <w:r>
        <w:t xml:space="preserve">6.3.1 AquaMaps vintage</w:t>
      </w:r>
    </w:p>
    <w:p>
      <w:pPr>
        <w:pStyle w:val="FirstParagraph"/>
      </w:pPr>
      <w:r>
        <w:t xml:space="preserve">AquaMaps is the foundational dataset for most taxa: environmental-envelope models of habitat suitability as a function of depth, temperature, salinity, primary productivity, ice concentration and distance from land</w:t>
      </w:r>
      <w:r>
        <w:t xml:space="preserve"> </w:t>
      </w:r>
      <w:r>
        <w:t xml:space="preserve">(Kaschner et al. 2019)</w:t>
      </w:r>
      <w:r>
        <w:t xml:space="preserve">. The</w:t>
      </w:r>
      <w:r>
        <w:t xml:space="preserve"> </w:t>
      </w:r>
      <w:r>
        <w:rPr>
          <w:b/>
          <w:bCs/>
        </w:rPr>
        <w:t xml:space="preserve">model vintage is AquaMaps Version 10/2019</w:t>
      </w:r>
      <w:r>
        <w:t xml:space="preserve"> </w:t>
      </w:r>
      <w:r>
        <w:t xml:space="preserve">— the release named in the citation above, and the one the registry records as its environmental end date. Later dates that appear alongside AquaMaps in project records are</w:t>
      </w:r>
      <w:r>
        <w:t xml:space="preserve"> </w:t>
      </w:r>
      <w:r>
        <w:rPr>
          <w:i/>
          <w:iCs/>
        </w:rPr>
        <w:t xml:space="preserve">retrieval</w:t>
      </w:r>
      <w:r>
        <w:t xml:space="preserve"> </w:t>
      </w:r>
      <w:r>
        <w:t xml:space="preserve">dates for that same 2019 release, not a newer one; the underlying suitability surfaces have not changed.</w:t>
      </w:r>
    </w:p>
    <w:p>
      <w:pPr>
        <w:pStyle w:val="BodyText"/>
      </w:pPr>
      <w:r>
        <w:t xml:space="preserve">Models are native to a 0.5° grid (c-squares) and are interpolated onto the analysis grid</w:t>
      </w:r>
      <w:r>
        <w:t xml:space="preserve"> </w:t>
      </w:r>
      <w:r>
        <w:rPr>
          <w:b/>
          <w:bCs/>
        </w:rPr>
        <w:t xml:space="preserve">bilinearly</w:t>
      </w:r>
      <w:r>
        <w:t xml:space="preserve">, implemented as a precomputed weight join rather than a per-species raster resample. Source cells that are absent contribute zero, so a distribution fades to zero within about one cell of its edge rather than ending on a hard step.</w:t>
      </w:r>
    </w:p>
    <w:bookmarkEnd w:id="164"/>
    <w:bookmarkStart w:id="165" w:name="where-each-representation-lives"/>
    <w:p>
      <w:pPr>
        <w:pStyle w:val="Heading3"/>
      </w:pPr>
      <w:r>
        <w:t xml:space="preserve">6.3.2 Where each representation lives</w:t>
      </w:r>
    </w:p>
    <w:p>
      <w:pPr>
        <w:pStyle w:val="FirstParagraph"/>
      </w:pPr>
      <w:r>
        <w:t xml:space="preserve">Several inputs are published in two representations: the</w:t>
      </w:r>
      <w:r>
        <w:t xml:space="preserve"> </w:t>
      </w:r>
      <w:r>
        <w:rPr>
          <w:b/>
          <w:bCs/>
        </w:rPr>
        <w:t xml:space="preserve">Original</w:t>
      </w:r>
      <w:r>
        <w:t xml:space="preserve">, at the source’s own resolution (AquaMaps’ 0.5° grid, or a vector range as delivered), and the</w:t>
      </w:r>
      <w:r>
        <w:t xml:space="preserve"> </w:t>
      </w:r>
      <w:r>
        <w:rPr>
          <w:b/>
          <w:bCs/>
        </w:rPr>
        <w:t xml:space="preserve">Interpolated</w:t>
      </w:r>
      <w:r>
        <w:t xml:space="preserve"> </w:t>
      </w:r>
      <w:r>
        <w:t xml:space="preserve">surface on the 0.05° analysis grid that scoring used. The originals are stored under</w:t>
      </w:r>
      <w:r>
        <w:t xml:space="preserve"> </w:t>
      </w:r>
      <w:r>
        <w:rPr>
          <w:rStyle w:val="VerbatimChar"/>
        </w:rPr>
        <w:t xml:space="preserve">native/{ds_key}/</w:t>
      </w:r>
      <w:r>
        <w:t xml:space="preserve"> </w:t>
      </w:r>
      <w:r>
        <w:t xml:space="preserve">and the gridded surfaces under</w:t>
      </w:r>
      <w:r>
        <w:t xml:space="preserve"> </w:t>
      </w:r>
      <w:r>
        <w:rPr>
          <w:rStyle w:val="VerbatimChar"/>
        </w:rPr>
        <w:t xml:space="preserve">cog/{grid_id}/</w:t>
      </w:r>
      <w:r>
        <w:t xml:space="preserve"> </w:t>
      </w:r>
      <w:r>
        <w:t xml:space="preserve">in the shared, content-addressed store (</w:t>
      </w:r>
      <w:hyperlink w:anchor="sec-asset-store">
        <w:r>
          <w:rPr>
            <w:rStyle w:val="Hyperlink"/>
          </w:rPr>
          <w:t xml:space="preserve">Section 15.3</w:t>
        </w:r>
      </w:hyperlink>
      <w:r>
        <w:t xml:space="preserve">), and each release’s</w:t>
      </w:r>
      <w:r>
        <w:t xml:space="preserve"> </w:t>
      </w:r>
      <w:r>
        <w:rPr>
          <w:rStyle w:val="VerbatimChar"/>
        </w:rPr>
        <w:t xml:space="preserve">native_asset</w:t>
      </w:r>
      <w:r>
        <w:t xml:space="preserve"> </w:t>
      </w:r>
      <w:r>
        <w:t xml:space="preserve">table points at both. Because the file name is derived from the source content, a dataset that is unchanged between releases is stored once and pointed at by each release that uses it, rather than copied into every release. An input delivered directly on the analysis grid has nothing to interpolate, but may still have two representations that differ in content rather than resolution: AquaX (v9) publishes the band</w:t>
      </w:r>
      <w:r>
        <w:t xml:space="preserve"> </w:t>
      </w:r>
      <w:r>
        <w:rPr>
          <w:b/>
          <w:bCs/>
        </w:rPr>
        <w:t xml:space="preserve">as delivered</w:t>
      </w:r>
      <w:r>
        <w:t xml:space="preserve"> </w:t>
      </w:r>
      <w:r>
        <w:t xml:space="preserve">beside the surface</w:t>
      </w:r>
      <w:r>
        <w:t xml:space="preserve"> </w:t>
      </w:r>
      <w:r>
        <w:rPr>
          <w:b/>
          <w:bCs/>
        </w:rPr>
        <w:t xml:space="preserve">as ingested</w:t>
      </w:r>
      <w:r>
        <w:t xml:space="preserve"> </w:t>
      </w:r>
      <w:r>
        <w:t xml:space="preserve">(the thresholded, integer values the merge consumed), and the Atlas labels that pair</w:t>
      </w:r>
      <w:r>
        <w:t xml:space="preserve"> </w:t>
      </w:r>
      <w:r>
        <w:rPr>
          <w:i/>
          <w:iCs/>
        </w:rPr>
        <w:t xml:space="preserve">Delivered / As ingested</w:t>
      </w:r>
      <w:r>
        <w:t xml:space="preserve">. An input that is gridded from the start with nothing else to show (the NMFS DPS extinction-risk surfaces, and the v7 ranges whose original could not be matched) has a single representation.</w:t>
      </w:r>
    </w:p>
    <w:bookmarkEnd w:id="165"/>
    <w:bookmarkStart w:id="166" w:name="aquax-supersedes-aquamaps-in-us-waters"/>
    <w:p>
      <w:pPr>
        <w:pStyle w:val="Heading3"/>
      </w:pPr>
      <w:r>
        <w:t xml:space="preserve">6.3.3 AquaX supersedes AquaMaps in US waters</w:t>
      </w:r>
    </w:p>
    <w:p>
      <w:pPr>
        <w:pStyle w:val="FirstParagraph"/>
      </w:pPr>
      <w:r>
        <w:rPr>
          <w:b/>
          <w:bCs/>
        </w:rPr>
        <w:t xml:space="preserve">AquaX</w:t>
      </w:r>
      <w:r>
        <w:t xml:space="preserve"> </w:t>
      </w:r>
      <w:r>
        <w:t xml:space="preserve">(Reygondeau et al. 2026)</w:t>
      </w:r>
      <w:r>
        <w:t xml:space="preserve"> </w:t>
      </w:r>
      <w:r>
        <w:t xml:space="preserve">is an enhanced and revised AquaMaps framework: for each species, a</w:t>
      </w:r>
      <w:r>
        <w:t xml:space="preserve"> </w:t>
      </w:r>
      <w:r>
        <w:t xml:space="preserve">ten-algorithm ensemble of habitat suitability, cropped to the species’ biogeographic range. The</w:t>
      </w:r>
      <w:r>
        <w:t xml:space="preserve"> </w:t>
      </w:r>
      <w:r>
        <w:t xml:space="preserve">delivery used here is</w:t>
      </w:r>
      <w:r>
        <w:t xml:space="preserve"> </w:t>
      </w:r>
      <w:r>
        <w:rPr>
          <w:b/>
          <w:bCs/>
        </w:rPr>
        <w:t xml:space="preserve">native to the analysis grid</w:t>
      </w:r>
      <w:r>
        <w:t xml:space="preserve"> </w:t>
      </w:r>
      <w:r>
        <w:t xml:space="preserve">(0.05°, the same lattice as this release’s</w:t>
      </w:r>
      <w:r>
        <w:t xml:space="preserve"> </w:t>
      </w:r>
      <w:r>
        <w:t xml:space="preserve">cells, so each pixel</w:t>
      </w:r>
      <w:r>
        <w:t xml:space="preserve"> </w:t>
      </w:r>
      <w:r>
        <w:rPr>
          <w:i/>
          <w:iCs/>
        </w:rPr>
        <w:t xml:space="preserve">is</w:t>
      </w:r>
      <w:r>
        <w:t xml:space="preserve"> </w:t>
      </w:r>
      <w:r>
        <w:t xml:space="preserve">a cell — no interpolation) and</w:t>
      </w:r>
      <w:r>
        <w:t xml:space="preserve"> </w:t>
      </w:r>
      <w:r>
        <w:rPr>
          <w:b/>
          <w:bCs/>
        </w:rPr>
        <w:t xml:space="preserve">masked to US waters</w:t>
      </w:r>
      <w:r>
        <w:t xml:space="preserve">: it covers the</w:t>
      </w:r>
      <w:r>
        <w:t xml:space="preserve"> </w:t>
      </w:r>
      <w:r>
        <w:t xml:space="preserve">BOEM study-area polygon and nothing beyond it. Values are the present-day ensemble mean on a</w:t>
      </w:r>
      <w:r>
        <w:t xml:space="preserve"> </w:t>
      </w:r>
      <w:r>
        <w:t xml:space="preserve">0–1000 scale, divided by 10 to sit on AquaMaps’ 0–100 scale; the model’s TSS threshold (</w:t>
      </w:r>
      <w:r>
        <w:rPr>
          <w:rStyle w:val="VerbatimChar"/>
        </w:rPr>
        <w:t xml:space="preserve">cutoff</w:t>
      </w:r>
      <w:r>
        <w:t xml:space="preserve">)</w:t>
      </w:r>
      <w:r>
        <w:t xml:space="preserve"> </w:t>
      </w:r>
      <w:r>
        <w:t xml:space="preserve">and skill (</w:t>
      </w:r>
      <w:r>
        <w:rPr>
          <w:rStyle w:val="VerbatimChar"/>
        </w:rPr>
        <w:t xml:space="preserve">AUC</w:t>
      </w:r>
      <w:r>
        <w:t xml:space="preserve">,</w:t>
      </w:r>
      <w:r>
        <w:t xml:space="preserve"> </w:t>
      </w:r>
      <w:r>
        <w:rPr>
          <w:rStyle w:val="VerbatimChar"/>
        </w:rPr>
        <w:t xml:space="preserve">TSS</w:t>
      </w:r>
      <w:r>
        <w:t xml:space="preserve">) are carried as metadata but the threshold is</w:t>
      </w:r>
      <w:r>
        <w:t xml:space="preserve"> </w:t>
      </w:r>
      <w:r>
        <w:rPr>
          <w:b/>
          <w:bCs/>
        </w:rPr>
        <w:t xml:space="preserve">not</w:t>
      </w:r>
      <w:r>
        <w:t xml:space="preserve"> </w:t>
      </w:r>
      <w:r>
        <w:t xml:space="preserve">applied, matching how</w:t>
      </w:r>
      <w:r>
        <w:t xml:space="preserve"> </w:t>
      </w:r>
      <w:r>
        <w:t xml:space="preserve">AquaMaps has always been used.</w:t>
      </w:r>
    </w:p>
    <w:p>
      <w:pPr>
        <w:pStyle w:val="BodyText"/>
      </w:pPr>
      <w:r>
        <w:t xml:space="preserve">Because AquaX is a newer model of the same quantity, it</w:t>
      </w:r>
      <w:r>
        <w:t xml:space="preserve"> </w:t>
      </w:r>
      <w:r>
        <w:rPr>
          <w:b/>
          <w:bCs/>
        </w:rPr>
        <w:t xml:space="preserve">supersedes AquaMaps for the same</w:t>
      </w:r>
      <w:r>
        <w:rPr>
          <w:b/>
          <w:bCs/>
        </w:rPr>
        <w:t xml:space="preserve"> </w:t>
      </w:r>
      <w:r>
        <w:rPr>
          <w:b/>
          <w:bCs/>
        </w:rPr>
        <w:t xml:space="preserve">species wherever AquaX was modeled</w:t>
      </w:r>
      <w:r>
        <w:t xml:space="preserve">. The rule is per species and inside AquaX’s own mask only:</w:t>
      </w:r>
      <w:r>
        <w:t xml:space="preserve"> </w:t>
      </w:r>
      <w:r>
        <w:t xml:space="preserve">a superseded species’ AquaMaps cells inside the mask are removed</w:t>
      </w:r>
      <w:r>
        <w:t xml:space="preserve"> </w:t>
      </w:r>
      <w:r>
        <w:rPr>
          <w:i/>
          <w:iCs/>
        </w:rPr>
        <w:t xml:space="preserve">before</w:t>
      </w:r>
      <w:r>
        <w:t xml:space="preserve"> </w:t>
      </w:r>
      <w:r>
        <w:t xml:space="preserve">the merge, so an AquaX</w:t>
      </w:r>
      <w:r>
        <w:t xml:space="preserve"> </w:t>
      </w:r>
      <w:r>
        <w:t xml:space="preserve">absence is an absence rather than an AquaMaps presence showing through; outside the mask — the</w:t>
      </w:r>
      <w:r>
        <w:t xml:space="preserve"> </w:t>
      </w:r>
      <w:r>
        <w:t xml:space="preserve">rest of the world — AquaMaps continues unchanged. Species AquaX did not model keep AquaMaps everywhere. Species AquaX modeled</w:t>
      </w:r>
      <w:r>
        <w:t xml:space="preserve"> </w:t>
      </w:r>
      <w:r>
        <w:t xml:space="preserve">but predicted</w:t>
      </w:r>
      <w:r>
        <w:t xml:space="preserve"> </w:t>
      </w:r>
      <w:r>
        <w:rPr>
          <w:i/>
          <w:iCs/>
        </w:rPr>
        <w:t xml:space="preserve">absent</w:t>
      </w:r>
      <w:r>
        <w:t xml:space="preserve"> </w:t>
      </w:r>
      <w:r>
        <w:t xml:space="preserve">from US waters keep their AquaMaps surface in this pre-release; that is a</w:t>
      </w:r>
      <w:r>
        <w:t xml:space="preserve"> </w:t>
      </w:r>
      <w:r>
        <w:t xml:space="preserve">question for review, and it is a switch in the pipeline rather than a silent default.</w:t>
      </w:r>
    </w:p>
    <w:p>
      <w:pPr>
        <w:pStyle w:val="BodyText"/>
      </w:pPr>
      <w:r>
        <w:t xml:space="preserve">In the species app both inputs sit side by side. AquaMaps offers</w:t>
      </w:r>
      <w:r>
        <w:t xml:space="preserve"> </w:t>
      </w:r>
      <w:r>
        <w:rPr>
          <w:i/>
          <w:iCs/>
        </w:rPr>
        <w:t xml:space="preserve">Original</w:t>
      </w:r>
      <w:r>
        <w:t xml:space="preserve"> </w:t>
      </w:r>
      <w:r>
        <w:t xml:space="preserve">(its native 0.5°</w:t>
      </w:r>
      <w:r>
        <w:t xml:space="preserve"> </w:t>
      </w:r>
      <w:r>
        <w:t xml:space="preserve">cells) and</w:t>
      </w:r>
      <w:r>
        <w:t xml:space="preserve"> </w:t>
      </w:r>
      <w:r>
        <w:rPr>
          <w:i/>
          <w:iCs/>
        </w:rPr>
        <w:t xml:space="preserve">Interpolated</w:t>
      </w:r>
      <w:r>
        <w:t xml:space="preserve"> </w:t>
      </w:r>
      <w:r>
        <w:t xml:space="preserve">(the 0.05° surface used in scoring). AquaX needs no interpolation, so its</w:t>
      </w:r>
      <w:r>
        <w:t xml:space="preserve"> </w:t>
      </w:r>
      <w:r>
        <w:t xml:space="preserve">two views are</w:t>
      </w:r>
      <w:r>
        <w:t xml:space="preserve"> </w:t>
      </w:r>
      <w:r>
        <w:rPr>
          <w:i/>
          <w:iCs/>
        </w:rPr>
        <w:t xml:space="preserve">Delivered</w:t>
      </w:r>
      <w:r>
        <w:t xml:space="preserve"> </w:t>
      </w:r>
      <w:r>
        <w:t xml:space="preserve">(the 0–1000 band exactly as received) and</w:t>
      </w:r>
      <w:r>
        <w:t xml:space="preserve"> </w:t>
      </w:r>
      <w:r>
        <w:rPr>
          <w:i/>
          <w:iCs/>
        </w:rPr>
        <w:t xml:space="preserve">As ingested</w:t>
      </w:r>
      <w:r>
        <w:t xml:space="preserve"> </w:t>
      </w:r>
      <w:r>
        <w:t xml:space="preserve">(÷10, integer</w:t>
      </w:r>
      <w:r>
        <w:t xml:space="preserve"> </w:t>
      </w:r>
      <w:r>
        <w:t xml:space="preserve">1–100, and — like AquaMaps — pixels below suitability 1 dropped; roughly half of a typical AquaX</w:t>
      </w:r>
      <w:r>
        <w:t xml:space="preserve"> </w:t>
      </w:r>
      <w:r>
        <w:t xml:space="preserve">model’s pixels are near-zero and fall below that line). Toggling between them shows the effect of</w:t>
      </w:r>
      <w:r>
        <w:t xml:space="preserve"> </w:t>
      </w:r>
      <w:r>
        <w:t xml:space="preserve">the ingest threshold itself, which is why the second view is published rather than aliased.</w:t>
      </w:r>
    </w:p>
    <w:bookmarkEnd w:id="166"/>
    <w:bookmarkStart w:id="167" w:name="X36f71089a5cac5abfad5ca6cd7753d88b997c4c"/>
    <w:p>
      <w:pPr>
        <w:pStyle w:val="Heading3"/>
      </w:pPr>
      <w:r>
        <w:t xml:space="preserve">6.3.4 Listed entities below the species: NMFS Distinct Population Segments</w:t>
      </w:r>
    </w:p>
    <w:p>
      <w:pPr>
        <w:pStyle w:val="FirstParagraph"/>
      </w:pPr>
      <w:r>
        <w:t xml:space="preserve">Under the ESA the</w:t>
      </w:r>
      <w:r>
        <w:t xml:space="preserve"> </w:t>
      </w:r>
      <w:r>
        <w:rPr>
          <w:i/>
          <w:iCs/>
        </w:rPr>
        <w:t xml:space="preserve">listed entity</w:t>
      </w:r>
      <w:r>
        <w:t xml:space="preserve"> </w:t>
      </w:r>
      <w:r>
        <w:t xml:space="preserve">can be a species, a subspecies or a Distinct Population Segment</w:t>
      </w:r>
      <w:r>
        <w:t xml:space="preserve"> </w:t>
      </w:r>
      <w:r>
        <w:t xml:space="preserve">(DPS / ESU), and for several species NMFS lists only some populations. The humpback whale has six</w:t>
      </w:r>
      <w:r>
        <w:t xml:space="preserve"> </w:t>
      </w:r>
      <w:r>
        <w:t xml:space="preserve">listed DPSs and eight that are Not at Risk — including those breeding in US waters (Hawaii, West</w:t>
      </w:r>
      <w:r>
        <w:t xml:space="preserve"> </w:t>
      </w:r>
      <w:r>
        <w:t xml:space="preserve">Indies) — while the Central America and Western North Pacific DPSs (Endangered) and the Mexico DPS</w:t>
      </w:r>
      <w:r>
        <w:t xml:space="preserve"> </w:t>
      </w:r>
      <w:r>
        <w:t xml:space="preserve">(Threatened) use feeding areas off the West Coast and Alaska. A single species-wide status is wrong</w:t>
      </w:r>
      <w:r>
        <w:t xml:space="preserve"> </w:t>
      </w:r>
      <w:r>
        <w:t xml:space="preserve">in every part of that range.</w:t>
      </w:r>
    </w:p>
    <w:p>
      <w:pPr>
        <w:pStyle w:val="BodyText"/>
      </w:pPr>
      <w:r>
        <w:t xml:space="preserve">For every species whose listed entities are scoped below the species — humpback and Southern</w:t>
      </w:r>
      <w:r>
        <w:t xml:space="preserve"> </w:t>
      </w:r>
      <w:r>
        <w:t xml:space="preserve">Resident killer whales, Cook Inlet beluga, Main Hawaiian Islands false killer whale, Western</w:t>
      </w:r>
      <w:r>
        <w:t xml:space="preserve"> </w:t>
      </w:r>
      <w:r>
        <w:t xml:space="preserve">Steller sea lion, Beringia bearded and Arctic ringed seals, the salmon and steelhead ESUs, both</w:t>
      </w:r>
      <w:r>
        <w:t xml:space="preserve"> </w:t>
      </w:r>
      <w:r>
        <w:t xml:space="preserve">sturgeons, smalltooth sawfish, bocaccio, yelloweye rockfish and eulachon — extinction risk is</w:t>
      </w:r>
      <w:r>
        <w:t xml:space="preserve"> </w:t>
      </w:r>
      <w:r>
        <w:t xml:space="preserve">therefore</w:t>
      </w:r>
      <w:r>
        <w:t xml:space="preserve"> </w:t>
      </w:r>
      <w:r>
        <w:rPr>
          <w:b/>
          <w:bCs/>
        </w:rPr>
        <w:t xml:space="preserve">spatial</w:t>
      </w:r>
      <w:r>
        <w:t xml:space="preserve">: each listed entity’s designated critical habitat, from NOAA Fisheries’</w:t>
      </w:r>
      <w:r>
        <w:t xml:space="preserve"> </w:t>
      </w:r>
      <w:r>
        <w:t xml:space="preserve">authoritative national service (</w:t>
      </w:r>
      <w:r>
        <w:rPr>
          <w:rStyle w:val="VerbatimChar"/>
        </w:rPr>
        <w:t xml:space="preserve">All_NMFS_Critical_Habitat</w:t>
      </w:r>
      <w:r>
        <w:t xml:space="preserve">, shared by NMFS on 2026-04-16),</w:t>
      </w:r>
      <w:r>
        <w:t xml:space="preserve"> </w:t>
      </w:r>
      <w:r>
        <w:t xml:space="preserve">carries that entity’s status (Endangered 100 / Threatened 50), and the rest of the species’ IUCN</w:t>
      </w:r>
      <w:r>
        <w:t xml:space="preserve"> </w:t>
      </w:r>
      <w:r>
        <w:t xml:space="preserve">range carries the baseline every unlisted species of its kind gets — the MMPA floor of 20 for a</w:t>
      </w:r>
      <w:r>
        <w:t xml:space="preserve"> </w:t>
      </w:r>
      <w:r>
        <w:t xml:space="preserve">marine mammal, the IUCN category otherwise — the fallback NOAA itself suggested. Unlike the sea</w:t>
      </w:r>
      <w:r>
        <w:t xml:space="preserve"> </w:t>
      </w:r>
      <w:r>
        <w:t xml:space="preserve">turtles, this surface is</w:t>
      </w:r>
      <w:r>
        <w:t xml:space="preserve"> </w:t>
      </w:r>
      <w:r>
        <w:rPr>
          <w:b/>
          <w:bCs/>
        </w:rPr>
        <w:t xml:space="preserve">not multiplied into the merged model</w:t>
      </w:r>
      <w:r>
        <w:t xml:space="preserve">: the merged model stays the</w:t>
      </w:r>
      <w:r>
        <w:t xml:space="preserve"> </w:t>
      </w:r>
      <w:r>
        <w:t xml:space="preserve">species’ habitat suitability (AquaX, or AquaMaps where AquaX did not model it), masked to the</w:t>
      </w:r>
      <w:r>
        <w:t xml:space="preserve"> </w:t>
      </w:r>
      <w:r>
        <w:t xml:space="preserve">extinction-risk footprint like any other range, and the per-cell risk is carried beside it and</w:t>
      </w:r>
      <w:r>
        <w:t xml:space="preserve"> </w:t>
      </w:r>
      <w:r>
        <w:t xml:space="preserve">multiplied in at scoring (</w:t>
      </w:r>
      <w:hyperlink w:anchor="sec-model-merging">
        <w:r>
          <w:rPr>
            <w:rStyle w:val="Hyperlink"/>
          </w:rPr>
          <w:t xml:space="preserve">Chapter 9</w:t>
        </w:r>
      </w:hyperlink>
      <w:r>
        <w:t xml:space="preserve">). The species app offers the risk surface as its own</w:t>
      </w:r>
      <w:r>
        <w:t xml:space="preserve"> </w:t>
      </w:r>
      <w:r>
        <w:t xml:space="preserve">input layer,</w:t>
      </w:r>
      <w:r>
        <w:t xml:space="preserve"> </w:t>
      </w:r>
      <w:r>
        <w:rPr>
          <w:i/>
          <w:iCs/>
        </w:rPr>
        <w:t xml:space="preserve">NMFS DPS extinction risk</w:t>
      </w:r>
      <w:r>
        <w:t xml:space="preserve">. NOAA is publishing DPS-level species</w:t>
      </w:r>
      <w:r>
        <w:t xml:space="preserve"> </w:t>
      </w:r>
      <w:r>
        <w:rPr>
          <w:i/>
          <w:iCs/>
        </w:rPr>
        <w:t xml:space="preserve">ranges</w:t>
      </w:r>
      <w:r>
        <w:t xml:space="preserve"> </w:t>
      </w:r>
      <w:r>
        <w:t xml:space="preserve">at the end of</w:t>
      </w:r>
      <w:r>
        <w:t xml:space="preserve"> </w:t>
      </w:r>
      <w:r>
        <w:t xml:space="preserve">2026; when they do, they replace the critical-habitat polygons as the source of these per-entity</w:t>
      </w:r>
      <w:r>
        <w:t xml:space="preserve"> </w:t>
      </w:r>
      <w:r>
        <w:t xml:space="preserve">extents with no change to the rule. Sea turtles keep their own SWOT + DPS dataset.</w:t>
      </w:r>
    </w:p>
    <w:bookmarkEnd w:id="167"/>
    <w:bookmarkStart w:id="168" w:name="Xbb8f0982e57d54d2adcffa1eee1d0f75a5898e2"/>
    <w:p>
      <w:pPr>
        <w:pStyle w:val="Heading3"/>
      </w:pPr>
      <w:r>
        <w:t xml:space="preserve">6.3.5 Sea turtles: why a dedicated range dataset</w:t>
      </w:r>
    </w:p>
    <w:p>
      <w:pPr>
        <w:pStyle w:val="FirstParagraph"/>
      </w:pPr>
      <w:r>
        <w:t xml:space="preserve">Sea turtle distributions from AquaMaps and from IUCN range maps were both too broad, extending well beyond where the species actually occur. Several species also carry</w:t>
      </w:r>
      <w:r>
        <w:t xml:space="preserve"> </w:t>
      </w:r>
      <w:r>
        <w:rPr>
          <w:b/>
          <w:bCs/>
        </w:rPr>
        <w:t xml:space="preserve">different ESA protection in different parts of their range</w:t>
      </w:r>
      <w:r>
        <w:t xml:space="preserve">, through NOAA Fisheries Distinct Population Segments (DPS) — which a single global range map cannot express.</w:t>
      </w:r>
    </w:p>
    <w:p>
      <w:pPr>
        <w:pStyle w:val="BodyText"/>
      </w:pPr>
      <w:r>
        <w:t xml:space="preserve">The SWOT+DPS dataset replaces the IUCN range as the global mask for all six sea turtle species, combining SWOT Global Distributions</w:t>
      </w:r>
      <w:r>
        <w:t xml:space="preserve"> </w:t>
      </w:r>
      <w:r>
        <w:t xml:space="preserve">(Wallace et al. 2023)</w:t>
      </w:r>
      <w:r>
        <w:t xml:space="preserve"> </w:t>
      </w:r>
      <w:r>
        <w:t xml:space="preserve">for realistic range polygons with the NOAA Fisheries ESA Species Range Geodatabase</w:t>
      </w:r>
      <w:r>
        <w:t xml:space="preserve"> </w:t>
      </w:r>
      <w:r>
        <w:t xml:space="preserve">(NOAA Fisheries 2025)</w:t>
      </w:r>
      <w:r>
        <w:t xml:space="preserve"> </w:t>
      </w:r>
      <w:r>
        <w:t xml:space="preserve">for DPS listing status. Where DPS data exist (Loggerhead, Green, Olive Ridley), Endangered DPS areas take the Endangered value and the remainder of the SWOT range the Threatened value; for species Endangered throughout (Leatherback, Hawksbill, Kemp’s Ridley) the entire range takes the Endangered value.</w:t>
      </w:r>
    </w:p>
    <w:bookmarkEnd w:id="168"/>
    <w:bookmarkStart w:id="169" w:name="range-maps-as-masks"/>
    <w:p>
      <w:pPr>
        <w:pStyle w:val="Heading3"/>
      </w:pPr>
      <w:r>
        <w:t xml:space="preserve">6.3.6 Range maps as masks</w:t>
      </w:r>
    </w:p>
    <w:p>
      <w:pPr>
        <w:pStyle w:val="FirstParagraph"/>
      </w:pPr>
      <w:r>
        <w:t xml:space="preserve">Datasets marked</w:t>
      </w:r>
      <w:r>
        <w:t xml:space="preserve"> </w:t>
      </w:r>
      <w:r>
        <w:rPr>
          <w:i/>
          <w:iCs/>
        </w:rPr>
        <w:t xml:space="preserve">Mask</w:t>
      </w:r>
      <w:r>
        <w:t xml:space="preserve"> </w:t>
      </w:r>
      <w:r>
        <w:t xml:space="preserve">do double duty: they contribute cell values</w:t>
      </w:r>
      <w:r>
        <w:t xml:space="preserve"> </w:t>
      </w:r>
      <w:r>
        <w:rPr>
          <w:b/>
          <w:bCs/>
        </w:rPr>
        <w:t xml:space="preserve">and</w:t>
      </w:r>
      <w:r>
        <w:t xml:space="preserve"> </w:t>
      </w:r>
      <w:r>
        <w:t xml:space="preserve">define the spatial extent a taxon’s merged distribution may occupy. This is what stops an environmental-envelope model from asserting presence far outside a species’ known range — see</w:t>
      </w:r>
      <w:r>
        <w:t xml:space="preserve"> </w:t>
      </w:r>
      <w:hyperlink w:anchor="sec-model-merging">
        <w:r>
          <w:rPr>
            <w:rStyle w:val="Hyperlink"/>
          </w:rPr>
          <w:t xml:space="preserve">Chapter 9</w:t>
        </w:r>
      </w:hyperlink>
      <w:r>
        <w:t xml:space="preserve">.</w:t>
      </w:r>
    </w:p>
    <w:bookmarkEnd w:id="169"/>
    <w:bookmarkEnd w:id="170"/>
    <w:bookmarkStart w:id="173" w:name="standard-grid"/>
    <w:p>
      <w:pPr>
        <w:pStyle w:val="Heading2"/>
      </w:pPr>
      <w:r>
        <w:t xml:space="preserve">6.4 Standard grid</w:t>
      </w:r>
    </w:p>
    <w:p>
      <w:pPr>
        <w:pStyle w:val="FirstParagraph"/>
      </w:pPr>
      <w:r>
        <w:t xml:space="preserve">All datasets are aligned to the</w:t>
      </w:r>
      <w:r>
        <w:t xml:space="preserve"> </w:t>
      </w:r>
      <w:r>
        <w:rPr>
          <w:rStyle w:val="VerbatimChar"/>
          <w:b/>
          <w:bCs/>
        </w:rPr>
        <w:t xml:space="preserve">global05</w:t>
      </w:r>
      <w:r>
        <w:t xml:space="preserve"> </w:t>
      </w:r>
      <w:r>
        <w:t xml:space="preserve">grid (Global, 0.05 deg [-180,180]): 7,200 × 3,600 cells of 0.05° at −180 to 180 longitudes. At mid-latitudes a cell is roughly 4 × 4 km (~16 km</w:t>
      </w:r>
      <w:r>
        <w:rPr>
          <w:vertAlign w:val="superscript"/>
        </w:rPr>
        <w:t xml:space="preserve">2</w:t>
      </w:r>
      <w:r>
        <w:t xml:space="preserve">). Every cell carries a</w:t>
      </w:r>
      <w:r>
        <w:t xml:space="preserve"> </w:t>
      </w:r>
      <w:r>
        <w:rPr>
          <w:rStyle w:val="VerbatimChar"/>
        </w:rPr>
        <w:t xml:space="preserve">cell_id</w:t>
      </w:r>
      <w:r>
        <w:t xml:space="preserve">, which is what joins spatial data to every table in the database.</w:t>
      </w:r>
    </w:p>
    <w:p>
      <w:pPr>
        <w:pStyle w:val="BodyText"/>
      </w:pPr>
      <w:r>
        <w:t xml:space="preserve">This release carries</w:t>
      </w:r>
      <w:r>
        <w:t xml:space="preserve"> </w:t>
      </w:r>
      <w:r>
        <w:rPr>
          <w:b/>
          <w:bCs/>
        </w:rPr>
        <w:t xml:space="preserve">17,072,105</w:t>
      </w:r>
      <w:r>
        <w:t xml:space="preserve"> </w:t>
      </w:r>
      <w:r>
        <w:t xml:space="preserve">cells.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Applications/quarto/share/formats/docx/warning.png" id="17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cell_id</w:t>
            </w:r>
            <w:r>
              <w:t xml:space="preserve"> </w:t>
            </w:r>
            <w:r>
              <w:t xml:space="preserve">means a different place on different grids</w:t>
            </w:r>
          </w:p>
        </w:tc>
      </w:tr>
      <w:tr>
        <w:trPr>
          <w:cantSplit/>
        </w:trPr>
        <w:tc>
          <w:tcPr>
            <w:tcMar>
              <w:top w:w="108" w:type="dxa"/>
              <w:bottom w:w="108" w:type="dxa"/>
            </w:tcMar>
          </w:tcPr>
          <w:p>
            <w:pPr>
              <w:pStyle w:val="BodyText"/>
            </w:pPr>
            <w:pPr>
              <w:spacing w:before="16" w:after="16"/>
            </w:pPr>
            <w:r>
              <w:t xml:space="preserve">The grid changed at v8, from a regional grid on 0–360 longitudes to a global grid on −180 to 180.</w:t>
            </w:r>
            <w:r>
              <w:t xml:space="preserve"> </w:t>
            </w:r>
            <w:r>
              <w:rPr>
                <w:b/>
                <w:bCs/>
              </w:rPr>
              <w:t xml:space="preserve">A given</w:t>
            </w:r>
            <w:r>
              <w:rPr>
                <w:b/>
                <w:bCs/>
              </w:rPr>
              <w:t xml:space="preserve"> </w:t>
            </w:r>
            <w:r>
              <w:rPr>
                <w:rStyle w:val="VerbatimChar"/>
                <w:b/>
                <w:bCs/>
              </w:rPr>
              <w:t xml:space="preserve">cell_id</w:t>
            </w:r>
            <w:r>
              <w:rPr>
                <w:b/>
                <w:bCs/>
              </w:rPr>
              <w:t xml:space="preserve"> </w:t>
            </w:r>
            <w:r>
              <w:rPr>
                <w:b/>
                <w:bCs/>
              </w:rPr>
              <w:t xml:space="preserve">therefore denotes an entirely different location in v7 and in v8.</w:t>
            </w:r>
            <w:r>
              <w:t xml:space="preserve"> </w:t>
            </w:r>
            <w:r>
              <w:t xml:space="preserve">Cell ids are meaningful only together with the</w:t>
            </w:r>
            <w:r>
              <w:t xml:space="preserve"> </w:t>
            </w:r>
            <w:r>
              <w:rPr>
                <w:rStyle w:val="VerbatimChar"/>
              </w:rPr>
              <w:t xml:space="preserve">grid_id</w:t>
            </w:r>
            <w:r>
              <w:t xml:space="preserve"> </w:t>
            </w:r>
            <w:r>
              <w:t xml:space="preserve">the manifest declares, and the cell-id rasters are lookup images — a grid’s geometry cannot be inferred from one.</w:t>
            </w:r>
          </w:p>
          <w:p/>
        </w:tc>
      </w:tr>
    </w:tbl>
    <w:bookmarkEnd w:id="173"/>
    <w:bookmarkStart w:id="179" w:name="sec-primary-productivity"/>
    <w:p>
      <w:pPr>
        <w:pStyle w:val="Heading2"/>
      </w:pPr>
      <w:r>
        <w:t xml:space="preserve">6.5 Primary productivity</w:t>
      </w:r>
    </w:p>
    <w:p>
      <w:pPr>
        <w:pStyle w:val="FirstParagraph"/>
      </w:pPr>
      <w:r>
        <w:t xml:space="preserve">Primary productivity is an explicit statutory consideration: Section 18(a)(2) of the 1978 OCSLA Amendments requires the Department of the Interior to weigh</w:t>
      </w:r>
      <w:r>
        <w:t xml:space="preserve"> </w:t>
      </w:r>
      <w:r>
        <w:t xml:space="preserve">“the relative environmental sensitivity and marine productivity of different areas of the OCS”</w:t>
      </w:r>
      <w:r>
        <w:t xml:space="preserve"> </w:t>
      </w:r>
      <w:r>
        <w:t xml:space="preserve">in the timing and location of OCS activities.</w:t>
      </w:r>
    </w:p>
    <w:p>
      <w:pPr>
        <w:pStyle w:val="BodyText"/>
      </w:pPr>
      <w:r>
        <w:t xml:space="preserve">We use satellite-derived net primary productivity (NPP) from the Vertically Generalized Production Model [VGPM;</w:t>
      </w:r>
      <w:r>
        <w:t xml:space="preserve"> </w:t>
      </w:r>
      <w:r>
        <w:t xml:space="preserve">Behrenfeld and Falkowski (1997)</w:t>
      </w:r>
      <w:r>
        <w:t xml:space="preserve">] produced by</w:t>
      </w:r>
      <w:r>
        <w:t xml:space="preserve"> </w:t>
      </w:r>
      <w:hyperlink r:id="rId174">
        <w:r>
          <w:rPr>
            <w:rStyle w:val="Hyperlink"/>
          </w:rPr>
          <w:t xml:space="preserve">Oregon State’s Ocean Productivity Lab</w:t>
        </w:r>
      </w:hyperlink>
      <w:r>
        <w:t xml:space="preserve">, based on VIIRS data for 2014–2023. Values are converted to metric tons C km</w:t>
      </w:r>
      <w:r>
        <w:rPr>
          <w:vertAlign w:val="superscript"/>
        </w:rPr>
        <w:t xml:space="preserve">-2</w:t>
      </w:r>
      <w:r>
        <w:t xml:space="preserve"> </w:t>
      </w:r>
      <w:r>
        <w:t xml:space="preserve">yr</w:t>
      </w:r>
      <w:r>
        <w:rPr>
          <w:vertAlign w:val="superscript"/>
        </w:rPr>
        <w:t xml:space="preserve">-1</w:t>
      </w:r>
      <w:r>
        <w:t xml:space="preserve"> </w:t>
      </w:r>
      <w:r>
        <w:t xml:space="preserve">and averaged over the period. NPP enters scoring as its own metric, without extinction-risk weighting (see</w:t>
      </w:r>
      <w:r>
        <w:t xml:space="preserve"> </w:t>
      </w:r>
      <w:hyperlink w:anchor="sec-scoring">
        <w:r>
          <w:rPr>
            <w:rStyle w:val="Hyperlink"/>
          </w:rPr>
          <w:t xml:space="preserve">Chapter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8" w:name="fig-vgpm"/>
          <w:p>
            <w:pPr>
              <w:pStyle w:val="Compact"/>
              <w:jc w:val="center"/>
            </w:pPr>
            <w:r>
              <w:drawing>
                <wp:inline>
                  <wp:extent cx="5334000" cy="3418702"/>
                  <wp:effectExtent b="0" l="0" r="0" t="0"/>
                  <wp:docPr descr="" title="" id="176" name="Picture"/>
                  <a:graphic>
                    <a:graphicData uri="http://schemas.openxmlformats.org/drawingml/2006/picture">
                      <pic:pic>
                        <pic:nvPicPr>
                          <pic:cNvPr descr="figures/vgpm2021_offhab.jpg" id="177" name="Picture"/>
                          <pic:cNvPicPr>
                            <a:picLocks noChangeArrowheads="1" noChangeAspect="1"/>
                          </pic:cNvPicPr>
                        </pic:nvPicPr>
                        <pic:blipFill>
                          <a:blip r:embed="rId175"/>
                          <a:stretch>
                            <a:fillRect/>
                          </a:stretch>
                        </pic:blipFill>
                        <pic:spPr bwMode="auto">
                          <a:xfrm>
                            <a:off x="0" y="0"/>
                            <a:ext cx="5334000" cy="3418702"/>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Primary productivity throughout the continental United States averaged across months of 2021, as measured by Oregon State’s Vertically Generalized Production Model (VGPM).</w:t>
            </w:r>
          </w:p>
          <w:bookmarkEnd w:id="178"/>
        </w:tc>
      </w:tr>
    </w:tbl>
    <w:bookmarkEnd w:id="179"/>
    <w:bookmarkEnd w:id="180"/>
    <w:bookmarkStart w:id="200" w:name="sec-taxonomy"/>
    <w:p>
      <w:pPr>
        <w:pStyle w:val="Heading1"/>
      </w:pPr>
      <w:r>
        <w:t xml:space="preserve">7. Taxonomy</w:t>
      </w:r>
    </w:p>
    <w:p>
      <w:pPr>
        <w:pStyle w:val="FirstParagraph"/>
      </w:pPr>
      <w:r>
        <w:t xml:space="preserve">Integrating distribution data from several providers requires resolving taxonomic identity across naming systems, so that models of the same species merge rather than being counted as different species. The MST uses a multi-authority matching pipeline in which every source name resolves to one canonical identifier.</w:t>
      </w:r>
    </w:p>
    <w:bookmarkStart w:id="181" w:name="two-taxonomic-namespaces"/>
    <w:p>
      <w:pPr>
        <w:pStyle w:val="Heading2"/>
      </w:pPr>
      <w:r>
        <w:t xml:space="preserve">7.1 Two taxonomic namespaces</w:t>
      </w:r>
    </w:p>
    <w:p>
      <w:pPr>
        <w:pStyle w:val="FirstParagraph"/>
      </w:pPr>
      <w:r>
        <w:t xml:space="preserve">Taxa resolve into</w:t>
      </w:r>
      <w:r>
        <w:t xml:space="preserve"> </w:t>
      </w:r>
      <w:r>
        <w:rPr>
          <w:b/>
          <w:bCs/>
        </w:rPr>
        <w:t xml:space="preserve">one of two</w:t>
      </w:r>
      <w:r>
        <w:t xml:space="preserve"> </w:t>
      </w:r>
      <w:r>
        <w:t xml:space="preserve">authorities, not one:</w:t>
      </w:r>
    </w:p>
    <w:p>
      <w:pPr>
        <w:pStyle w:val="Compact"/>
        <w:numPr>
          <w:ilvl w:val="0"/>
          <w:numId w:val="1021"/>
        </w:numPr>
      </w:pPr>
      <w:r>
        <w:rPr>
          <w:b/>
          <w:bCs/>
        </w:rPr>
        <w:t xml:space="preserve">Birds → BirdLife (</w:t>
      </w:r>
      <w:r>
        <w:rPr>
          <w:rStyle w:val="VerbatimChar"/>
          <w:b/>
          <w:bCs/>
        </w:rPr>
        <w:t xml:space="preserve">BOTW:{sisid}</w:t>
      </w:r>
      <w:r>
        <w:rPr>
          <w:b/>
          <w:bCs/>
        </w:rPr>
        <w:t xml:space="preserve">)</w:t>
      </w:r>
      <w:r>
        <w:t xml:space="preserve">. WoRMS coverage of birds is poor and its</w:t>
      </w:r>
      <w:r>
        <w:t xml:space="preserve"> </w:t>
      </w:r>
      <w:r>
        <w:rPr>
          <w:rStyle w:val="VerbatimChar"/>
        </w:rPr>
        <w:t xml:space="preserve">isMarine</w:t>
      </w:r>
      <w:r>
        <w:t xml:space="preserve"> </w:t>
      </w:r>
      <w:r>
        <w:t xml:space="preserve">flag is unreliable for seabirds, so birds are</w:t>
      </w:r>
      <w:r>
        <w:t xml:space="preserve"> </w:t>
      </w:r>
      <w:r>
        <w:rPr>
          <w:i/>
          <w:iCs/>
        </w:rPr>
        <w:t xml:space="preserve">not</w:t>
      </w:r>
      <w:r>
        <w:t xml:space="preserve"> </w:t>
      </w:r>
      <w:r>
        <w:t xml:space="preserve">resolved through WoRMS.</w:t>
      </w:r>
    </w:p>
    <w:p>
      <w:pPr>
        <w:pStyle w:val="Compact"/>
        <w:numPr>
          <w:ilvl w:val="0"/>
          <w:numId w:val="1021"/>
        </w:numPr>
      </w:pPr>
      <w:r>
        <w:rPr>
          <w:b/>
          <w:bCs/>
        </w:rPr>
        <w:t xml:space="preserve">Everything else → WoRMS (</w:t>
      </w:r>
      <w:r>
        <w:rPr>
          <w:rStyle w:val="VerbatimChar"/>
          <w:b/>
          <w:bCs/>
        </w:rPr>
        <w:t xml:space="preserve">WORMS:{aphia_id}</w:t>
      </w:r>
      <w:r>
        <w:rPr>
          <w:b/>
          <w:bCs/>
        </w:rPr>
        <w:t xml:space="preserve">)</w:t>
      </w:r>
      <w:r>
        <w:t xml:space="preserve">, resolved from the scientific name via the ITIS↔WoRMS crosswalk, then exact WoRMS matching, then the WoRMS REST API for the remainder.</w:t>
      </w:r>
    </w:p>
    <w:p>
      <w:pPr>
        <w:pStyle w:val="FirstParagraph"/>
      </w:pPr>
      <w:r>
        <w:t xml:space="preserve">A merged model is keyed by that identity —</w:t>
      </w:r>
      <w:r>
        <w:t xml:space="preserve"> </w:t>
      </w:r>
      <w:r>
        <w:rPr>
          <w:rStyle w:val="VerbatimChar"/>
        </w:rPr>
        <w:t xml:space="preserve">ms_merge|WORMS:137209</w:t>
      </w:r>
      <w:r>
        <w:t xml:space="preserve">,</w:t>
      </w:r>
      <w:r>
        <w:t xml:space="preserve"> </w:t>
      </w:r>
      <w:r>
        <w:rPr>
          <w:rStyle w:val="VerbatimChar"/>
        </w:rPr>
        <w:t xml:space="preserve">ms_merge|BOTW:22694927</w:t>
      </w:r>
      <w:r>
        <w:t xml:space="preserve"> </w:t>
      </w:r>
      <w:r>
        <w:t xml:space="preserve">— which is also why species must be counted on the</w:t>
      </w:r>
      <w:r>
        <w:t xml:space="preserve"> </w:t>
      </w:r>
      <w:r>
        <w:rPr>
          <w:b/>
          <w:bCs/>
        </w:rPr>
        <w:t xml:space="preserve">(authority, id) pair</w:t>
      </w:r>
      <w:r>
        <w:t xml:space="preserve">: the two namespaces number independently, so counting bare ids collides birds with invertebrates.</w:t>
      </w:r>
    </w:p>
    <w:bookmarkEnd w:id="181"/>
    <w:bookmarkStart w:id="186" w:name="taxonomic-authorities"/>
    <w:p>
      <w:pPr>
        <w:pStyle w:val="Heading2"/>
      </w:pPr>
      <w:r>
        <w:t xml:space="preserve">7.2 Taxonomic authorities</w:t>
      </w:r>
    </w:p>
    <w:tbl>
      <w:tblPr>
        <w:tblStyle w:val="Table"/>
        <w:tblW w:type="pct" w:w="5000"/>
        <w:tblLayout w:type="fixed"/>
        <w:tblLook w:firstRow="0" w:lastRow="0" w:firstColumn="0" w:lastColumn="0" w:noHBand="0" w:noVBand="0" w:val="0000"/>
      </w:tblPr>
      <w:tblGrid>
        <w:gridCol w:w="7920"/>
      </w:tblGrid>
      <w:tr>
        <w:tc>
          <w:tcPr/>
          <w:bookmarkStart w:id="185" w:name="tbl-tax-authorities"/>
          <w:p>
            <w:pPr>
              <w:jc w:val="center"/>
            </w:pPr>
            <w:pPr>
              <w:jc w:val="left"/>
              <w:spacing w:before="200"/>
              <w:pStyle w:val="ImageCaption"/>
            </w:pPr>
            <w:r>
              <w:t xml:space="preserve">Table 7.1: Taxonomic authorities used for name resolution.</w:t>
            </w:r>
          </w:p>
          <w:tbl>
            <w:tblPr>
              <w:tblStyle w:val="Table"/>
              <w:tblW w:type="pct" w:w="5000"/>
              <w:tblLayout w:type="fixed"/>
              <w:tblLook w:firstRow="1" w:lastRow="0" w:firstColumn="0" w:lastColumn="0" w:noHBand="0" w:noVBand="0" w:val="0020"/>
            </w:tblPr>
            <w:tblGrid>
              <w:gridCol w:w="3960"/>
              <w:gridCol w:w="2160"/>
              <w:gridCol w:w="1800"/>
            </w:tblGrid>
            <w:tr>
              <w:trPr>
                <w:tblHeader w:val="on"/>
              </w:trPr>
              <w:tc>
                <w:tcPr/>
                <w:p>
                  <w:pPr>
                    <w:pStyle w:val="Compact"/>
                    <w:jc w:val="left"/>
                    <w:jc w:val="center"/>
                  </w:pPr>
                  <w:r>
                    <w:t xml:space="preserve">Authority</w:t>
                  </w:r>
                </w:p>
              </w:tc>
              <w:tc>
                <w:tcPr/>
                <w:p>
                  <w:pPr>
                    <w:pStyle w:val="Compact"/>
                    <w:jc w:val="left"/>
                    <w:jc w:val="center"/>
                  </w:pPr>
                  <w:r>
                    <w:t xml:space="preserve">Role</w:t>
                  </w:r>
                </w:p>
              </w:tc>
              <w:tc>
                <w:tcPr/>
                <w:p>
                  <w:pPr>
                    <w:pStyle w:val="Compact"/>
                    <w:jc w:val="left"/>
                    <w:jc w:val="center"/>
                  </w:pPr>
                  <w:r>
                    <w:t xml:space="preserve">Key</w:t>
                  </w:r>
                </w:p>
              </w:tc>
            </w:tr>
            <w:tr>
              <w:tc>
                <w:tcPr/>
                <w:p>
                  <w:pPr>
                    <w:pStyle w:val="Compact"/>
                    <w:jc w:val="left"/>
                    <w:jc w:val="center"/>
                  </w:pPr>
                  <w:hyperlink r:id="rId182">
                    <w:r>
                      <w:rPr>
                        <w:rStyle w:val="Hyperlink"/>
                      </w:rPr>
                      <w:t xml:space="preserve">WoRMS</w:t>
                    </w:r>
                  </w:hyperlink>
                </w:p>
              </w:tc>
              <w:tc>
                <w:tcPr/>
                <w:p>
                  <w:pPr>
                    <w:pStyle w:val="Compact"/>
                    <w:jc w:val="left"/>
                    <w:jc w:val="center"/>
                  </w:pPr>
                  <w:r>
                    <w:t xml:space="preserve">World Register of Marine Species — canonical identity for all non-bird marine taxa, and the source of the class/phylum used to assign a species category</w:t>
                  </w:r>
                </w:p>
              </w:tc>
              <w:tc>
                <w:tcPr/>
                <w:p>
                  <w:pPr>
                    <w:pStyle w:val="Compact"/>
                    <w:jc w:val="left"/>
                    <w:jc w:val="center"/>
                  </w:pPr>
                  <w:r>
                    <w:rPr>
                      <w:rStyle w:val="VerbatimChar"/>
                    </w:rPr>
                    <w:t xml:space="preserve">worms_id</w:t>
                  </w:r>
                  <w:r>
                    <w:t xml:space="preserve"> </w:t>
                  </w:r>
                  <w:r>
                    <w:t xml:space="preserve">(AphiaID)</w:t>
                  </w:r>
                </w:p>
              </w:tc>
            </w:tr>
            <w:tr>
              <w:tc>
                <w:tcPr/>
                <w:p>
                  <w:pPr>
                    <w:pStyle w:val="Compact"/>
                    <w:jc w:val="left"/>
                    <w:jc w:val="center"/>
                  </w:pPr>
                  <w:hyperlink r:id="rId32">
                    <w:r>
                      <w:rPr>
                        <w:rStyle w:val="Hyperlink"/>
                      </w:rPr>
                      <w:t xml:space="preserve">BirdLife BOTW</w:t>
                    </w:r>
                  </w:hyperlink>
                </w:p>
              </w:tc>
              <w:tc>
                <w:tcPr/>
                <w:p>
                  <w:pPr>
                    <w:pStyle w:val="Compact"/>
                    <w:jc w:val="left"/>
                    <w:jc w:val="center"/>
                  </w:pPr>
                  <w:r>
                    <w:t xml:space="preserve">Birds of the World — canonical identity and ranges for birds</w:t>
                  </w:r>
                </w:p>
              </w:tc>
              <w:tc>
                <w:tcPr/>
                <w:p>
                  <w:pPr>
                    <w:pStyle w:val="Compact"/>
                    <w:jc w:val="left"/>
                    <w:jc w:val="center"/>
                  </w:pPr>
                  <w:r>
                    <w:rPr>
                      <w:rStyle w:val="VerbatimChar"/>
                    </w:rPr>
                    <w:t xml:space="preserve">botw_id</w:t>
                  </w:r>
                  <w:r>
                    <w:t xml:space="preserve"> </w:t>
                  </w:r>
                  <w:r>
                    <w:t xml:space="preserve">(SIS ID)</w:t>
                  </w:r>
                </w:p>
              </w:tc>
            </w:tr>
            <w:tr>
              <w:tc>
                <w:tcPr/>
                <w:p>
                  <w:pPr>
                    <w:pStyle w:val="Compact"/>
                    <w:jc w:val="left"/>
                    <w:jc w:val="center"/>
                  </w:pPr>
                  <w:hyperlink r:id="rId183">
                    <w:r>
                      <w:rPr>
                        <w:rStyle w:val="Hyperlink"/>
                      </w:rPr>
                      <w:t xml:space="preserve">GBIF</w:t>
                    </w:r>
                  </w:hyperlink>
                </w:p>
              </w:tc>
              <w:tc>
                <w:tcPr/>
                <w:p>
                  <w:pPr>
                    <w:pStyle w:val="Compact"/>
                    <w:jc w:val="left"/>
                    <w:jc w:val="center"/>
                  </w:pPr>
                  <w:r>
                    <w:t xml:space="preserve">Backbone taxonomy, used as a crosswalk into WoRMS</w:t>
                  </w:r>
                </w:p>
              </w:tc>
              <w:tc>
                <w:tcPr/>
                <w:p>
                  <w:pPr>
                    <w:pStyle w:val="Compact"/>
                    <w:jc w:val="left"/>
                    <w:jc w:val="center"/>
                  </w:pPr>
                  <w:r>
                    <w:rPr>
                      <w:rStyle w:val="VerbatimChar"/>
                    </w:rPr>
                    <w:t xml:space="preserve">gbif_id</w:t>
                  </w:r>
                </w:p>
              </w:tc>
            </w:tr>
            <w:tr>
              <w:tc>
                <w:tcPr/>
                <w:p>
                  <w:pPr>
                    <w:pStyle w:val="Compact"/>
                    <w:jc w:val="left"/>
                    <w:jc w:val="center"/>
                  </w:pPr>
                  <w:hyperlink r:id="rId184">
                    <w:r>
                      <w:rPr>
                        <w:rStyle w:val="Hyperlink"/>
                      </w:rPr>
                      <w:t xml:space="preserve">ITIS</w:t>
                    </w:r>
                  </w:hyperlink>
                </w:p>
              </w:tc>
              <w:tc>
                <w:tcPr/>
                <w:p>
                  <w:pPr>
                    <w:pStyle w:val="Compact"/>
                    <w:jc w:val="left"/>
                    <w:jc w:val="center"/>
                  </w:pPr>
                  <w:r>
                    <w:t xml:space="preserve">US federal standard; the first match attempted where a source supplies a TSN</w:t>
                  </w:r>
                </w:p>
              </w:tc>
              <w:tc>
                <w:tcPr/>
                <w:p>
                  <w:pPr>
                    <w:pStyle w:val="Compact"/>
                    <w:jc w:val="left"/>
                    <w:jc w:val="center"/>
                  </w:pPr>
                  <w:r>
                    <w:rPr>
                      <w:rStyle w:val="VerbatimChar"/>
                    </w:rPr>
                    <w:t xml:space="preserve">itis_tsn</w:t>
                  </w:r>
                </w:p>
              </w:tc>
            </w:tr>
            <w:tr>
              <w:tc>
                <w:tcPr/>
                <w:p>
                  <w:pPr>
                    <w:pStyle w:val="Compact"/>
                    <w:jc w:val="left"/>
                    <w:jc w:val="center"/>
                  </w:pPr>
                  <w:hyperlink r:id="rId33">
                    <w:r>
                      <w:rPr>
                        <w:rStyle w:val="Hyperlink"/>
                      </w:rPr>
                      <w:t xml:space="preserve">IUCN Red List</w:t>
                    </w:r>
                  </w:hyperlink>
                </w:p>
              </w:tc>
              <w:tc>
                <w:tcPr/>
                <w:p>
                  <w:pPr>
                    <w:pStyle w:val="Compact"/>
                    <w:jc w:val="left"/>
                    <w:jc w:val="center"/>
                  </w:pPr>
                  <w:r>
                    <w:t xml:space="preserve">Conservation status, and expert range maps</w:t>
                  </w:r>
                </w:p>
              </w:tc>
              <w:tc>
                <w:tcPr/>
                <w:p>
                  <w:pPr>
                    <w:pStyle w:val="Compact"/>
                    <w:jc w:val="left"/>
                    <w:jc w:val="center"/>
                  </w:pPr>
                  <w:r>
                    <w:rPr>
                      <w:rStyle w:val="VerbatimChar"/>
                    </w:rPr>
                    <w:t xml:space="preserve">iucn_id</w:t>
                  </w:r>
                </w:p>
              </w:tc>
            </w:tr>
          </w:tbl>
          <w:bookmarkEnd w:id="185"/>
          <w:p/>
        </w:tc>
      </w:tr>
    </w:tbl>
    <w:p>
      <w:pPr>
        <w:pStyle w:val="BodyText"/>
      </w:pPr>
      <w:r>
        <w:t xml:space="preserve">At each stage deprecated names resolve to their accepted synonyms, with the original source name kept alongside the accepted one.</w:t>
      </w:r>
    </w:p>
    <w:bookmarkEnd w:id="186"/>
    <w:bookmarkStart w:id="190" w:name="species-categories"/>
    <w:p>
      <w:pPr>
        <w:pStyle w:val="Heading2"/>
      </w:pPr>
      <w:r>
        <w:t xml:space="preserve">7.3 Species categories</w:t>
      </w:r>
    </w:p>
    <w:tbl>
      <w:tblPr>
        <w:tblStyle w:val="Table"/>
        <w:tblW w:type="pct" w:w="5000"/>
        <w:tblLayout w:type="fixed"/>
        <w:tblLook w:firstRow="0" w:lastRow="0" w:firstColumn="0" w:lastColumn="0" w:noHBand="0" w:noVBand="0" w:val="0000"/>
      </w:tblPr>
      <w:tblGrid>
        <w:gridCol w:w="7920"/>
      </w:tblGrid>
      <w:tr>
        <w:tc>
          <w:tcPr/>
          <w:bookmarkStart w:id="187" w:name="tbl-species-categories"/>
          <w:p>
            <w:pPr>
              <w:jc w:val="center"/>
            </w:pPr>
            <w:pPr>
              <w:jc w:val="left"/>
              <w:spacing w:before="200"/>
              <w:pStyle w:val="ImageCaption"/>
            </w:pPr>
            <w:r>
              <w:t xml:space="preserve">Table 7.2: Species categories in v9.</w:t>
            </w:r>
            <w:r>
              <w:t xml:space="preserve"> </w:t>
            </w:r>
            <w:r>
              <w:rPr>
                <w:i/>
                <w:iCs/>
              </w:rPr>
              <w:t xml:space="preserve">Scored</w:t>
            </w:r>
            <w:r>
              <w:t xml:space="preserve"> </w:t>
            </w:r>
            <w:r>
              <w:t xml:space="preserve">is read from the metric registry — a category is scored only where the release published an</w:t>
            </w:r>
            <w:r>
              <w:t xml:space="preserve"> </w:t>
            </w:r>
            <w:r>
              <w:rPr>
                <w:rStyle w:val="VerbatimChar"/>
              </w:rPr>
              <w:t xml:space="preserve">extrisk_{cat}</w:t>
            </w:r>
            <w:r>
              <w:t xml:space="preserve"> </w:t>
            </w:r>
            <w:r>
              <w:t xml:space="preserve">metric for it.</w:t>
            </w:r>
            <w:r>
              <w:t xml:space="preserve"> </w:t>
            </w:r>
            <w:r>
              <w:rPr>
                <w:i/>
                <w:iCs/>
              </w:rPr>
              <w:t xml:space="preserve">Valid</w:t>
            </w:r>
            <w:r>
              <w:t xml:space="preserve"> </w:t>
            </w:r>
            <w:r>
              <w:t xml:space="preserve">counts the taxa eligible for scoring.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Category</w:t>
                  </w:r>
                </w:p>
              </w:tc>
              <w:tc>
                <w:tcPr/>
                <w:p>
                  <w:pPr>
                    <w:pStyle w:val="Compact"/>
                    <w:jc w:val="right"/>
                    <w:jc w:val="center"/>
                  </w:pPr>
                  <w:r>
                    <w:t xml:space="preserve">Taxa</w:t>
                  </w:r>
                </w:p>
              </w:tc>
              <w:tc>
                <w:tcPr/>
                <w:p>
                  <w:pPr>
                    <w:pStyle w:val="Compact"/>
                    <w:jc w:val="right"/>
                    <w:jc w:val="center"/>
                  </w:pPr>
                  <w:r>
                    <w:t xml:space="preserve">Valid</w:t>
                  </w:r>
                </w:p>
              </w:tc>
              <w:tc>
                <w:tcPr/>
                <w:p>
                  <w:pPr>
                    <w:pStyle w:val="Compact"/>
                    <w:jc w:val="center"/>
                    <w:jc w:val="center"/>
                  </w:pPr>
                  <w:r>
                    <w:t xml:space="preserve">Scored</w:t>
                  </w:r>
                </w:p>
              </w:tc>
            </w:tr>
            <w:tr>
              <w:tc>
                <w:tcPr/>
                <w:p>
                  <w:pPr>
                    <w:pStyle w:val="Compact"/>
                    <w:jc w:val="left"/>
                    <w:jc w:val="center"/>
                  </w:pPr>
                  <w:r>
                    <w:rPr>
                      <w:rStyle w:val="VerbatimChar"/>
                    </w:rPr>
                    <w:t xml:space="preserve">invertebrate</w:t>
                  </w:r>
                </w:p>
              </w:tc>
              <w:tc>
                <w:tcPr/>
                <w:p>
                  <w:pPr>
                    <w:pStyle w:val="Compact"/>
                    <w:jc w:val="right"/>
                    <w:jc w:val="center"/>
                  </w:pPr>
                  <w:r>
                    <w:t xml:space="preserve">12,605</w:t>
                  </w:r>
                </w:p>
              </w:tc>
              <w:tc>
                <w:tcPr/>
                <w:p>
                  <w:pPr>
                    <w:pStyle w:val="Compact"/>
                    <w:jc w:val="right"/>
                    <w:jc w:val="center"/>
                  </w:pPr>
                  <w:r>
                    <w:t xml:space="preserve">9,424</w:t>
                  </w:r>
                </w:p>
              </w:tc>
              <w:tc>
                <w:tcPr/>
                <w:p>
                  <w:pPr>
                    <w:pStyle w:val="Compact"/>
                    <w:jc w:val="center"/>
                    <w:jc w:val="center"/>
                  </w:pPr>
                  <w:r>
                    <w:t xml:space="preserve">Yes</w:t>
                  </w:r>
                </w:p>
              </w:tc>
            </w:tr>
            <w:tr>
              <w:tc>
                <w:tcPr/>
                <w:p>
                  <w:pPr>
                    <w:pStyle w:val="Compact"/>
                    <w:jc w:val="left"/>
                    <w:jc w:val="center"/>
                  </w:pPr>
                  <w:r>
                    <w:rPr>
                      <w:rStyle w:val="VerbatimChar"/>
                    </w:rPr>
                    <w:t xml:space="preserve">fish</w:t>
                  </w:r>
                </w:p>
              </w:tc>
              <w:tc>
                <w:tcPr/>
                <w:p>
                  <w:pPr>
                    <w:pStyle w:val="Compact"/>
                    <w:jc w:val="right"/>
                    <w:jc w:val="center"/>
                  </w:pPr>
                  <w:r>
                    <w:t xml:space="preserve">11,543</w:t>
                  </w:r>
                </w:p>
              </w:tc>
              <w:tc>
                <w:tcPr/>
                <w:p>
                  <w:pPr>
                    <w:pStyle w:val="Compact"/>
                    <w:jc w:val="right"/>
                    <w:jc w:val="center"/>
                  </w:pPr>
                  <w:r>
                    <w:t xml:space="preserve">6,290</w:t>
                  </w:r>
                </w:p>
              </w:tc>
              <w:tc>
                <w:tcPr/>
                <w:p>
                  <w:pPr>
                    <w:pStyle w:val="Compact"/>
                    <w:jc w:val="center"/>
                    <w:jc w:val="center"/>
                  </w:pPr>
                  <w:r>
                    <w:t xml:space="preserve">Yes</w:t>
                  </w:r>
                </w:p>
              </w:tc>
            </w:tr>
            <w:tr>
              <w:tc>
                <w:tcPr/>
                <w:p>
                  <w:pPr>
                    <w:pStyle w:val="Compact"/>
                    <w:jc w:val="left"/>
                    <w:jc w:val="center"/>
                  </w:pPr>
                  <w:r>
                    <w:rPr>
                      <w:rStyle w:val="VerbatimChar"/>
                    </w:rPr>
                    <w:t xml:space="preserve">coral</w:t>
                  </w:r>
                </w:p>
              </w:tc>
              <w:tc>
                <w:tcPr/>
                <w:p>
                  <w:pPr>
                    <w:pStyle w:val="Compact"/>
                    <w:jc w:val="right"/>
                    <w:jc w:val="center"/>
                  </w:pPr>
                  <w:r>
                    <w:t xml:space="preserve">1,329</w:t>
                  </w:r>
                </w:p>
              </w:tc>
              <w:tc>
                <w:tcPr/>
                <w:p>
                  <w:pPr>
                    <w:pStyle w:val="Compact"/>
                    <w:jc w:val="right"/>
                    <w:jc w:val="center"/>
                  </w:pPr>
                  <w:r>
                    <w:t xml:space="preserve">783</w:t>
                  </w:r>
                </w:p>
              </w:tc>
              <w:tc>
                <w:tcPr/>
                <w:p>
                  <w:pPr>
                    <w:pStyle w:val="Compact"/>
                    <w:jc w:val="center"/>
                    <w:jc w:val="center"/>
                  </w:pPr>
                  <w:r>
                    <w:t xml:space="preserve">Yes</w:t>
                  </w:r>
                </w:p>
              </w:tc>
            </w:tr>
            <w:tr>
              <w:tc>
                <w:tcPr/>
                <w:p>
                  <w:pPr>
                    <w:pStyle w:val="Compact"/>
                    <w:jc w:val="left"/>
                    <w:jc w:val="center"/>
                  </w:pPr>
                  <w:r>
                    <w:rPr>
                      <w:rStyle w:val="VerbatimChar"/>
                    </w:rPr>
                    <w:t xml:space="preserve">primary_producer</w:t>
                  </w:r>
                </w:p>
              </w:tc>
              <w:tc>
                <w:tcPr/>
                <w:p>
                  <w:pPr>
                    <w:pStyle w:val="Compact"/>
                    <w:jc w:val="right"/>
                    <w:jc w:val="center"/>
                  </w:pPr>
                  <w:r>
                    <w:t xml:space="preserve">447</w:t>
                  </w:r>
                </w:p>
              </w:tc>
              <w:tc>
                <w:tcPr/>
                <w:p>
                  <w:pPr>
                    <w:pStyle w:val="Compact"/>
                    <w:jc w:val="right"/>
                    <w:jc w:val="center"/>
                  </w:pPr>
                  <w:r>
                    <w:t xml:space="preserve">319</w:t>
                  </w:r>
                </w:p>
              </w:tc>
              <w:tc>
                <w:tcPr/>
                <w:p>
                  <w:pPr>
                    <w:pStyle w:val="Compact"/>
                    <w:jc w:val="center"/>
                    <w:jc w:val="center"/>
                  </w:pPr>
                  <w:r>
                    <w:t xml:space="preserve">Yes</w:t>
                  </w:r>
                </w:p>
              </w:tc>
            </w:tr>
            <w:tr>
              <w:tc>
                <w:tcPr/>
                <w:p>
                  <w:pPr>
                    <w:pStyle w:val="Compact"/>
                    <w:jc w:val="left"/>
                    <w:jc w:val="center"/>
                  </w:pPr>
                  <w:r>
                    <w:rPr>
                      <w:rStyle w:val="VerbatimChar"/>
                    </w:rPr>
                    <w:t xml:space="preserve">bird</w:t>
                  </w:r>
                </w:p>
              </w:tc>
              <w:tc>
                <w:tcPr/>
                <w:p>
                  <w:pPr>
                    <w:pStyle w:val="Compact"/>
                    <w:jc w:val="right"/>
                    <w:jc w:val="center"/>
                  </w:pPr>
                  <w:r>
                    <w:t xml:space="preserve">10,999</w:t>
                  </w:r>
                </w:p>
              </w:tc>
              <w:tc>
                <w:tcPr/>
                <w:p>
                  <w:pPr>
                    <w:pStyle w:val="Compact"/>
                    <w:jc w:val="right"/>
                    <w:jc w:val="center"/>
                  </w:pPr>
                  <w:r>
                    <w:t xml:space="preserve">229</w:t>
                  </w:r>
                </w:p>
              </w:tc>
              <w:tc>
                <w:tcPr/>
                <w:p>
                  <w:pPr>
                    <w:pStyle w:val="Compact"/>
                    <w:jc w:val="center"/>
                    <w:jc w:val="center"/>
                  </w:pPr>
                  <w:r>
                    <w:t xml:space="preserve">Yes</w:t>
                  </w:r>
                </w:p>
              </w:tc>
            </w:tr>
            <w:tr>
              <w:tc>
                <w:tcPr/>
                <w:p>
                  <w:pPr>
                    <w:pStyle w:val="Compact"/>
                    <w:jc w:val="left"/>
                    <w:jc w:val="center"/>
                  </w:pPr>
                  <w:r>
                    <w:rPr>
                      <w:rStyle w:val="VerbatimChar"/>
                    </w:rPr>
                    <w:t xml:space="preserve">mammal</w:t>
                  </w:r>
                </w:p>
              </w:tc>
              <w:tc>
                <w:tcPr/>
                <w:p>
                  <w:pPr>
                    <w:pStyle w:val="Compact"/>
                    <w:jc w:val="right"/>
                    <w:jc w:val="center"/>
                  </w:pPr>
                  <w:r>
                    <w:t xml:space="preserve">134</w:t>
                  </w:r>
                </w:p>
              </w:tc>
              <w:tc>
                <w:tcPr/>
                <w:p>
                  <w:pPr>
                    <w:pStyle w:val="Compact"/>
                    <w:jc w:val="right"/>
                    <w:jc w:val="center"/>
                  </w:pPr>
                  <w:r>
                    <w:t xml:space="preserve">75</w:t>
                  </w:r>
                </w:p>
              </w:tc>
              <w:tc>
                <w:tcPr/>
                <w:p>
                  <w:pPr>
                    <w:pStyle w:val="Compact"/>
                    <w:jc w:val="center"/>
                    <w:jc w:val="center"/>
                  </w:pPr>
                  <w:r>
                    <w:t xml:space="preserve">Yes</w:t>
                  </w:r>
                </w:p>
              </w:tc>
            </w:tr>
            <w:tr>
              <w:tc>
                <w:tcPr/>
                <w:p>
                  <w:pPr>
                    <w:pStyle w:val="Compact"/>
                    <w:jc w:val="left"/>
                    <w:jc w:val="center"/>
                  </w:pPr>
                  <w:r>
                    <w:rPr>
                      <w:rStyle w:val="VerbatimChar"/>
                    </w:rPr>
                    <w:t xml:space="preserve">turtle</w:t>
                  </w:r>
                </w:p>
              </w:tc>
              <w:tc>
                <w:tcPr/>
                <w:p>
                  <w:pPr>
                    <w:pStyle w:val="Compact"/>
                    <w:jc w:val="right"/>
                    <w:jc w:val="center"/>
                  </w:pPr>
                  <w:r>
                    <w:t xml:space="preserve">6</w:t>
                  </w:r>
                </w:p>
              </w:tc>
              <w:tc>
                <w:tcPr/>
                <w:p>
                  <w:pPr>
                    <w:pStyle w:val="Compact"/>
                    <w:jc w:val="right"/>
                    <w:jc w:val="center"/>
                  </w:pPr>
                  <w:r>
                    <w:t xml:space="preserve">6</w:t>
                  </w:r>
                </w:p>
              </w:tc>
              <w:tc>
                <w:tcPr/>
                <w:p>
                  <w:pPr>
                    <w:pStyle w:val="Compact"/>
                    <w:jc w:val="center"/>
                    <w:jc w:val="center"/>
                  </w:pPr>
                  <w:r>
                    <w:t xml:space="preserve">Yes</w:t>
                  </w:r>
                </w:p>
              </w:tc>
            </w:tr>
            <w:tr>
              <w:tc>
                <w:tcPr/>
                <w:p>
                  <w:pPr>
                    <w:pStyle w:val="Compact"/>
                    <w:jc w:val="left"/>
                    <w:jc w:val="center"/>
                  </w:pPr>
                  <w:r>
                    <w:rPr>
                      <w:rStyle w:val="VerbatimChar"/>
                    </w:rPr>
                    <w:t xml:space="preserve">reptile</w:t>
                  </w:r>
                </w:p>
              </w:tc>
              <w:tc>
                <w:tcPr/>
                <w:p>
                  <w:pPr>
                    <w:pStyle w:val="Compact"/>
                    <w:jc w:val="right"/>
                    <w:jc w:val="center"/>
                  </w:pPr>
                  <w:r>
                    <w:t xml:space="preserve">3</w:t>
                  </w:r>
                </w:p>
              </w:tc>
              <w:tc>
                <w:tcPr/>
                <w:p>
                  <w:pPr>
                    <w:pStyle w:val="Compact"/>
                    <w:jc w:val="right"/>
                    <w:jc w:val="center"/>
                  </w:pPr>
                  <w:r>
                    <w:t xml:space="preserve">3</w:t>
                  </w:r>
                </w:p>
              </w:tc>
              <w:tc>
                <w:tcPr/>
                <w:p>
                  <w:pPr>
                    <w:pStyle w:val="Compact"/>
                    <w:jc w:val="center"/>
                    <w:jc w:val="center"/>
                  </w:pPr>
                  <w:r>
                    <w:rPr>
                      <w:b/>
                      <w:bCs/>
                    </w:rPr>
                    <w:t xml:space="preserve">No</w:t>
                  </w:r>
                </w:p>
              </w:tc>
            </w:tr>
            <w:tr>
              <w:tc>
                <w:tcPr/>
                <w:p>
                  <w:pPr>
                    <w:pStyle w:val="Compact"/>
                    <w:jc w:val="left"/>
                    <w:jc w:val="center"/>
                  </w:pPr>
                  <w:r>
                    <w:rPr>
                      <w:rStyle w:val="VerbatimChar"/>
                    </w:rPr>
                    <w:t xml:space="preserve">amphibian</w:t>
                  </w:r>
                </w:p>
              </w:tc>
              <w:tc>
                <w:tcPr/>
                <w:p>
                  <w:pPr>
                    <w:pStyle w:val="Compact"/>
                    <w:jc w:val="right"/>
                    <w:jc w:val="center"/>
                  </w:pPr>
                  <w:r>
                    <w:t xml:space="preserve">1</w:t>
                  </w:r>
                </w:p>
              </w:tc>
              <w:tc>
                <w:tcPr/>
                <w:p>
                  <w:pPr>
                    <w:pStyle w:val="Compact"/>
                    <w:jc w:val="right"/>
                    <w:jc w:val="center"/>
                  </w:pPr>
                  <w:r>
                    <w:t xml:space="preserve">1</w:t>
                  </w:r>
                </w:p>
              </w:tc>
              <w:tc>
                <w:tcPr/>
                <w:p>
                  <w:pPr>
                    <w:pStyle w:val="Compact"/>
                    <w:jc w:val="center"/>
                    <w:jc w:val="center"/>
                  </w:pPr>
                  <w:r>
                    <w:rPr>
                      <w:b/>
                      <w:bCs/>
                    </w:rPr>
                    <w:t xml:space="preserve">No</w:t>
                  </w:r>
                </w:p>
              </w:tc>
            </w:tr>
          </w:tbl>
          <w:bookmarkEnd w:id="187"/>
          <w:p/>
        </w:tc>
      </w:tr>
    </w:tbl>
    <w:p>
      <w:pPr>
        <w:pStyle w:val="BodyText"/>
      </w:pPr>
      <w:r>
        <w:t xml:space="preserve">Categories present in the taxonomy but</w:t>
      </w:r>
      <w:r>
        <w:t xml:space="preserve"> </w:t>
      </w:r>
      <w:r>
        <w:rPr>
          <w:b/>
          <w:bCs/>
        </w:rPr>
        <w:t xml:space="preserve">not scored</w:t>
      </w:r>
      <w:r>
        <w:t xml:space="preserve"> </w:t>
      </w:r>
      <w:r>
        <w:t xml:space="preserve">in v9:</w:t>
      </w:r>
      <w:r>
        <w:t xml:space="preserve"> </w:t>
      </w:r>
      <w:r>
        <w:rPr>
          <w:rStyle w:val="VerbatimChar"/>
        </w:rPr>
        <w:t xml:space="preserve">reptile</w:t>
      </w:r>
      <w:r>
        <w:t xml:space="preserve">,</w:t>
      </w:r>
      <w:r>
        <w:t xml:space="preserve"> </w:t>
      </w:r>
      <w:r>
        <w:rPr>
          <w:rStyle w:val="VerbatimChar"/>
        </w:rPr>
        <w:t xml:space="preserve">amphibian</w:t>
      </w:r>
      <w:r>
        <w:t xml:space="preserve">. They are carried in the taxon table — the identity is real — but no metric aggregates them, so they contribute nothing to any score.</w:t>
      </w:r>
    </w:p>
    <w:p>
      <w:pPr>
        <w:pStyle w:val="BodyText"/>
      </w:pPr>
      <w:r>
        <w:t xml:space="preserve">There is</w:t>
      </w:r>
      <w:r>
        <w:t xml:space="preserve"> </w:t>
      </w:r>
      <w:r>
        <w:rPr>
          <w:b/>
          <w:bCs/>
        </w:rPr>
        <w:t xml:space="preserve">no</w:t>
      </w:r>
      <w:r>
        <w:rPr>
          <w:b/>
          <w:bCs/>
        </w:rPr>
        <w:t xml:space="preserve"> </w:t>
      </w:r>
      <w:r>
        <w:rPr>
          <w:rStyle w:val="VerbatimChar"/>
          <w:b/>
          <w:bCs/>
        </w:rPr>
        <w:t xml:space="preserve">other</w:t>
      </w:r>
      <w:r>
        <w:rPr>
          <w:b/>
          <w:bCs/>
        </w:rPr>
        <w:t xml:space="preserve"> </w:t>
      </w:r>
      <w:r>
        <w:rPr>
          <w:b/>
          <w:bCs/>
        </w:rPr>
        <w:t xml:space="preserve">bucket</w:t>
      </w:r>
      <w:r>
        <w:t xml:space="preserve"> </w:t>
      </w:r>
      <w:r>
        <w:t xml:space="preserve">in this release: every taxon lands in a named category assigned from its WoRMS class/phylum, or from BirdLife for birds.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Applications/quarto/share/formats/docx/note.png" id="18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categories are assigned</w:t>
            </w:r>
          </w:p>
        </w:tc>
      </w:tr>
      <w:tr>
        <w:trPr>
          <w:cantSplit/>
        </w:trPr>
        <w:tc>
          <w:tcPr>
            <w:tcMar>
              <w:top w:w="108" w:type="dxa"/>
              <w:bottom w:w="108" w:type="dxa"/>
            </w:tcMar>
          </w:tcPr>
          <w:p>
            <w:pPr>
              <w:pStyle w:val="BodyText"/>
            </w:pPr>
            <w:pPr>
              <w:spacing w:before="16"/>
            </w:pPr>
            <w:r>
              <w:t xml:space="preserve">The category comes from</w:t>
            </w:r>
            <w:r>
              <w:t xml:space="preserve"> </w:t>
            </w:r>
            <w:r>
              <w:rPr>
                <w:b/>
                <w:bCs/>
              </w:rPr>
              <w:t xml:space="preserve">taxonomy</w:t>
            </w:r>
            <w:r>
              <w:t xml:space="preserve">, not from the dataset a model arrived in: WoRMS class and phylum for non-birds, BirdLife membership for birds.</w:t>
            </w:r>
          </w:p>
          <w:p>
            <w:pPr>
              <w:pStyle w:val="Compact"/>
              <w:numPr>
                <w:ilvl w:val="0"/>
                <w:numId w:val="1022"/>
              </w:numPr>
            </w:pPr>
            <w:r>
              <w:rPr>
                <w:b/>
                <w:bCs/>
              </w:rPr>
              <w:t xml:space="preserve">Sea turtles are their own category (</w:t>
            </w:r>
            <w:r>
              <w:rPr>
                <w:rStyle w:val="VerbatimChar"/>
                <w:b/>
                <w:bCs/>
              </w:rPr>
              <w:t xml:space="preserve">turtle</w:t>
            </w:r>
            <w:r>
              <w:rPr>
                <w:b/>
                <w:bCs/>
              </w:rPr>
              <w:t xml:space="preserve">)</w:t>
            </w:r>
            <w:r>
              <w:t xml:space="preserve">, separated from</w:t>
            </w:r>
            <w:r>
              <w:t xml:space="preserve"> </w:t>
            </w:r>
            <w:r>
              <w:rPr>
                <w:rStyle w:val="VerbatimChar"/>
              </w:rPr>
              <w:t xml:space="preserve">reptile</w:t>
            </w:r>
            <w:r>
              <w:t xml:space="preserve"> </w:t>
            </w:r>
            <w:r>
              <w:t xml:space="preserve">so that the multiplicative turtle merge and the turtle metric have somewhere to live (see</w:t>
            </w:r>
            <w:r>
              <w:t xml:space="preserve"> </w:t>
            </w:r>
            <w:hyperlink w:anchor="sec-model-merging">
              <w:r>
                <w:rPr>
                  <w:rStyle w:val="Hyperlink"/>
                </w:rPr>
                <w:t xml:space="preserve">Chapter 9</w:t>
              </w:r>
            </w:hyperlink>
            <w:r>
              <w:t xml:space="preserve">). Non-turtle reptiles — sea snakes, marine iguanas — remain in the taxonomy but are not scored.</w:t>
            </w:r>
          </w:p>
          <w:p>
            <w:pPr>
              <w:pStyle w:val="Compact"/>
              <w:numPr>
                <w:ilvl w:val="0"/>
                <w:numId w:val="1022"/>
              </w:numPr>
            </w:pPr>
            <w:r>
              <w:rPr>
                <w:rStyle w:val="VerbatimChar"/>
                <w:b/>
                <w:bCs/>
              </w:rPr>
              <w:t xml:space="preserve">primary_producer</w:t>
            </w:r>
            <w:r>
              <w:t xml:space="preserve"> </w:t>
            </w:r>
            <w:r>
              <w:t xml:space="preserve">(macroalgae, seagrasses and other photosynthesisers) is a category in its own right. Taxa missing from the bulk WoRMS download — chiefly AlgaeBase names — are fetched individually from the WoRMS API and cached, rather than being swept into a bucket.</w:t>
            </w:r>
          </w:p>
          <w:p/>
        </w:tc>
      </w:tr>
    </w:tbl>
    <w:bookmarkEnd w:id="190"/>
    <w:bookmarkStart w:id="191" w:name="sec-is-marine"/>
    <w:p>
      <w:pPr>
        <w:pStyle w:val="Heading2"/>
      </w:pPr>
      <w:r>
        <w:t xml:space="preserve">7.4 Marine relevance</w:t>
      </w:r>
    </w:p>
    <w:p>
      <w:pPr>
        <w:pStyle w:val="FirstParagraph"/>
      </w:pPr>
      <w:r>
        <w:t xml:space="preserve">Not every taxon in the source data belongs in a</w:t>
      </w:r>
      <w:r>
        <w:t xml:space="preserve"> </w:t>
      </w:r>
      <w:r>
        <w:rPr>
          <w:i/>
          <w:iCs/>
        </w:rPr>
        <w:t xml:space="preserve">marine</w:t>
      </w:r>
      <w:r>
        <w:t xml:space="preserve"> </w:t>
      </w:r>
      <w:r>
        <w:t xml:space="preserve">sensitivity analysis, and the obvious test does not work.</w:t>
      </w:r>
    </w:p>
    <w:p>
      <w:pPr>
        <w:pStyle w:val="BodyText"/>
      </w:pPr>
      <w:r>
        <w:rPr>
          <w:b/>
          <w:bCs/>
        </w:rPr>
        <w:t xml:space="preserve">WoRMS</w:t>
      </w:r>
      <w:r>
        <w:rPr>
          <w:b/>
          <w:bCs/>
        </w:rPr>
        <w:t xml:space="preserve"> </w:t>
      </w:r>
      <w:r>
        <w:rPr>
          <w:rStyle w:val="VerbatimChar"/>
          <w:b/>
          <w:bCs/>
        </w:rPr>
        <w:t xml:space="preserve">isMarine</w:t>
      </w:r>
      <w:r>
        <w:rPr>
          <w:b/>
          <w:bCs/>
        </w:rPr>
        <w:t xml:space="preserve"> </w:t>
      </w:r>
      <w:r>
        <w:rPr>
          <w:b/>
          <w:bCs/>
        </w:rPr>
        <w:t xml:space="preserve">fails for birds.</w:t>
      </w:r>
      <w:r>
        <w:t xml:space="preserve"> </w:t>
      </w:r>
      <w:r>
        <w:t xml:space="preserve">Birds are resolved through BirdLife, so most have no WoRMS record at all, and those that do are inconsistently flagged; relying on it would drop nearly every seabird. Earlier releases sidestepped this with a purely</w:t>
      </w:r>
      <w:r>
        <w:t xml:space="preserve"> </w:t>
      </w:r>
      <w:r>
        <w:rPr>
          <w:b/>
          <w:bCs/>
        </w:rPr>
        <w:t xml:space="preserve">spatial</w:t>
      </w:r>
      <w:r>
        <w:t xml:space="preserve"> </w:t>
      </w:r>
      <w:r>
        <w:t xml:space="preserve">test — a taxon counted as marine if its distribution overlapped the study area — which admits any coastal or inland bird whose range happens to reach the coast.</w:t>
      </w:r>
    </w:p>
    <w:p>
      <w:pPr>
        <w:pStyle w:val="BodyText"/>
      </w:pPr>
      <w:r>
        <w:t xml:space="preserve">This release applies an explicit</w:t>
      </w:r>
      <w:r>
        <w:t xml:space="preserve"> </w:t>
      </w:r>
      <w:r>
        <w:rPr>
          <w:b/>
          <w:bCs/>
        </w:rPr>
        <w:t xml:space="preserve">marine-relevance cull</w:t>
      </w:r>
      <w:r>
        <w:t xml:space="preserve"> </w:t>
      </w:r>
      <w:r>
        <w:t xml:space="preserve">to birds, combining two tests</w:t>
      </w:r>
      <w:r>
        <w:t xml:space="preserve"> </w:t>
      </w:r>
      <w:r>
        <w:t xml:space="preserve">with a curation list:</w:t>
      </w:r>
    </w:p>
    <w:p>
      <w:pPr>
        <w:pStyle w:val="Compact"/>
        <w:numPr>
          <w:ilvl w:val="0"/>
          <w:numId w:val="1023"/>
        </w:numPr>
      </w:pPr>
      <w:r>
        <w:t xml:space="preserve">the species belongs to a</w:t>
      </w:r>
      <w:r>
        <w:t xml:space="preserve"> </w:t>
      </w:r>
      <w:r>
        <w:rPr>
          <w:b/>
          <w:bCs/>
        </w:rPr>
        <w:t xml:space="preserve">marine or coastal family</w:t>
      </w:r>
      <w:r>
        <w:t xml:space="preserve"> </w:t>
      </w:r>
      <w:r>
        <w:t xml:space="preserve">(an explicit allow-list of families),</w:t>
      </w:r>
      <w:r>
        <w:t xml:space="preserve"> </w:t>
      </w:r>
      <w:r>
        <w:rPr>
          <w:b/>
          <w:bCs/>
        </w:rPr>
        <w:t xml:space="preserve">and</w:t>
      </w:r>
    </w:p>
    <w:p>
      <w:pPr>
        <w:pStyle w:val="Compact"/>
        <w:numPr>
          <w:ilvl w:val="0"/>
          <w:numId w:val="1023"/>
        </w:numPr>
      </w:pPr>
      <w:r>
        <w:t xml:space="preserve">its</w:t>
      </w:r>
      <w:r>
        <w:t xml:space="preserve"> </w:t>
      </w:r>
      <w:r>
        <w:rPr>
          <w:b/>
          <w:bCs/>
        </w:rPr>
        <w:t xml:space="preserve">whole global range</w:t>
      </w:r>
      <w:r>
        <w:t xml:space="preserve"> </w:t>
      </w:r>
      <w:r>
        <w:t xml:space="preserve">is at least 5% marine, measured as the share of its range cells</w:t>
      </w:r>
      <w:r>
        <w:t xml:space="preserve"> </w:t>
      </w:r>
      <w:r>
        <w:t xml:space="preserve">that are ocean.</w:t>
      </w:r>
    </w:p>
    <w:p>
      <w:pPr>
        <w:pStyle w:val="FirstParagraph"/>
      </w:pPr>
      <w:r>
        <w:t xml:space="preserve">Curated CSVs add and remove individual species where the rule gets it wrong. The measurement is</w:t>
      </w:r>
      <w:r>
        <w:t xml:space="preserve"> </w:t>
      </w:r>
      <w:r>
        <w:t xml:space="preserve">taken over the</w:t>
      </w:r>
      <w:r>
        <w:t xml:space="preserve"> </w:t>
      </w:r>
      <w:r>
        <w:rPr>
          <w:b/>
          <w:bCs/>
        </w:rPr>
        <w:t xml:space="preserve">entire</w:t>
      </w:r>
      <w:r>
        <w:t xml:space="preserve"> </w:t>
      </w:r>
      <w:r>
        <w:t xml:space="preserve">range rather than the US portion, so a bird is judged on what it is,</w:t>
      </w:r>
      <w:r>
        <w:t xml:space="preserve"> </w:t>
      </w:r>
      <w:r>
        <w:t xml:space="preserve">not on where the study area happens to cut it. Sub-pixel islands are a known confounder — at</w:t>
      </w:r>
      <w:r>
        <w:t xml:space="preserve"> </w:t>
      </w:r>
      <w:r>
        <w:t xml:space="preserve">0.05° a small island can make a strictly terrestrial species look partly marine — which is what</w:t>
      </w:r>
      <w:r>
        <w:t xml:space="preserve"> </w:t>
      </w:r>
      <w:r>
        <w:t xml:space="preserve">the family allow-list guards against.</w:t>
      </w:r>
    </w:p>
    <w:bookmarkEnd w:id="191"/>
    <w:bookmarkStart w:id="195" w:name="from-source-taxa-to-valid-species"/>
    <w:p>
      <w:pPr>
        <w:pStyle w:val="Heading2"/>
      </w:pPr>
      <w:r>
        <w:t xml:space="preserve">7.5 From source taxa to valid species</w:t>
      </w:r>
    </w:p>
    <w:tbl>
      <w:tblPr>
        <w:tblStyle w:val="Table"/>
        <w:tblW w:type="pct" w:w="5000"/>
        <w:tblLayout w:type="fixed"/>
        <w:tblLook w:firstRow="0" w:lastRow="0" w:firstColumn="0" w:lastColumn="0" w:noHBand="0" w:noVBand="0" w:val="0000"/>
      </w:tblPr>
      <w:tblGrid>
        <w:gridCol w:w="7920"/>
      </w:tblGrid>
      <w:tr>
        <w:tc>
          <w:tcPr/>
          <w:bookmarkStart w:id="192" w:name="tbl-filter-funnel"/>
          <w:p>
            <w:pPr>
              <w:jc w:val="center"/>
            </w:pPr>
            <w:pPr>
              <w:jc w:val="left"/>
              <w:spacing w:before="200"/>
              <w:pStyle w:val="ImageCaption"/>
            </w:pPr>
            <w:r>
              <w:t xml:space="preserve">Table 7.3: Validity gates applied cumulatively to v9’s published</w:t>
            </w:r>
            <w:r>
              <w:t xml:space="preserve"> </w:t>
            </w:r>
            <w:r>
              <w:rPr>
                <w:rStyle w:val="VerbatimChar"/>
              </w:rPr>
              <w:t xml:space="preserve">taxon</w:t>
            </w:r>
            <w:r>
              <w:t xml:space="preserve"> </w:t>
            </w:r>
            <w:r>
              <w:t xml:space="preserve">table. The final row applies the release’s own validity flag to the whole table — it is the authoritative count, and not simply the conjunction of the diagnostic gates above it.</w:t>
            </w:r>
          </w:p>
          <w:tbl>
            <w:tblPr>
              <w:tblStyle w:val="Table"/>
              <w:tblW w:type="pct" w:w="5000"/>
              <w:tblLayout w:type="fixed"/>
              <w:tblLook w:firstRow="1" w:lastRow="0" w:firstColumn="0" w:lastColumn="0" w:noHBand="0" w:noVBand="0" w:val="0020"/>
            </w:tblPr>
            <w:tblGrid>
              <w:gridCol w:w="5390"/>
              <w:gridCol w:w="880"/>
              <w:gridCol w:w="1650"/>
            </w:tblGrid>
            <w:tr>
              <w:trPr>
                <w:tblHeader w:val="on"/>
              </w:trPr>
              <w:tc>
                <w:tcPr/>
                <w:p>
                  <w:pPr>
                    <w:pStyle w:val="Compact"/>
                    <w:jc w:val="left"/>
                    <w:jc w:val="center"/>
                  </w:pPr>
                  <w:r>
                    <w:t xml:space="preserve">Filter step</w:t>
                  </w:r>
                </w:p>
              </w:tc>
              <w:tc>
                <w:tcPr/>
                <w:p>
                  <w:pPr>
                    <w:pStyle w:val="Compact"/>
                    <w:jc w:val="right"/>
                    <w:jc w:val="center"/>
                  </w:pPr>
                  <w:r>
                    <w:t xml:space="preserve">Removed</w:t>
                  </w:r>
                </w:p>
              </w:tc>
              <w:tc>
                <w:tcPr/>
                <w:p>
                  <w:pPr>
                    <w:pStyle w:val="Compact"/>
                    <w:jc w:val="right"/>
                    <w:jc w:val="center"/>
                  </w:pPr>
                  <w:r>
                    <w:t xml:space="preserve">Taxa remaining</w:t>
                  </w:r>
                </w:p>
              </w:tc>
            </w:tr>
            <w:tr>
              <w:tc>
                <w:tcPr/>
                <w:p>
                  <w:pPr>
                    <w:pStyle w:val="Compact"/>
                    <w:jc w:val="left"/>
                    <w:jc w:val="center"/>
                  </w:pPr>
                  <w:r>
                    <w:t xml:space="preserve">Source taxa (all datasets)</w:t>
                  </w:r>
                </w:p>
              </w:tc>
              <w:tc>
                <w:tcPr/>
                <w:p>
                  <w:pPr>
                    <w:pStyle w:val="Compact"/>
                    <w:jc w:val="right"/>
                    <w:jc w:val="center"/>
                  </w:pPr>
                  <w:r>
                    <w:t xml:space="preserve">—</w:t>
                  </w:r>
                </w:p>
              </w:tc>
              <w:tc>
                <w:tcPr/>
                <w:p>
                  <w:pPr>
                    <w:pStyle w:val="Compact"/>
                    <w:jc w:val="right"/>
                    <w:jc w:val="center"/>
                  </w:pPr>
                  <w:r>
                    <w:t xml:space="preserve">37,067</w:t>
                  </w:r>
                </w:p>
              </w:tc>
            </w:tr>
            <w:tr>
              <w:tc>
                <w:tcPr/>
                <w:p>
                  <w:pPr>
                    <w:pStyle w:val="Compact"/>
                    <w:jc w:val="left"/>
                    <w:jc w:val="center"/>
                  </w:pPr>
                  <w:r>
                    <w:t xml:space="preserve">Resolved to a taxon id</w:t>
                  </w:r>
                </w:p>
              </w:tc>
              <w:tc>
                <w:tcPr/>
                <w:p>
                  <w:pPr>
                    <w:pStyle w:val="Compact"/>
                    <w:jc w:val="right"/>
                    <w:jc w:val="center"/>
                  </w:pPr>
                  <w:r>
                    <w:t xml:space="preserve">—</w:t>
                  </w:r>
                </w:p>
              </w:tc>
              <w:tc>
                <w:tcPr/>
                <w:p>
                  <w:pPr>
                    <w:pStyle w:val="Compact"/>
                    <w:jc w:val="right"/>
                    <w:jc w:val="center"/>
                  </w:pPr>
                  <w:r>
                    <w:t xml:space="preserve">37,067</w:t>
                  </w:r>
                </w:p>
              </w:tc>
            </w:tr>
            <w:tr>
              <w:tc>
                <w:tcPr/>
                <w:p>
                  <w:pPr>
                    <w:pStyle w:val="Compact"/>
                    <w:jc w:val="left"/>
                    <w:jc w:val="center"/>
                  </w:pPr>
                  <w:r>
                    <w:t xml:space="preserve">Has a merged distribution</w:t>
                  </w:r>
                </w:p>
              </w:tc>
              <w:tc>
                <w:tcPr/>
                <w:p>
                  <w:pPr>
                    <w:pStyle w:val="Compact"/>
                    <w:jc w:val="right"/>
                    <w:jc w:val="center"/>
                  </w:pPr>
                  <w:r>
                    <w:t xml:space="preserve">—</w:t>
                  </w:r>
                </w:p>
              </w:tc>
              <w:tc>
                <w:tcPr/>
                <w:p>
                  <w:pPr>
                    <w:pStyle w:val="Compact"/>
                    <w:jc w:val="right"/>
                    <w:jc w:val="center"/>
                  </w:pPr>
                  <w:r>
                    <w:t xml:space="preserve">37,067</w:t>
                  </w:r>
                </w:p>
              </w:tc>
            </w:tr>
            <w:tr>
              <w:tc>
                <w:tcPr/>
                <w:p>
                  <w:pPr>
                    <w:pStyle w:val="Compact"/>
                    <w:jc w:val="left"/>
                    <w:jc w:val="center"/>
                  </w:pPr>
                  <w:r>
                    <w:t xml:space="preserve">Not extinct</w:t>
                  </w:r>
                </w:p>
              </w:tc>
              <w:tc>
                <w:tcPr/>
                <w:p>
                  <w:pPr>
                    <w:pStyle w:val="Compact"/>
                    <w:jc w:val="right"/>
                    <w:jc w:val="center"/>
                  </w:pPr>
                  <w:r>
                    <w:t xml:space="preserve">—</w:t>
                  </w:r>
                </w:p>
              </w:tc>
              <w:tc>
                <w:tcPr/>
                <w:p>
                  <w:pPr>
                    <w:pStyle w:val="Compact"/>
                    <w:jc w:val="right"/>
                    <w:jc w:val="center"/>
                  </w:pPr>
                  <w:r>
                    <w:t xml:space="preserve">37,067</w:t>
                  </w:r>
                </w:p>
              </w:tc>
            </w:tr>
            <w:tr>
              <w:tc>
                <w:tcPr/>
                <w:p>
                  <w:pPr>
                    <w:pStyle w:val="Compact"/>
                    <w:jc w:val="left"/>
                    <w:jc w:val="center"/>
                  </w:pPr>
                  <w:r>
                    <w:t xml:space="preserve">Marine (family + percent-marine cull)</w:t>
                  </w:r>
                </w:p>
              </w:tc>
              <w:tc>
                <w:tcPr/>
                <w:p>
                  <w:pPr>
                    <w:pStyle w:val="Compact"/>
                    <w:jc w:val="right"/>
                    <w:jc w:val="center"/>
                  </w:pPr>
                  <w:r>
                    <w:t xml:space="preserve">−10,535</w:t>
                  </w:r>
                </w:p>
              </w:tc>
              <w:tc>
                <w:tcPr/>
                <w:p>
                  <w:pPr>
                    <w:pStyle w:val="Compact"/>
                    <w:jc w:val="right"/>
                    <w:jc w:val="center"/>
                  </w:pPr>
                  <w:r>
                    <w:t xml:space="preserve">26,532</w:t>
                  </w:r>
                </w:p>
              </w:tc>
            </w:tr>
            <w:tr>
              <w:tc>
                <w:tcPr/>
                <w:p>
                  <w:pPr>
                    <w:pStyle w:val="Compact"/>
                    <w:jc w:val="left"/>
                    <w:jc w:val="center"/>
                  </w:pPr>
                  <w:r>
                    <w:t xml:space="preserve">Valid for scoring (the release’s</w:t>
                  </w:r>
                  <w:r>
                    <w:t xml:space="preserve"> </w:t>
                  </w:r>
                  <w:r>
                    <w:rPr>
                      <w:rStyle w:val="VerbatimChar"/>
                    </w:rPr>
                    <w:t xml:space="preserve">is_valid_usa</w:t>
                  </w:r>
                  <w:r>
                    <w:t xml:space="preserve">)</w:t>
                  </w:r>
                </w:p>
              </w:tc>
              <w:tc>
                <w:tcPr/>
                <w:p>
                  <w:pPr>
                    <w:pStyle w:val="Compact"/>
                    <w:jc w:val="right"/>
                    <w:jc w:val="center"/>
                  </w:pPr>
                  <w:r>
                    <w:t xml:space="preserve">−9,402</w:t>
                  </w:r>
                </w:p>
              </w:tc>
              <w:tc>
                <w:tcPr/>
                <w:p>
                  <w:pPr>
                    <w:pStyle w:val="Compact"/>
                    <w:jc w:val="right"/>
                    <w:jc w:val="center"/>
                  </w:pPr>
                  <w:r>
                    <w:t xml:space="preserve">17,130</w:t>
                  </w:r>
                </w:p>
              </w:tc>
            </w:tr>
          </w:tbl>
          <w:bookmarkEnd w:id="192"/>
          <w:p/>
        </w:tc>
      </w:tr>
    </w:tbl>
    <w:p>
      <w:pPr>
        <w:pStyle w:val="BodyText"/>
      </w:pPr>
      <w:r>
        <w:t xml:space="preserve">This yields</w:t>
      </w:r>
      <w:r>
        <w:t xml:space="preserve"> </w:t>
      </w:r>
      <w:r>
        <w:rPr>
          <w:b/>
          <w:bCs/>
        </w:rPr>
        <w:t xml:space="preserve">17,130 valid species</w:t>
      </w:r>
      <w:r>
        <w:t xml:space="preserve"> </w:t>
      </w:r>
      <w:r>
        <w:t xml:space="preserve">across the study area.</w:t>
      </w:r>
    </w:p>
    <w:p>
      <w:pPr>
        <w:pStyle w:val="BodyText"/>
      </w:pPr>
      <w:r>
        <w:t xml:space="preserve">Of those,</w:t>
      </w:r>
      <w:r>
        <w:t xml:space="preserve"> </w:t>
      </w:r>
      <w:r>
        <w:rPr>
          <w:b/>
          <w:bCs/>
        </w:rPr>
        <w:t xml:space="preserve">9,576</w:t>
      </w:r>
      <w:r>
        <w:t xml:space="preserve"> </w:t>
      </w:r>
      <w:r>
        <w:t xml:space="preserve">have modeled distributions inside the</w:t>
      </w:r>
      <w:r>
        <w:t xml:space="preserve"> </w:t>
      </w:r>
      <w:r>
        <w:rPr>
          <w:b/>
          <w:bCs/>
        </w:rPr>
        <w:t xml:space="preserve">20 BOEM Program Areas</w:t>
      </w:r>
      <w:r>
        <w:t xml:space="preserve"> </w:t>
      </w:r>
      <w:r>
        <w:t xml:space="preserve">of the current program cycle. That is a</w:t>
      </w:r>
      <w:r>
        <w:t xml:space="preserve"> </w:t>
      </w:r>
      <w:r>
        <w:rPr>
          <w:b/>
          <w:bCs/>
        </w:rPr>
        <w:t xml:space="preserve">spatial</w:t>
      </w:r>
      <w:r>
        <w:t xml:space="preserve"> </w:t>
      </w:r>
      <w:r>
        <w:t xml:space="preserve">result, obtained by asking the zone tables which species occur there — not a property of the validity flag.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Applications/quarto/share/formats/docx/important.png" id="19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Validity is not the same question as</w:t>
            </w:r>
            <w:r>
              <w:t xml:space="preserve"> </w:t>
            </w:r>
            <w:r>
              <w:t xml:space="preserve">“occurs in a Program Area”</w:t>
            </w:r>
          </w:p>
        </w:tc>
      </w:tr>
      <w:tr>
        <w:trPr>
          <w:cantSplit/>
        </w:trPr>
        <w:tc>
          <w:tcPr>
            <w:tcMar>
              <w:top w:w="108" w:type="dxa"/>
              <w:bottom w:w="108" w:type="dxa"/>
            </w:tcMar>
          </w:tcPr>
          <w:p>
            <w:pPr>
              <w:pStyle w:val="BodyText"/>
            </w:pPr>
            <w:pPr>
              <w:spacing w:before="16"/>
            </w:pPr>
            <w:r>
              <w:t xml:space="preserve">Through v6 the validity flag silently</w:t>
            </w:r>
            <w:r>
              <w:t xml:space="preserve"> </w:t>
            </w:r>
            <w:r>
              <w:rPr>
                <w:i/>
                <w:iCs/>
              </w:rPr>
              <w:t xml:space="preserve">required</w:t>
            </w:r>
            <w:r>
              <w:t xml:space="preserve"> </w:t>
            </w:r>
            <w:r>
              <w:t xml:space="preserve">overlap with a BOEM Program Area, conflating</w:t>
            </w:r>
            <w:r>
              <w:t xml:space="preserve"> </w:t>
            </w:r>
            <w:r>
              <w:t xml:space="preserve">“this is a real, mapped marine species”</w:t>
            </w:r>
            <w:r>
              <w:t xml:space="preserve"> </w:t>
            </w:r>
            <w:r>
              <w:t xml:space="preserve">with</w:t>
            </w:r>
            <w:r>
              <w:t xml:space="preserve"> </w:t>
            </w:r>
            <w:r>
              <w:t xml:space="preserve">“this species happens to fall inside the areas of the current program cycle”</w:t>
            </w:r>
            <w:r>
              <w:t xml:space="preserve"> </w:t>
            </w:r>
            <w:r>
              <w:t xml:space="preserve">— and so hiding biodiversity outside that cycle. From</w:t>
            </w:r>
            <w:r>
              <w:t xml:space="preserve"> </w:t>
            </w:r>
            <w:r>
              <w:rPr>
                <w:b/>
                <w:bCs/>
              </w:rPr>
              <w:t xml:space="preserve">v7</w:t>
            </w:r>
            <w:r>
              <w:t xml:space="preserve"> </w:t>
            </w:r>
            <w:r>
              <w:t xml:space="preserve">the two are separate: validity means the taxon has a modeled distribution in the study area, and Program-Area membership is a zone query answered afterwards.</w:t>
            </w:r>
          </w:p>
          <w:p>
            <w:pPr>
              <w:pStyle w:val="BodyText"/>
            </w:pPr>
            <w:pPr>
              <w:spacing w:after="16"/>
            </w:pPr>
            <w:r>
              <w:t xml:space="preserve">This is why the headline count is</w:t>
            </w:r>
            <w:r>
              <w:t xml:space="preserve"> </w:t>
            </w:r>
            <w:r>
              <w:rPr>
                <w:b/>
                <w:bCs/>
              </w:rPr>
              <w:t xml:space="preserve">not comparable across releases</w:t>
            </w:r>
            <w:r>
              <w:t xml:space="preserve">: it rose sharply at v7 without a single species being added, because the definition changed. Per-release counts are on the</w:t>
            </w:r>
            <w:r>
              <w:t xml:space="preserve"> </w:t>
            </w:r>
            <w:hyperlink w:anchor="sec-releases">
              <w:r>
                <w:rPr>
                  <w:rStyle w:val="Hyperlink"/>
                </w:rPr>
                <w:t xml:space="preserve">Releases</w:t>
              </w:r>
            </w:hyperlink>
            <w:r>
              <w:t xml:space="preserve"> </w:t>
            </w:r>
            <w:r>
              <w:t xml:space="preserve">page.</w:t>
            </w:r>
          </w:p>
          <w:p/>
        </w:tc>
      </w:tr>
    </w:tbl>
    <w:bookmarkEnd w:id="195"/>
    <w:bookmarkStart w:id="198" w:name="data-quality"/>
    <w:p>
      <w:pPr>
        <w:pStyle w:val="Heading2"/>
      </w:pPr>
      <w:r>
        <w:t xml:space="preserve">7.6 Data quality</w:t>
      </w:r>
    </w:p>
    <w:bookmarkStart w:id="196" w:name="duplicate-resolution"/>
    <w:p>
      <w:pPr>
        <w:pStyle w:val="Heading3"/>
      </w:pPr>
      <w:r>
        <w:t xml:space="preserve">7.6.1 Duplicate resolution</w:t>
      </w:r>
    </w:p>
    <w:p>
      <w:pPr>
        <w:pStyle w:val="FirstParagraph"/>
      </w:pPr>
      <w:r>
        <w:t xml:space="preserve">Several datasets may supply a model for the same species. Resolving every source name to one canonical identifier is what makes those models merge — taking the maximum per cell — instead of appearing as separate species and counting the taxon more than once in every score.</w:t>
      </w:r>
    </w:p>
    <w:bookmarkEnd w:id="196"/>
    <w:bookmarkStart w:id="197" w:name="synonym-handling"/>
    <w:p>
      <w:pPr>
        <w:pStyle w:val="Heading3"/>
      </w:pPr>
      <w:r>
        <w:t xml:space="preserve">7.6.2 Synonym handling</w:t>
      </w:r>
    </w:p>
    <w:p>
      <w:pPr>
        <w:pStyle w:val="FirstParagraph"/>
      </w:pPr>
      <w:r>
        <w:t xml:space="preserve">Names change as taxa are reclassified. The pipeline resolves through</w:t>
      </w:r>
      <w:r>
        <w:t xml:space="preserve"> </w:t>
      </w:r>
      <w:r>
        <w:rPr>
          <w:rStyle w:val="VerbatimChar"/>
        </w:rPr>
        <w:t xml:space="preserve">acceptedNameUsageID</w:t>
      </w:r>
      <w:r>
        <w:t xml:space="preserve"> </w:t>
      </w:r>
      <w:r>
        <w:t xml:space="preserve">in each authority, keeps the original source name alongside the accepted one, and updates deprecated identifiers to their current accepted form.</w:t>
      </w:r>
    </w:p>
    <w:bookmarkEnd w:id="197"/>
    <w:bookmarkEnd w:id="198"/>
    <w:bookmarkStart w:id="199" w:name="implementation"/>
    <w:p>
      <w:pPr>
        <w:pStyle w:val="Heading2"/>
      </w:pPr>
      <w:r>
        <w:t xml:space="preserve">7.7 Implementation</w:t>
      </w:r>
    </w:p>
    <w:p>
      <w:pPr>
        <w:pStyle w:val="FirstParagraph"/>
      </w:pPr>
      <w:r>
        <w:t xml:space="preserve">Name resolution is</w:t>
      </w:r>
      <w:r>
        <w:t xml:space="preserve"> </w:t>
      </w:r>
      <w:r>
        <w:rPr>
          <w:rStyle w:val="VerbatimChar"/>
        </w:rPr>
        <w:t xml:space="preserve">msens::match_taxa()</w:t>
      </w:r>
      <w:r>
        <w:t xml:space="preserve">, which runs the identifier cascade and returns the unified taxon table. Category assignment, the marine cull and the validity flags are applied in the</w:t>
      </w:r>
      <w:r>
        <w:t xml:space="preserve"> </w:t>
      </w:r>
      <w:r>
        <w:rPr>
          <w:rStyle w:val="VerbatimChar"/>
        </w:rPr>
        <w:t xml:space="preserve">merge_taxon</w:t>
      </w:r>
      <w:r>
        <w:t xml:space="preserve"> </w:t>
      </w:r>
      <w:r>
        <w:t xml:space="preserve">workflow (see</w:t>
      </w:r>
      <w:r>
        <w:t xml:space="preserve"> </w:t>
      </w:r>
      <w:hyperlink w:anchor="sec-workflows">
        <w:r>
          <w:rPr>
            <w:rStyle w:val="Hyperlink"/>
          </w:rPr>
          <w:t xml:space="preserve">Chapter 16</w:t>
        </w:r>
      </w:hyperlink>
      <w:r>
        <w:t xml:space="preserve">).</w:t>
      </w:r>
    </w:p>
    <w:bookmarkEnd w:id="199"/>
    <w:bookmarkEnd w:id="200"/>
    <w:bookmarkStart w:id="224" w:name="sec-extinction-risk"/>
    <w:p>
      <w:pPr>
        <w:pStyle w:val="Heading1"/>
      </w:pPr>
      <w:r>
        <w:t xml:space="preserve">8. Extinction Risk</w:t>
      </w:r>
    </w:p>
    <w:p>
      <w:pPr>
        <w:pStyle w:val="FirstParagraph"/>
      </w:pPr>
      <w:r>
        <w:t xml:space="preserve">Extinction-risk scoring turns a species’ conservation status into a numeric weight, so that a cell holding rare or threatened species scores higher than one holding common ones. The MST combines three US federal frameworks with the international IUCN Red List into a single score from 1 to 100.</w:t>
      </w:r>
    </w:p>
    <w:bookmarkStart w:id="212" w:name="regulatory-framework"/>
    <w:p>
      <w:pPr>
        <w:pStyle w:val="Heading2"/>
      </w:pPr>
      <w:r>
        <w:t xml:space="preserve">8.1 Regulatory framework</w:t>
      </w:r>
    </w:p>
    <w:bookmarkStart w:id="202" w:name="endangered-species-act-esa"/>
    <w:p>
      <w:pPr>
        <w:pStyle w:val="Heading3"/>
      </w:pPr>
      <w:r>
        <w:t xml:space="preserve">8.1.1 Endangered Species Act (ESA)</w:t>
      </w:r>
    </w:p>
    <w:p>
      <w:pPr>
        <w:pStyle w:val="FirstParagraph"/>
      </w:pPr>
      <w:r>
        <w:t xml:space="preserve">The</w:t>
      </w:r>
      <w:r>
        <w:t xml:space="preserve"> </w:t>
      </w:r>
      <w:hyperlink r:id="rId201">
        <w:r>
          <w:rPr>
            <w:rStyle w:val="Hyperlink"/>
          </w:rPr>
          <w:t xml:space="preserve">Endangered Species Act</w:t>
        </w:r>
      </w:hyperlink>
      <w:r>
        <w:t xml:space="preserve"> </w:t>
      </w:r>
      <w:r>
        <w:t xml:space="preserve">(1973) protects species listed as</w:t>
      </w:r>
      <w:r>
        <w:t xml:space="preserve"> </w:t>
      </w:r>
      <w:r>
        <w:rPr>
          <w:b/>
          <w:bCs/>
        </w:rPr>
        <w:t xml:space="preserve">Endangered (EN)</w:t>
      </w:r>
      <w:r>
        <w:t xml:space="preserve"> </w:t>
      </w:r>
      <w:r>
        <w:t xml:space="preserve">or</w:t>
      </w:r>
      <w:r>
        <w:t xml:space="preserve"> </w:t>
      </w:r>
      <w:r>
        <w:rPr>
          <w:b/>
          <w:bCs/>
        </w:rPr>
        <w:t xml:space="preserve">Threatened (TN)</w:t>
      </w:r>
      <w:r>
        <w:t xml:space="preserve"> </w:t>
      </w:r>
      <w:r>
        <w:t xml:space="preserve">by NMFS (marine species) or FWS (terrestrial and coastal species). ESA listing is the strongest signal available and drives the score for US-listed species.</w:t>
      </w:r>
    </w:p>
    <w:bookmarkEnd w:id="202"/>
    <w:bookmarkStart w:id="204" w:name="Xba7eb56dbf3fdc9883f01d58fc9532955bc34bc"/>
    <w:p>
      <w:pPr>
        <w:pStyle w:val="Heading3"/>
      </w:pPr>
      <w:r>
        <w:t xml:space="preserve">8.1.2 Marine Mammal Protection Act (MMPA) — assigned by taxonomy</w:t>
      </w:r>
    </w:p>
    <w:p>
      <w:pPr>
        <w:pStyle w:val="FirstParagraph"/>
      </w:pPr>
      <w:r>
        <w:t xml:space="preserve">The</w:t>
      </w:r>
      <w:r>
        <w:t xml:space="preserve"> </w:t>
      </w:r>
      <w:hyperlink r:id="rId203">
        <w:r>
          <w:rPr>
            <w:rStyle w:val="Hyperlink"/>
          </w:rPr>
          <w:t xml:space="preserve">Marine Mammal Protection Act</w:t>
        </w:r>
      </w:hyperlink>
      <w:r>
        <w:t xml:space="preserve"> </w:t>
      </w:r>
      <w:r>
        <w:t xml:space="preserve">(1972) protects</w:t>
      </w:r>
      <w:r>
        <w:t xml:space="preserve"> </w:t>
      </w:r>
      <w:r>
        <w:rPr>
          <w:b/>
          <w:bCs/>
        </w:rPr>
        <w:t xml:space="preserve">all</w:t>
      </w:r>
      <w:r>
        <w:t xml:space="preserve"> </w:t>
      </w:r>
      <w:r>
        <w:t xml:space="preserve">marine mammals in US waters regardless of ESA status, so the MST assigns it</w:t>
      </w:r>
      <w:r>
        <w:t xml:space="preserve"> </w:t>
      </w:r>
      <w:r>
        <w:rPr>
          <w:b/>
          <w:bCs/>
        </w:rPr>
        <w:t xml:space="preserve">by taxonomy</w:t>
      </w:r>
      <w:r>
        <w:t xml:space="preserve">: every taxon in WoRMS class</w:t>
      </w:r>
      <w:r>
        <w:t xml:space="preserve"> </w:t>
      </w:r>
      <w:r>
        <w:rPr>
          <w:b/>
          <w:bCs/>
        </w:rPr>
        <w:t xml:space="preserve">Mammalia</w:t>
      </w:r>
      <w:r>
        <w:t xml:space="preserve">, matched on AphiaID.</w:t>
      </w:r>
    </w:p>
    <w:p>
      <w:pPr>
        <w:pStyle w:val="BodyText"/>
      </w:pPr>
      <w:r>
        <w:t xml:space="preserve">This is deliberate. Deriving the flag from the NMFS Species Directory instead — as earlier releases did — captures only the managed stocks listed there, roughly 70 against the ~137 marine-mammal taxa the analysis actually carries, and it silently omitted the FWS-managed species entirely (walrus, polar bear, sea otter, manatee, dugong). Taxonomy is the complete test because the statute is written in taxonomic terms.</w:t>
      </w:r>
    </w:p>
    <w:p>
      <w:pPr>
        <w:pStyle w:val="BodyText"/>
      </w:pPr>
      <w:r>
        <w:t xml:space="preserve">The floor is</w:t>
      </w:r>
      <w:r>
        <w:t xml:space="preserve"> </w:t>
      </w:r>
      <w:r>
        <w:rPr>
          <w:b/>
          <w:bCs/>
        </w:rPr>
        <w:t xml:space="preserve">20</w:t>
      </w:r>
      <w:r>
        <w:t xml:space="preserve">, higher than the MBTA’s, because the MMPA imposes a stronger statutory standard: it affirmatively requires marine mammal populations to be maintained at Optimum Sustainable Population levels and mandates recovery, whereas the MBTA is primarily a prohibitive take statute. Marine mammals also tend to have lower reproductive rates and longer recovery times than most seabirds.</w:t>
      </w:r>
    </w:p>
    <w:bookmarkEnd w:id="204"/>
    <w:bookmarkStart w:id="208" w:name="X1d1fd31d12c867029872b2357e4728a1bd71b29"/>
    <w:p>
      <w:pPr>
        <w:pStyle w:val="Heading3"/>
      </w:pPr>
      <w:r>
        <w:t xml:space="preserve">8.1.3 Migratory Bird Treaty Act (MBTA) — an explicit species list, not all birds</w:t>
      </w:r>
    </w:p>
    <w:p>
      <w:pPr>
        <w:pStyle w:val="FirstParagraph"/>
      </w:pPr>
      <w:r>
        <w:t xml:space="preserve">The</w:t>
      </w:r>
      <w:r>
        <w:t xml:space="preserve"> </w:t>
      </w:r>
      <w:hyperlink r:id="rId205">
        <w:r>
          <w:rPr>
            <w:rStyle w:val="Hyperlink"/>
          </w:rPr>
          <w:t xml:space="preserve">Migratory Bird Treaty Act</w:t>
        </w:r>
      </w:hyperlink>
      <w:r>
        <w:t xml:space="preserve"> </w:t>
      </w:r>
      <w:r>
        <w:t xml:space="preserve">(1918) protects</w:t>
      </w:r>
      <w:r>
        <w:t xml:space="preserve"> </w:t>
      </w:r>
      <w:r>
        <w:rPr>
          <w:b/>
          <w:bCs/>
        </w:rPr>
        <w:t xml:space="preserve">migratory birds native to the United States and its territories</w:t>
      </w:r>
      <w:r>
        <w:t xml:space="preserve"> </w:t>
      </w:r>
      <w:r>
        <w:t xml:space="preserve">— which is an explicit list, not a taxonomic class.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Applications/quarto/share/formats/docx/important.png" id="207"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MBTA floor is the FWS</w:t>
            </w:r>
            <w:r>
              <w:t xml:space="preserve"> </w:t>
            </w:r>
            <w:r>
              <w:rPr>
                <w:b/>
                <w:bCs/>
              </w:rPr>
              <w:t xml:space="preserve">CFR 50 §10.13</w:t>
            </w:r>
            <w:r>
              <w:t xml:space="preserve"> </w:t>
            </w:r>
            <w:r>
              <w:t xml:space="preserve">list, not all Aves</w:t>
            </w:r>
          </w:p>
        </w:tc>
      </w:tr>
      <w:tr>
        <w:trPr>
          <w:cantSplit/>
        </w:trPr>
        <w:tc>
          <w:tcPr>
            <w:tcMar>
              <w:top w:w="108" w:type="dxa"/>
              <w:bottom w:w="108" w:type="dxa"/>
            </w:tcMar>
          </w:tcPr>
          <w:p>
            <w:pPr>
              <w:pStyle w:val="BodyText"/>
            </w:pPr>
            <w:pPr>
              <w:spacing w:before="16"/>
            </w:pPr>
            <w:r>
              <w:t xml:space="preserve">A bird absent from 10.13 — a non-US or non-migratory species — receives</w:t>
            </w:r>
            <w:r>
              <w:t xml:space="preserve"> </w:t>
            </w:r>
            <w:r>
              <w:rPr>
                <w:b/>
                <w:bCs/>
              </w:rPr>
              <w:t xml:space="preserve">no</w:t>
            </w:r>
            <w:r>
              <w:t xml:space="preserve"> </w:t>
            </w:r>
            <w:r>
              <w:t xml:space="preserve">MBTA floor. Treating</w:t>
            </w:r>
            <w:r>
              <w:t xml:space="preserve"> </w:t>
            </w:r>
            <w:r>
              <w:t xml:space="preserve">“bird”</w:t>
            </w:r>
            <w:r>
              <w:t xml:space="preserve"> </w:t>
            </w:r>
            <w:r>
              <w:t xml:space="preserve">as equivalent to</w:t>
            </w:r>
            <w:r>
              <w:t xml:space="preserve"> </w:t>
            </w:r>
            <w:r>
              <w:t xml:space="preserve">“MBTA-protected”</w:t>
            </w:r>
            <w:r>
              <w:t xml:space="preserve"> </w:t>
            </w:r>
            <w:r>
              <w:t xml:space="preserve">would apply a US statutory floor to species the statute does not cover, inflating their weight in US waters.</w:t>
            </w:r>
          </w:p>
          <w:p>
            <w:pPr>
              <w:pStyle w:val="BodyText"/>
            </w:pPr>
            <w:pPr>
              <w:spacing w:after="16"/>
            </w:pPr>
            <w:r>
              <w:t xml:space="preserve">Note also that most 10.13 birds are terrestrial. The list sets the</w:t>
            </w:r>
            <w:r>
              <w:t xml:space="preserve"> </w:t>
            </w:r>
            <w:r>
              <w:rPr>
                <w:i/>
                <w:iCs/>
              </w:rPr>
              <w:t xml:space="preserve">value</w:t>
            </w:r>
            <w:r>
              <w:t xml:space="preserve"> </w:t>
            </w:r>
            <w:r>
              <w:t xml:space="preserve">of the birds that reach scoring; what keeps terrestrial birds out of the score in the first place is the marine-relevance cull (see</w:t>
            </w:r>
            <w:r>
              <w:t xml:space="preserve"> </w:t>
            </w:r>
            <w:hyperlink w:anchor="sec-is-marine">
              <w:r>
                <w:rPr>
                  <w:rStyle w:val="Hyperlink"/>
                </w:rPr>
                <w:t xml:space="preserve">Section 7.4</w:t>
              </w:r>
            </w:hyperlink>
            <w:r>
              <w:t xml:space="preserve">).</w:t>
            </w:r>
          </w:p>
          <w:p/>
        </w:tc>
      </w:tr>
    </w:tbl>
    <w:bookmarkEnd w:id="208"/>
    <w:bookmarkStart w:id="211" w:name="iucn-red-list"/>
    <w:p>
      <w:pPr>
        <w:pStyle w:val="Heading3"/>
      </w:pPr>
      <w:r>
        <w:t xml:space="preserve">8.1.4 IUCN Red List</w:t>
      </w:r>
    </w:p>
    <w:p>
      <w:pPr>
        <w:pStyle w:val="FirstParagraph"/>
      </w:pPr>
      <w:r>
        <w:t xml:space="preserve">For species with no US federal listing, the score falls back to the</w:t>
      </w:r>
      <w:r>
        <w:t xml:space="preserve"> </w:t>
      </w:r>
      <w:hyperlink r:id="rId33">
        <w:r>
          <w:rPr>
            <w:rStyle w:val="Hyperlink"/>
          </w:rPr>
          <w:t xml:space="preserve">IUCN Red List</w:t>
        </w:r>
      </w:hyperlink>
      <w:r>
        <w:t xml:space="preserve"> </w:t>
      </w:r>
      <w:r>
        <w:t xml:space="preserve">category: Critically Endangered (CR), Endangered (EN), Vulnerable (VU), Near Threatened (NT), Least Concern (LC) and Data Deficient (DD).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Applications/quarto/share/formats/docx/note.png" id="21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rStyle w:val="VerbatimChar"/>
              </w:rPr>
              <w:t xml:space="preserve">TN</w:t>
            </w:r>
            <w:r>
              <w:t xml:space="preserve"> </w:t>
            </w:r>
            <w:r>
              <w:t xml:space="preserve">is an</w:t>
            </w:r>
            <w:r>
              <w:t xml:space="preserve"> </w:t>
            </w:r>
            <w:r>
              <w:rPr>
                <w:b/>
                <w:bCs/>
              </w:rPr>
              <w:t xml:space="preserve">ESA</w:t>
            </w:r>
            <w:r>
              <w:t xml:space="preserve"> </w:t>
            </w:r>
            <w:r>
              <w:t xml:space="preserve">status (Threatened), not an IUCN one — IUCN uses</w:t>
            </w:r>
            <w:r>
              <w:t xml:space="preserve"> </w:t>
            </w:r>
            <w:r>
              <w:rPr>
                <w:rStyle w:val="VerbatimChar"/>
              </w:rPr>
              <w:t xml:space="preserve">NT</w:t>
            </w:r>
            <w:r>
              <w:t xml:space="preserve"> </w:t>
            </w:r>
            <w:r>
              <w:t xml:space="preserve">for Near Threatened.</w:t>
            </w:r>
            <w:r>
              <w:t xml:space="preserve"> </w:t>
            </w:r>
            <w:r>
              <w:rPr>
                <w:rStyle w:val="VerbatimChar"/>
              </w:rPr>
              <w:t xml:space="preserve">msens::compute_er_score()</w:t>
            </w:r>
            <w:r>
              <w:t xml:space="preserve"> </w:t>
            </w:r>
            <w:r>
              <w:rPr>
                <w:b/>
                <w:bCs/>
              </w:rPr>
              <w:t xml:space="preserve">errors</w:t>
            </w:r>
            <w:r>
              <w:t xml:space="preserve"> </w:t>
            </w:r>
            <w:r>
              <w:t xml:space="preserve">on a code such as</w:t>
            </w:r>
            <w:r>
              <w:t xml:space="preserve"> </w:t>
            </w:r>
            <w:r>
              <w:rPr>
                <w:rStyle w:val="VerbatimChar"/>
              </w:rPr>
              <w:t xml:space="preserve">IUCN:TN</w:t>
            </w:r>
            <w:r>
              <w:t xml:space="preserve"> </w:t>
            </w:r>
            <w:r>
              <w:t xml:space="preserve">rather than scoring it through a default, because a silently-defaulted code is a wrong weight that nothing surfaces.</w:t>
            </w:r>
          </w:p>
          <w:p/>
        </w:tc>
      </w:tr>
    </w:tbl>
    <w:bookmarkEnd w:id="211"/>
    <w:bookmarkEnd w:id="212"/>
    <w:bookmarkStart w:id="221" w:name="scoring-1"/>
    <w:p>
      <w:pPr>
        <w:pStyle w:val="Heading2"/>
      </w:pPr>
      <w:r>
        <w:t xml:space="preserve">8.2 Scoring</w:t>
      </w:r>
    </w:p>
    <w:p>
      <w:pPr>
        <w:pStyle w:val="FirstParagraph"/>
      </w:pPr>
      <w:r>
        <w:t xml:space="preserve">Scores are computed by</w:t>
      </w:r>
      <w:r>
        <w:t xml:space="preserve"> </w:t>
      </w:r>
      <w:r>
        <w:rPr>
          <w:rStyle w:val="VerbatimChar"/>
        </w:rPr>
        <w:t xml:space="preserve">msens::compute_er_score()</w:t>
      </w:r>
      <w:r>
        <w:t xml:space="preserve">, on two tracks.</w:t>
      </w:r>
    </w:p>
    <w:bookmarkStart w:id="215" w:name="us-listed-species"/>
    <w:p>
      <w:pPr>
        <w:pStyle w:val="Heading3"/>
      </w:pPr>
      <w:r>
        <w:t xml:space="preserve">8.2.1 US-listed species</w:t>
      </w:r>
    </w:p>
    <w:p>
      <w:pPr>
        <w:pStyle w:val="FirstParagraph"/>
      </w:pPr>
      <w:r>
        <w:t xml:space="preserve">For a species with an ESA listing, or MMPA or MBTA protection, the score is the</w:t>
      </w:r>
      <w:r>
        <w:t xml:space="preserve"> </w:t>
      </w:r>
      <w:r>
        <w:rPr>
          <w:b/>
          <w:bCs/>
        </w:rPr>
        <w:t xml:space="preserve">maximum</w:t>
      </w:r>
      <w:r>
        <w:t xml:space="preserve"> </w:t>
      </w:r>
      <w:r>
        <w:t xml:space="preserve">of the applicable components:</w:t>
      </w:r>
    </w:p>
    <w:p>
      <w:pPr>
        <w:pStyle w:val="BodyText"/>
      </w:pPr>
      <w:bookmarkStart w:id="213" w:name="eq-er-us"/>
      <m:oMathPara>
        <m:oMathParaPr>
          <m:jc m:val="center"/>
        </m:oMathParaPr>
        <m:oMath>
          <m:r>
            <m:rPr>
              <m:nor/>
              <m:sty m:val="p"/>
            </m:rPr>
            <m:t>er_score</m:t>
          </m:r>
          <m:r>
            <m:rPr>
              <m:sty m:val="p"/>
            </m:rPr>
            <m:t>=</m:t>
          </m:r>
          <m:r>
            <m:rPr>
              <m:sty m:val="p"/>
            </m:rPr>
            <m:t>max</m:t>
          </m:r>
          <m:r>
            <m:rPr>
              <m:sty m:val="p"/>
            </m:rPr>
            <m:t>(</m:t>
          </m:r>
          <m:r>
            <m:rPr>
              <m:nor/>
              <m:sty m:val="p"/>
            </m:rPr>
            <m:t>ESA base</m:t>
          </m:r>
          <m:r>
            <m:rPr>
              <m:sty m:val="p"/>
            </m:rPr>
            <m:t>,</m:t>
          </m:r>
          <m:r>
            <m:t> </m:t>
          </m:r>
          <m:r>
            <m:rPr>
              <m:nor/>
              <m:sty m:val="p"/>
            </m:rPr>
            <m:t>MMPA floor</m:t>
          </m:r>
          <m:r>
            <m:rPr>
              <m:sty m:val="p"/>
            </m:rPr>
            <m:t>,</m:t>
          </m:r>
          <m:r>
            <m:t> </m:t>
          </m:r>
          <m:r>
            <m:rPr>
              <m:nor/>
              <m:sty m:val="p"/>
            </m:rPr>
            <m:t>MBTA floor</m:t>
          </m:r>
          <m:r>
            <m:rPr>
              <m:sty m:val="p"/>
            </m:rPr>
            <m:t>)</m:t>
          </m:r>
          <m:r>
            <m:t>  </m:t>
          </m:r>
          <m:r>
            <m:rPr>
              <m:sty m:val="p"/>
            </m:rPr>
            <m:t>(</m:t>
          </m:r>
          <m:r>
            <m:t>8.1</m:t>
          </m:r>
          <m:r>
            <m:rPr>
              <m:sty m:val="p"/>
            </m:rPr>
            <m:t>)</m:t>
          </m:r>
        </m:oMath>
      </m:oMathPara>
      <w:bookmarkEnd w:id="213"/>
    </w:p>
    <w:tbl>
      <w:tblPr>
        <w:tblStyle w:val="Table"/>
        <w:tblW w:type="pct" w:w="5000"/>
        <w:tblLayout w:type="fixed"/>
        <w:tblLook w:firstRow="0" w:lastRow="0" w:firstColumn="0" w:lastColumn="0" w:noHBand="0" w:noVBand="0" w:val="0000"/>
      </w:tblPr>
      <w:tblGrid>
        <w:gridCol w:w="7920"/>
      </w:tblGrid>
      <w:tr>
        <w:tc>
          <w:tcPr/>
          <w:bookmarkStart w:id="214" w:name="tbl-er-us"/>
          <w:p>
            <w:pPr>
              <w:jc w:val="center"/>
            </w:pPr>
            <w:pPr>
              <w:jc w:val="left"/>
              <w:spacing w:before="200"/>
              <w:pStyle w:val="ImageCaption"/>
            </w:pPr>
            <w:r>
              <w:t xml:space="preserve">Table 8.1: Components for a US-listed species; the final score is the maximum across those that apply.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Component</w:t>
                  </w:r>
                </w:p>
              </w:tc>
              <w:tc>
                <w:tcPr/>
                <w:p>
                  <w:pPr>
                    <w:pStyle w:val="Compact"/>
                    <w:jc w:val="right"/>
                    <w:jc w:val="center"/>
                  </w:pPr>
                  <w:r>
                    <w:t xml:space="preserve">Score</w:t>
                  </w:r>
                </w:p>
              </w:tc>
            </w:tr>
            <w:tr>
              <w:tc>
                <w:tcPr/>
                <w:p>
                  <w:pPr>
                    <w:pStyle w:val="Compact"/>
                    <w:jc w:val="left"/>
                    <w:jc w:val="center"/>
                  </w:pPr>
                  <w:r>
                    <w:t xml:space="preserve">ESA Endangered (EN)</w:t>
                  </w:r>
                </w:p>
              </w:tc>
              <w:tc>
                <w:tcPr/>
                <w:p>
                  <w:pPr>
                    <w:pStyle w:val="Compact"/>
                    <w:jc w:val="right"/>
                    <w:jc w:val="center"/>
                  </w:pPr>
                  <w:r>
                    <w:t xml:space="preserve">100</w:t>
                  </w:r>
                </w:p>
              </w:tc>
            </w:tr>
            <w:tr>
              <w:tc>
                <w:tcPr/>
                <w:p>
                  <w:pPr>
                    <w:pStyle w:val="Compact"/>
                    <w:jc w:val="left"/>
                    <w:jc w:val="center"/>
                  </w:pPr>
                  <w:r>
                    <w:t xml:space="preserve">ESA Threatened (TN)</w:t>
                  </w:r>
                </w:p>
              </w:tc>
              <w:tc>
                <w:tcPr/>
                <w:p>
                  <w:pPr>
                    <w:pStyle w:val="Compact"/>
                    <w:jc w:val="right"/>
                    <w:jc w:val="center"/>
                  </w:pPr>
                  <w:r>
                    <w:t xml:space="preserve">50</w:t>
                  </w:r>
                </w:p>
              </w:tc>
            </w:tr>
            <w:tr>
              <w:tc>
                <w:tcPr/>
                <w:p>
                  <w:pPr>
                    <w:pStyle w:val="Compact"/>
                    <w:jc w:val="left"/>
                    <w:jc w:val="center"/>
                  </w:pPr>
                  <w:r>
                    <w:t xml:space="preserve">ESA not listed (LC)</w:t>
                  </w:r>
                </w:p>
              </w:tc>
              <w:tc>
                <w:tcPr/>
                <w:p>
                  <w:pPr>
                    <w:pStyle w:val="Compact"/>
                    <w:jc w:val="right"/>
                    <w:jc w:val="center"/>
                  </w:pPr>
                  <w:r>
                    <w:t xml:space="preserve">1</w:t>
                  </w:r>
                </w:p>
              </w:tc>
            </w:tr>
            <w:tr>
              <w:tc>
                <w:tcPr/>
                <w:p>
                  <w:pPr>
                    <w:pStyle w:val="Compact"/>
                    <w:jc w:val="left"/>
                    <w:jc w:val="center"/>
                  </w:pPr>
                  <w:r>
                    <w:t xml:space="preserve">MMPA protected (all Mammalia)</w:t>
                  </w:r>
                </w:p>
              </w:tc>
              <w:tc>
                <w:tcPr/>
                <w:p>
                  <w:pPr>
                    <w:pStyle w:val="Compact"/>
                    <w:jc w:val="right"/>
                    <w:jc w:val="center"/>
                  </w:pPr>
                  <w:r>
                    <w:t xml:space="preserve">20</w:t>
                  </w:r>
                </w:p>
              </w:tc>
            </w:tr>
            <w:tr>
              <w:tc>
                <w:tcPr/>
                <w:p>
                  <w:pPr>
                    <w:pStyle w:val="Compact"/>
                    <w:jc w:val="left"/>
                    <w:jc w:val="center"/>
                  </w:pPr>
                  <w:r>
                    <w:t xml:space="preserve">MBTA protected (CFR 50 §10.13)</w:t>
                  </w:r>
                </w:p>
              </w:tc>
              <w:tc>
                <w:tcPr/>
                <w:p>
                  <w:pPr>
                    <w:pStyle w:val="Compact"/>
                    <w:jc w:val="right"/>
                    <w:jc w:val="center"/>
                  </w:pPr>
                  <w:r>
                    <w:t xml:space="preserve">10</w:t>
                  </w:r>
                </w:p>
              </w:tc>
            </w:tr>
          </w:tbl>
          <w:bookmarkEnd w:id="214"/>
          <w:p/>
        </w:tc>
      </w:tr>
    </w:tbl>
    <w:p>
      <w:pPr>
        <w:pStyle w:val="BodyText"/>
      </w:pPr>
      <w:r>
        <w:t xml:space="preserve">Worked examples:</w:t>
      </w:r>
    </w:p>
    <w:p>
      <w:pPr>
        <w:pStyle w:val="Compact"/>
        <w:numPr>
          <w:ilvl w:val="0"/>
          <w:numId w:val="1024"/>
        </w:numPr>
      </w:pPr>
      <w:r>
        <w:t xml:space="preserve">ESA Endangered whale (also MMPA):</w:t>
      </w:r>
      <w:r>
        <w:t xml:space="preserve"> </w:t>
      </w:r>
      <m:oMath>
        <m:r>
          <m:rPr>
            <m:sty m:val="p"/>
          </m:rPr>
          <m:t>max</m:t>
        </m:r>
        <m:r>
          <m:rPr>
            <m:sty m:val="p"/>
          </m:rPr>
          <m:t>(</m:t>
        </m:r>
        <m:r>
          <m:t>100</m:t>
        </m:r>
        <m:r>
          <m:rPr>
            <m:sty m:val="p"/>
          </m:rPr>
          <m:t>,</m:t>
        </m:r>
        <m:r>
          <m:t>20</m:t>
        </m:r>
        <m:r>
          <m:rPr>
            <m:sty m:val="p"/>
          </m:rPr>
          <m:t>)</m:t>
        </m:r>
        <m:r>
          <m:rPr>
            <m:sty m:val="p"/>
          </m:rPr>
          <m:t>=</m:t>
        </m:r>
        <m:r>
          <m:rPr>
            <m:sty m:val="b"/>
          </m:rPr>
          <m:t>100</m:t>
        </m:r>
      </m:oMath>
    </w:p>
    <w:p>
      <w:pPr>
        <w:pStyle w:val="Compact"/>
        <w:numPr>
          <w:ilvl w:val="0"/>
          <w:numId w:val="1024"/>
        </w:numPr>
      </w:pPr>
      <w:r>
        <w:t xml:space="preserve">ESA Threatened seabird on the 10.13 list:</w:t>
      </w:r>
      <w:r>
        <w:t xml:space="preserve"> </w:t>
      </w:r>
      <m:oMath>
        <m:r>
          <m:rPr>
            <m:sty m:val="p"/>
          </m:rPr>
          <m:t>max</m:t>
        </m:r>
        <m:r>
          <m:rPr>
            <m:sty m:val="p"/>
          </m:rPr>
          <m:t>(</m:t>
        </m:r>
        <m:r>
          <m:t>50</m:t>
        </m:r>
        <m:r>
          <m:rPr>
            <m:sty m:val="p"/>
          </m:rPr>
          <m:t>,</m:t>
        </m:r>
        <m:r>
          <m:t>10</m:t>
        </m:r>
        <m:r>
          <m:rPr>
            <m:sty m:val="p"/>
          </m:rPr>
          <m:t>)</m:t>
        </m:r>
        <m:r>
          <m:rPr>
            <m:sty m:val="p"/>
          </m:rPr>
          <m:t>=</m:t>
        </m:r>
        <m:r>
          <m:rPr>
            <m:sty m:val="b"/>
          </m:rPr>
          <m:t>50</m:t>
        </m:r>
      </m:oMath>
    </w:p>
    <w:p>
      <w:pPr>
        <w:pStyle w:val="Compact"/>
        <w:numPr>
          <w:ilvl w:val="0"/>
          <w:numId w:val="1024"/>
        </w:numPr>
      </w:pPr>
      <w:r>
        <w:t xml:space="preserve">Marine mammal with no ESA listing:</w:t>
      </w:r>
      <w:r>
        <w:t xml:space="preserve"> </w:t>
      </w:r>
      <m:oMath>
        <m:r>
          <m:rPr>
            <m:sty m:val="p"/>
          </m:rPr>
          <m:t>max</m:t>
        </m:r>
        <m:r>
          <m:rPr>
            <m:sty m:val="p"/>
          </m:rPr>
          <m:t>(</m:t>
        </m:r>
        <m:r>
          <m:t>1</m:t>
        </m:r>
        <m:r>
          <m:rPr>
            <m:sty m:val="p"/>
          </m:rPr>
          <m:t>,</m:t>
        </m:r>
        <m:r>
          <m:t>20</m:t>
        </m:r>
        <m:r>
          <m:rPr>
            <m:sty m:val="p"/>
          </m:rPr>
          <m:t>)</m:t>
        </m:r>
        <m:r>
          <m:rPr>
            <m:sty m:val="p"/>
          </m:rPr>
          <m:t>=</m:t>
        </m:r>
        <m:r>
          <m:rPr>
            <m:sty m:val="b"/>
          </m:rPr>
          <m:t>20</m:t>
        </m:r>
      </m:oMath>
    </w:p>
    <w:p>
      <w:pPr>
        <w:pStyle w:val="Compact"/>
        <w:numPr>
          <w:ilvl w:val="0"/>
          <w:numId w:val="1024"/>
        </w:numPr>
      </w:pPr>
      <w:r>
        <w:t xml:space="preserve">10.13 migratory bird with no ESA listing:</w:t>
      </w:r>
      <w:r>
        <w:t xml:space="preserve"> </w:t>
      </w:r>
      <m:oMath>
        <m:r>
          <m:rPr>
            <m:sty m:val="p"/>
          </m:rPr>
          <m:t>max</m:t>
        </m:r>
        <m:r>
          <m:rPr>
            <m:sty m:val="p"/>
          </m:rPr>
          <m:t>(</m:t>
        </m:r>
        <m:r>
          <m:t>1</m:t>
        </m:r>
        <m:r>
          <m:rPr>
            <m:sty m:val="p"/>
          </m:rPr>
          <m:t>,</m:t>
        </m:r>
        <m:r>
          <m:t>10</m:t>
        </m:r>
        <m:r>
          <m:rPr>
            <m:sty m:val="p"/>
          </m:rPr>
          <m:t>)</m:t>
        </m:r>
        <m:r>
          <m:rPr>
            <m:sty m:val="p"/>
          </m:rPr>
          <m:t>=</m:t>
        </m:r>
        <m:r>
          <m:rPr>
            <m:sty m:val="b"/>
          </m:rPr>
          <m:t>10</m:t>
        </m:r>
      </m:oMath>
    </w:p>
    <w:p>
      <w:pPr>
        <w:pStyle w:val="FirstParagraph"/>
      </w:pPr>
      <w:r>
        <w:t xml:space="preserve">A species carrying an MMPA or MBTA floor is routed onto this track</w:t>
      </w:r>
      <w:r>
        <w:t xml:space="preserve"> </w:t>
      </w:r>
      <w:r>
        <w:rPr>
          <w:b/>
          <w:bCs/>
        </w:rPr>
        <w:t xml:space="preserve">even when it has no ESA listing</w:t>
      </w:r>
      <w:r>
        <w:t xml:space="preserve">, which is what guarantees the floor is actually applied rather than being lost to the IUCN track.</w:t>
      </w:r>
    </w:p>
    <w:bookmarkEnd w:id="215"/>
    <w:bookmarkStart w:id="217" w:name="species-with-no-us-listing"/>
    <w:p>
      <w:pPr>
        <w:pStyle w:val="Heading3"/>
      </w:pPr>
      <w:r>
        <w:t xml:space="preserve">8.2.2 Species with no US listing</w:t>
      </w:r>
    </w:p>
    <w:tbl>
      <w:tblPr>
        <w:tblStyle w:val="Table"/>
        <w:tblW w:type="pct" w:w="5000"/>
        <w:tblLayout w:type="fixed"/>
        <w:tblLook w:firstRow="0" w:lastRow="0" w:firstColumn="0" w:lastColumn="0" w:noHBand="0" w:noVBand="0" w:val="0000"/>
      </w:tblPr>
      <w:tblGrid>
        <w:gridCol w:w="7920"/>
      </w:tblGrid>
      <w:tr>
        <w:tc>
          <w:tcPr/>
          <w:bookmarkStart w:id="216" w:name="tbl-er-iucn"/>
          <w:p>
            <w:pPr>
              <w:jc w:val="center"/>
            </w:pPr>
            <w:pPr>
              <w:jc w:val="left"/>
              <w:spacing w:before="200"/>
              <w:pStyle w:val="ImageCaption"/>
            </w:pPr>
            <w:r>
              <w:t xml:space="preserve">Table 8.2: IUCN-based scores for species not listed by NMFS or FWS.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IUCN category</w:t>
                  </w:r>
                </w:p>
              </w:tc>
              <w:tc>
                <w:tcPr/>
                <w:p>
                  <w:pPr>
                    <w:pStyle w:val="Compact"/>
                    <w:jc w:val="right"/>
                    <w:jc w:val="center"/>
                  </w:pPr>
                  <w:r>
                    <w:t xml:space="preserve">Score</w:t>
                  </w:r>
                </w:p>
              </w:tc>
            </w:tr>
            <w:tr>
              <w:tc>
                <w:tcPr/>
                <w:p>
                  <w:pPr>
                    <w:pStyle w:val="Compact"/>
                    <w:jc w:val="left"/>
                    <w:jc w:val="center"/>
                  </w:pPr>
                  <w:r>
                    <w:t xml:space="preserve">Critically Endangered (CR)</w:t>
                  </w:r>
                </w:p>
              </w:tc>
              <w:tc>
                <w:tcPr/>
                <w:p>
                  <w:pPr>
                    <w:pStyle w:val="Compact"/>
                    <w:jc w:val="right"/>
                    <w:jc w:val="center"/>
                  </w:pPr>
                  <w:r>
                    <w:t xml:space="preserve">50</w:t>
                  </w:r>
                </w:p>
              </w:tc>
            </w:tr>
            <w:tr>
              <w:tc>
                <w:tcPr/>
                <w:p>
                  <w:pPr>
                    <w:pStyle w:val="Compact"/>
                    <w:jc w:val="left"/>
                    <w:jc w:val="center"/>
                  </w:pPr>
                  <w:r>
                    <w:t xml:space="preserve">Endangered (EN)</w:t>
                  </w:r>
                </w:p>
              </w:tc>
              <w:tc>
                <w:tcPr/>
                <w:p>
                  <w:pPr>
                    <w:pStyle w:val="Compact"/>
                    <w:jc w:val="right"/>
                    <w:jc w:val="center"/>
                  </w:pPr>
                  <w:r>
                    <w:t xml:space="preserve">25</w:t>
                  </w:r>
                </w:p>
              </w:tc>
            </w:tr>
            <w:tr>
              <w:tc>
                <w:tcPr/>
                <w:p>
                  <w:pPr>
                    <w:pStyle w:val="Compact"/>
                    <w:jc w:val="left"/>
                    <w:jc w:val="center"/>
                  </w:pPr>
                  <w:r>
                    <w:t xml:space="preserve">Vulnerable (VU)</w:t>
                  </w:r>
                </w:p>
              </w:tc>
              <w:tc>
                <w:tcPr/>
                <w:p>
                  <w:pPr>
                    <w:pStyle w:val="Compact"/>
                    <w:jc w:val="right"/>
                    <w:jc w:val="center"/>
                  </w:pPr>
                  <w:r>
                    <w:t xml:space="preserve">5</w:t>
                  </w:r>
                </w:p>
              </w:tc>
            </w:tr>
            <w:tr>
              <w:tc>
                <w:tcPr/>
                <w:p>
                  <w:pPr>
                    <w:pStyle w:val="Compact"/>
                    <w:jc w:val="left"/>
                    <w:jc w:val="center"/>
                  </w:pPr>
                  <w:r>
                    <w:t xml:space="preserve">Near Threatened (NT)</w:t>
                  </w:r>
                </w:p>
              </w:tc>
              <w:tc>
                <w:tcPr/>
                <w:p>
                  <w:pPr>
                    <w:pStyle w:val="Compact"/>
                    <w:jc w:val="right"/>
                    <w:jc w:val="center"/>
                  </w:pPr>
                  <w:r>
                    <w:t xml:space="preserve">2</w:t>
                  </w:r>
                </w:p>
              </w:tc>
            </w:tr>
            <w:tr>
              <w:tc>
                <w:tcPr/>
                <w:p>
                  <w:pPr>
                    <w:pStyle w:val="Compact"/>
                    <w:jc w:val="left"/>
                    <w:jc w:val="center"/>
                  </w:pPr>
                  <w:r>
                    <w:t xml:space="preserve">Least Concern / Data Deficient / other</w:t>
                  </w:r>
                </w:p>
              </w:tc>
              <w:tc>
                <w:tcPr/>
                <w:p>
                  <w:pPr>
                    <w:pStyle w:val="Compact"/>
                    <w:jc w:val="right"/>
                    <w:jc w:val="center"/>
                  </w:pPr>
                  <w:r>
                    <w:t xml:space="preserve">1</w:t>
                  </w:r>
                </w:p>
              </w:tc>
            </w:tr>
          </w:tbl>
          <w:bookmarkEnd w:id="216"/>
          <w:p/>
        </w:tc>
      </w:tr>
    </w:tbl>
    <w:p>
      <w:pPr>
        <w:pStyle w:val="BodyText"/>
      </w:pPr>
      <w:r>
        <w:t xml:space="preserve">The IUCN scale is deliberately lower than the ESA one: a US statutory listing is a stronger, jurisdiction-specific statement about a species in US waters than an international assessment.</w:t>
      </w:r>
    </w:p>
    <w:p>
      <w:pPr>
        <w:pStyle w:val="BodyText"/>
      </w:pPr>
      <w:r>
        <w:t xml:space="preserve">Species with no matching code at all receive the baseline of</w:t>
      </w:r>
      <w:r>
        <w:t xml:space="preserve"> </w:t>
      </w:r>
      <w:r>
        <w:rPr>
          <w:b/>
          <w:bCs/>
        </w:rPr>
        <w:t xml:space="preserve">1</w:t>
      </w:r>
      <w:r>
        <w:t xml:space="preserve">.</w:t>
      </w:r>
    </w:p>
    <w:bookmarkEnd w:id="217"/>
    <w:bookmarkStart w:id="218" w:name="Xa76e8089ee7eb461cde79fefff71a5de15c992a"/>
    <w:p>
      <w:pPr>
        <w:pStyle w:val="Heading3"/>
      </w:pPr>
      <w:r>
        <w:t xml:space="preserve">8.2.3 The governing score, and where it is applied</w:t>
      </w:r>
    </w:p>
    <w:p>
      <w:pPr>
        <w:pStyle w:val="FirstParagraph"/>
      </w:pPr>
      <w:r>
        <w:t xml:space="preserve">A taxon may carry several conservation codes at once — one per contributing dataset — and they can disagree, or be stale. The pipeline therefore computes one</w:t>
      </w:r>
      <w:r>
        <w:t xml:space="preserve"> </w:t>
      </w:r>
      <w:r>
        <w:rPr>
          <w:b/>
          <w:bCs/>
        </w:rPr>
        <w:t xml:space="preserve">governing</w:t>
      </w:r>
      <w:r>
        <w:t xml:space="preserve"> </w:t>
      </w:r>
      <w:r>
        <w:t xml:space="preserve">score per taxon: the most protective across its datasets, with a</w:t>
      </w:r>
      <w:r>
        <w:t xml:space="preserve"> </w:t>
      </w:r>
      <w:r>
        <w:rPr>
          <w:b/>
          <w:bCs/>
        </w:rPr>
        <w:t xml:space="preserve">US national listing overriding the IUCN category</w:t>
      </w:r>
      <w:r>
        <w:t xml:space="preserve">, plus the statutory floors.</w:t>
      </w:r>
    </w:p>
    <w:p>
      <w:pPr>
        <w:pStyle w:val="BodyText"/>
      </w:pPr>
      <w:r>
        <w:t xml:space="preserve">That governing score is applied</w:t>
      </w:r>
      <w:r>
        <w:t xml:space="preserve"> </w:t>
      </w:r>
      <w:r>
        <w:rPr>
          <w:b/>
          <w:bCs/>
        </w:rPr>
        <w:t xml:space="preserve">at merge time</w:t>
      </w:r>
      <w:r>
        <w:t xml:space="preserve">, to the range cells — the point at which a species’ presence in a cell should carry its governing risk rather than whatever code the source dataset happened to record. Scoring then reads values that already reflect it.</w:t>
      </w:r>
    </w:p>
    <w:bookmarkEnd w:id="218"/>
    <w:bookmarkStart w:id="220" w:name="X2ac0ab86bf43cd22afd7425912bcaa09f5eb852"/>
    <w:p>
      <w:pPr>
        <w:pStyle w:val="Heading3"/>
      </w:pPr>
      <w:r>
        <w:t xml:space="preserve">8.2.4 When the listing is not the whole species: spatial extinction risk</w:t>
      </w:r>
    </w:p>
    <w:p>
      <w:pPr>
        <w:pStyle w:val="FirstParagraph"/>
      </w:pPr>
      <w:r>
        <w:t xml:space="preserve">A single governing score assumes the species is listed as a species. Under the ESA the</w:t>
      </w:r>
      <w:r>
        <w:t xml:space="preserve"> </w:t>
      </w:r>
      <w:r>
        <w:rPr>
          <w:i/>
          <w:iCs/>
        </w:rPr>
        <w:t xml:space="preserve">listed entity</w:t>
      </w:r>
      <w:r>
        <w:t xml:space="preserve"> </w:t>
      </w:r>
      <w:r>
        <w:t xml:space="preserve">can instead be a Distinct Population Segment, an ESU or a subspecies, and for some species only certain populations are listed: the humpback whale has six listed DPSs and eight that are not at risk — including the ones that breed in US waters — so its species page, flattened to the highest domestic status, read Endangered everywhere. For every species whose listed entities are scoped below the species (the list is in</w:t>
      </w:r>
      <w:r>
        <w:t xml:space="preserve"> </w:t>
      </w:r>
      <w:hyperlink w:anchor="sec-data-sources">
        <w:r>
          <w:rPr>
            <w:rStyle w:val="Hyperlink"/>
          </w:rPr>
          <w:t xml:space="preserve">Chapter 6</w:t>
        </w:r>
      </w:hyperlink>
      <w:r>
        <w:t xml:space="preserve"> </w:t>
      </w:r>
      <w:r>
        <w:t xml:space="preserve">under</w:t>
      </w:r>
      <w:r>
        <w:t xml:space="preserve"> </w:t>
      </w:r>
      <w:r>
        <w:rPr>
          <w:i/>
          <w:iCs/>
        </w:rPr>
        <w:t xml:space="preserve">NMFS Distinct Population Segments</w:t>
      </w:r>
      <w:r>
        <w:t xml:space="preserve">), risk is therefore a</w:t>
      </w:r>
      <w:r>
        <w:t xml:space="preserve"> </w:t>
      </w:r>
      <w:r>
        <w:rPr>
          <w:b/>
          <w:bCs/>
        </w:rPr>
        <w:t xml:space="preserve">surface</w:t>
      </w:r>
      <w:r>
        <w:t xml:space="preserve">, not a scalar: each listed entity’s designated critical habitat, from NOAA Fisheries’ authoritative service, carries that entity’s status (Endangered 100 / Threatened 50), and the rest of the species’ IUCN range carries the baseline every unlisted species of its kind gets — the MMPA floor of 20 for a marine mammal, the IUCN category otherwise. Sea turtles have long had the same treatment through their own SWOT + DPS dataset. How that surface reaches the score differs between the two groups and is described in</w:t>
      </w:r>
      <w:r>
        <w:t xml:space="preserve"> </w:t>
      </w:r>
      <w:hyperlink w:anchor="sec-model-merging">
        <w:r>
          <w:rPr>
            <w:rStyle w:val="Hyperlink"/>
          </w:rPr>
          <w:t xml:space="preserve">Chapter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9" w:name="tbl-er-dist"/>
          <w:p>
            <w:pPr>
              <w:jc w:val="center"/>
            </w:pPr>
            <w:pPr>
              <w:jc w:val="left"/>
              <w:spacing w:before="200"/>
              <w:pStyle w:val="ImageCaption"/>
            </w:pPr>
            <w:r>
              <w:t xml:space="preserve">Table 8.3: Distribution of the governing</w:t>
            </w:r>
            <w:r>
              <w:t xml:space="preserve"> </w:t>
            </w:r>
            <w:r>
              <w:rPr>
                <w:rStyle w:val="VerbatimChar"/>
              </w:rPr>
              <w:t xml:space="preserve">er_score</w:t>
            </w:r>
            <w:r>
              <w:t xml:space="preserve"> </w:t>
            </w:r>
            <w:r>
              <w:t xml:space="preserve">across v9’s valid species.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er_score</w:t>
                  </w:r>
                </w:p>
              </w:tc>
              <w:tc>
                <w:tcPr/>
                <w:p>
                  <w:pPr>
                    <w:pStyle w:val="Compact"/>
                    <w:jc w:val="right"/>
                    <w:jc w:val="center"/>
                  </w:pPr>
                  <w:r>
                    <w:t xml:space="preserve">Species</w:t>
                  </w:r>
                </w:p>
              </w:tc>
              <w:tc>
                <w:tcPr/>
                <w:p>
                  <w:pPr>
                    <w:pStyle w:val="Compact"/>
                    <w:jc w:val="right"/>
                    <w:jc w:val="center"/>
                  </w:pPr>
                  <w:r>
                    <w:t xml:space="preserve">Share</w:t>
                  </w:r>
                </w:p>
              </w:tc>
            </w:tr>
            <w:tr>
              <w:tc>
                <w:tcPr/>
                <w:p>
                  <w:pPr>
                    <w:pStyle w:val="Compact"/>
                    <w:jc w:val="right"/>
                    <w:jc w:val="center"/>
                  </w:pPr>
                  <w:r>
                    <w:t xml:space="preserve">100</w:t>
                  </w:r>
                </w:p>
              </w:tc>
              <w:tc>
                <w:tcPr/>
                <w:p>
                  <w:pPr>
                    <w:pStyle w:val="Compact"/>
                    <w:jc w:val="right"/>
                    <w:jc w:val="center"/>
                  </w:pPr>
                  <w:r>
                    <w:t xml:space="preserve">51</w:t>
                  </w:r>
                </w:p>
              </w:tc>
              <w:tc>
                <w:tcPr/>
                <w:p>
                  <w:pPr>
                    <w:pStyle w:val="Compact"/>
                    <w:jc w:val="right"/>
                    <w:jc w:val="center"/>
                  </w:pPr>
                  <w:r>
                    <w:t xml:space="preserve">0.3%</w:t>
                  </w:r>
                </w:p>
              </w:tc>
            </w:tr>
            <w:tr>
              <w:tc>
                <w:tcPr/>
                <w:p>
                  <w:pPr>
                    <w:pStyle w:val="Compact"/>
                    <w:jc w:val="right"/>
                    <w:jc w:val="center"/>
                  </w:pPr>
                  <w:r>
                    <w:t xml:space="preserve">50</w:t>
                  </w:r>
                </w:p>
              </w:tc>
              <w:tc>
                <w:tcPr/>
                <w:p>
                  <w:pPr>
                    <w:pStyle w:val="Compact"/>
                    <w:jc w:val="right"/>
                    <w:jc w:val="center"/>
                  </w:pPr>
                  <w:r>
                    <w:t xml:space="preserve">69</w:t>
                  </w:r>
                </w:p>
              </w:tc>
              <w:tc>
                <w:tcPr/>
                <w:p>
                  <w:pPr>
                    <w:pStyle w:val="Compact"/>
                    <w:jc w:val="right"/>
                    <w:jc w:val="center"/>
                  </w:pPr>
                  <w:r>
                    <w:t xml:space="preserve">0.4%</w:t>
                  </w:r>
                </w:p>
              </w:tc>
            </w:tr>
            <w:tr>
              <w:tc>
                <w:tcPr/>
                <w:p>
                  <w:pPr>
                    <w:pStyle w:val="Compact"/>
                    <w:jc w:val="right"/>
                    <w:jc w:val="center"/>
                  </w:pPr>
                  <w:r>
                    <w:t xml:space="preserve">25</w:t>
                  </w:r>
                </w:p>
              </w:tc>
              <w:tc>
                <w:tcPr/>
                <w:p>
                  <w:pPr>
                    <w:pStyle w:val="Compact"/>
                    <w:jc w:val="right"/>
                    <w:jc w:val="center"/>
                  </w:pPr>
                  <w:r>
                    <w:t xml:space="preserve">164</w:t>
                  </w:r>
                </w:p>
              </w:tc>
              <w:tc>
                <w:tcPr/>
                <w:p>
                  <w:pPr>
                    <w:pStyle w:val="Compact"/>
                    <w:jc w:val="right"/>
                    <w:jc w:val="center"/>
                  </w:pPr>
                  <w:r>
                    <w:t xml:space="preserve">1.0%</w:t>
                  </w:r>
                </w:p>
              </w:tc>
            </w:tr>
            <w:tr>
              <w:tc>
                <w:tcPr/>
                <w:p>
                  <w:pPr>
                    <w:pStyle w:val="Compact"/>
                    <w:jc w:val="right"/>
                    <w:jc w:val="center"/>
                  </w:pPr>
                  <w:r>
                    <w:t xml:space="preserve">20</w:t>
                  </w:r>
                </w:p>
              </w:tc>
              <w:tc>
                <w:tcPr/>
                <w:p>
                  <w:pPr>
                    <w:pStyle w:val="Compact"/>
                    <w:jc w:val="right"/>
                    <w:jc w:val="center"/>
                  </w:pPr>
                  <w:r>
                    <w:t xml:space="preserve">51</w:t>
                  </w:r>
                </w:p>
              </w:tc>
              <w:tc>
                <w:tcPr/>
                <w:p>
                  <w:pPr>
                    <w:pStyle w:val="Compact"/>
                    <w:jc w:val="right"/>
                    <w:jc w:val="center"/>
                  </w:pPr>
                  <w:r>
                    <w:t xml:space="preserve">0.3%</w:t>
                  </w:r>
                </w:p>
              </w:tc>
            </w:tr>
            <w:tr>
              <w:tc>
                <w:tcPr/>
                <w:p>
                  <w:pPr>
                    <w:pStyle w:val="Compact"/>
                    <w:jc w:val="right"/>
                    <w:jc w:val="center"/>
                  </w:pPr>
                  <w:r>
                    <w:t xml:space="preserve">10</w:t>
                  </w:r>
                </w:p>
              </w:tc>
              <w:tc>
                <w:tcPr/>
                <w:p>
                  <w:pPr>
                    <w:pStyle w:val="Compact"/>
                    <w:jc w:val="right"/>
                    <w:jc w:val="center"/>
                  </w:pPr>
                  <w:r>
                    <w:t xml:space="preserve">191</w:t>
                  </w:r>
                </w:p>
              </w:tc>
              <w:tc>
                <w:tcPr/>
                <w:p>
                  <w:pPr>
                    <w:pStyle w:val="Compact"/>
                    <w:jc w:val="right"/>
                    <w:jc w:val="center"/>
                  </w:pPr>
                  <w:r>
                    <w:t xml:space="preserve">1.1%</w:t>
                  </w:r>
                </w:p>
              </w:tc>
            </w:tr>
            <w:tr>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0.6%</w:t>
                  </w:r>
                </w:p>
              </w:tc>
            </w:tr>
            <w:tr>
              <w:tc>
                <w:tcPr/>
                <w:p>
                  <w:pPr>
                    <w:pStyle w:val="Compact"/>
                    <w:jc w:val="right"/>
                    <w:jc w:val="center"/>
                  </w:pPr>
                  <w:r>
                    <w:t xml:space="preserve">2</w:t>
                  </w:r>
                </w:p>
              </w:tc>
              <w:tc>
                <w:tcPr/>
                <w:p>
                  <w:pPr>
                    <w:pStyle w:val="Compact"/>
                    <w:jc w:val="right"/>
                    <w:jc w:val="center"/>
                  </w:pPr>
                  <w:r>
                    <w:t xml:space="preserve">49</w:t>
                  </w:r>
                </w:p>
              </w:tc>
              <w:tc>
                <w:tcPr/>
                <w:p>
                  <w:pPr>
                    <w:pStyle w:val="Compact"/>
                    <w:jc w:val="right"/>
                    <w:jc w:val="center"/>
                  </w:pPr>
                  <w:r>
                    <w:t xml:space="preserve">0.3%</w:t>
                  </w:r>
                </w:p>
              </w:tc>
            </w:tr>
            <w:tr>
              <w:tc>
                <w:tcPr/>
                <w:p>
                  <w:pPr>
                    <w:pStyle w:val="Compact"/>
                    <w:jc w:val="right"/>
                    <w:jc w:val="center"/>
                  </w:pPr>
                  <w:r>
                    <w:t xml:space="preserve">1</w:t>
                  </w:r>
                </w:p>
              </w:tc>
              <w:tc>
                <w:tcPr/>
                <w:p>
                  <w:pPr>
                    <w:pStyle w:val="Compact"/>
                    <w:jc w:val="right"/>
                    <w:jc w:val="center"/>
                  </w:pPr>
                  <w:r>
                    <w:t xml:space="preserve">16,455</w:t>
                  </w:r>
                </w:p>
              </w:tc>
              <w:tc>
                <w:tcPr/>
                <w:p>
                  <w:pPr>
                    <w:pStyle w:val="Compact"/>
                    <w:jc w:val="right"/>
                    <w:jc w:val="center"/>
                  </w:pPr>
                  <w:r>
                    <w:t xml:space="preserve">96.1%</w:t>
                  </w:r>
                </w:p>
              </w:tc>
            </w:tr>
          </w:tbl>
          <w:bookmarkEnd w:id="219"/>
          <w:p/>
        </w:tc>
      </w:tr>
    </w:tbl>
    <w:p>
      <w:pPr>
        <w:pStyle w:val="BodyText"/>
      </w:pPr>
      <w:r>
        <w:t xml:space="preserve">Of v9’s 17,130 valid species,</w:t>
      </w:r>
      <w:r>
        <w:t xml:space="preserve"> </w:t>
      </w:r>
      <w:r>
        <w:rPr>
          <w:b/>
          <w:bCs/>
        </w:rPr>
        <w:t xml:space="preserve">75</w:t>
      </w:r>
      <w:r>
        <w:t xml:space="preserve"> </w:t>
      </w:r>
      <w:r>
        <w:t xml:space="preserve">carry the MMPA floor and</w:t>
      </w:r>
      <w:r>
        <w:t xml:space="preserve"> </w:t>
      </w:r>
      <w:r>
        <w:rPr>
          <w:b/>
          <w:bCs/>
        </w:rPr>
        <w:t xml:space="preserve">203</w:t>
      </w:r>
      <w:r>
        <w:t xml:space="preserve"> </w:t>
      </w:r>
      <w:r>
        <w:t xml:space="preserve">the MBTA floor.</w:t>
      </w:r>
    </w:p>
    <w:bookmarkEnd w:id="220"/>
    <w:bookmarkEnd w:id="221"/>
    <w:bookmarkStart w:id="222" w:name="scale"/>
    <w:p>
      <w:pPr>
        <w:pStyle w:val="Heading2"/>
      </w:pPr>
      <w:r>
        <w:t xml:space="preserve">8.3 Scale</w:t>
      </w:r>
    </w:p>
    <w:p>
      <w:pPr>
        <w:pStyle w:val="FirstParagraph"/>
      </w:pPr>
      <w:r>
        <w:t xml:space="preserve">Scores run from 1 to 100 and represent a percentage-like weight — 100 being maximum risk and 1 the baseline. Integers are used for storage efficiency; conceptually the scale is a 0–1 weight multiplied by 100.</w:t>
      </w:r>
    </w:p>
    <w:bookmarkEnd w:id="222"/>
    <w:bookmarkStart w:id="223" w:name="implementation-1"/>
    <w:p>
      <w:pPr>
        <w:pStyle w:val="Heading2"/>
      </w:pPr>
      <w:r>
        <w:t xml:space="preserve">8.4 Implementation</w:t>
      </w:r>
    </w:p>
    <w:p>
      <w:pPr>
        <w:pStyle w:val="SourceCode"/>
      </w:pPr>
      <w:r>
        <w:rPr>
          <w:rStyle w:val="NormalTok"/>
        </w:rPr>
        <w:t xml:space="preserve">msens</w:t>
      </w:r>
      <w:r>
        <w:rPr>
          <w:rStyle w:val="SpecialCharTok"/>
        </w:rPr>
        <w:t xml:space="preserve">::</w:t>
      </w:r>
      <w:r>
        <w:rPr>
          <w:rStyle w:val="FunctionTok"/>
        </w:rPr>
        <w:t xml:space="preserve">compute_er_score</w:t>
      </w:r>
      <w:r>
        <w:rPr>
          <w:rStyle w:val="NormalTok"/>
        </w:rPr>
        <w:t xml:space="preserve">(</w:t>
      </w:r>
      <w:r>
        <w:br/>
      </w:r>
      <w:r>
        <w:rPr>
          <w:rStyle w:val="NormalTok"/>
        </w:rPr>
        <w:t xml:space="preserve">  extrisk_code,      </w:t>
      </w:r>
      <w:r>
        <w:rPr>
          <w:rStyle w:val="CommentTok"/>
        </w:rPr>
        <w:t xml:space="preserve"># "NMFS:EN", "FWS:TN", "IUCN:CR", ...</w:t>
      </w:r>
      <w:r>
        <w:br/>
      </w:r>
      <w:r>
        <w:rPr>
          <w:rStyle w:val="NormalTok"/>
        </w:rPr>
        <w:t xml:space="preserve">  </w:t>
      </w:r>
      <w:r>
        <w:rPr>
          <w:rStyle w:val="AttributeTok"/>
        </w:rPr>
        <w:t xml:space="preserve">is_mmpa =</w:t>
      </w:r>
      <w:r>
        <w:rPr>
          <w:rStyle w:val="NormalTok"/>
        </w:rPr>
        <w:t xml:space="preserve"> </w:t>
      </w:r>
      <w:r>
        <w:rPr>
          <w:rStyle w:val="ConstantTok"/>
        </w:rPr>
        <w:t xml:space="preserve">FALSE</w:t>
      </w:r>
      <w:r>
        <w:rPr>
          <w:rStyle w:val="NormalTok"/>
        </w:rPr>
        <w:t xml:space="preserve">,   </w:t>
      </w:r>
      <w:r>
        <w:rPr>
          <w:rStyle w:val="CommentTok"/>
        </w:rPr>
        <w:t xml:space="preserve"># MMPA protection (all WoRMS Mammalia)</w:t>
      </w:r>
      <w:r>
        <w:br/>
      </w:r>
      <w:r>
        <w:rPr>
          <w:rStyle w:val="NormalTok"/>
        </w:rPr>
        <w:t xml:space="preserve">  </w:t>
      </w:r>
      <w:r>
        <w:rPr>
          <w:rStyle w:val="AttributeTok"/>
        </w:rPr>
        <w:t xml:space="preserve">is_mbta =</w:t>
      </w:r>
      <w:r>
        <w:rPr>
          <w:rStyle w:val="NormalTok"/>
        </w:rPr>
        <w:t xml:space="preserve"> </w:t>
      </w:r>
      <w:r>
        <w:rPr>
          <w:rStyle w:val="ConstantTok"/>
        </w:rPr>
        <w:t xml:space="preserve">FALSE</w:t>
      </w:r>
      <w:r>
        <w:rPr>
          <w:rStyle w:val="NormalTok"/>
        </w:rPr>
        <w:t xml:space="preserve">)   </w:t>
      </w:r>
      <w:r>
        <w:rPr>
          <w:rStyle w:val="CommentTok"/>
        </w:rPr>
        <w:t xml:space="preserve"># MBTA protection (FWS CFR 50 §10.13)</w:t>
      </w:r>
    </w:p>
    <w:p>
      <w:pPr>
        <w:pStyle w:val="FirstParagraph"/>
      </w:pPr>
      <w:r>
        <w:rPr>
          <w:rStyle w:val="VerbatimChar"/>
        </w:rPr>
        <w:t xml:space="preserve">extrisk_code</w:t>
      </w:r>
      <w:r>
        <w:t xml:space="preserve"> </w:t>
      </w:r>
      <w:r>
        <w:t xml:space="preserve">is</w:t>
      </w:r>
      <w:r>
        <w:t xml:space="preserve"> </w:t>
      </w:r>
      <w:r>
        <w:rPr>
          <w:rStyle w:val="VerbatimChar"/>
        </w:rPr>
        <w:t xml:space="preserve">AUTHORITY:STATUS</w:t>
      </w:r>
      <w:r>
        <w:t xml:space="preserve">, where the authority is</w:t>
      </w:r>
      <w:r>
        <w:t xml:space="preserve"> </w:t>
      </w:r>
      <w:r>
        <w:rPr>
          <w:rStyle w:val="VerbatimChar"/>
        </w:rPr>
        <w:t xml:space="preserve">NMFS</w:t>
      </w:r>
      <w:r>
        <w:t xml:space="preserve">,</w:t>
      </w:r>
      <w:r>
        <w:t xml:space="preserve"> </w:t>
      </w:r>
      <w:r>
        <w:rPr>
          <w:rStyle w:val="VerbatimChar"/>
        </w:rPr>
        <w:t xml:space="preserve">FWS</w:t>
      </w:r>
      <w:r>
        <w:t xml:space="preserve"> </w:t>
      </w:r>
      <w:r>
        <w:t xml:space="preserve">or</w:t>
      </w:r>
      <w:r>
        <w:t xml:space="preserve"> </w:t>
      </w:r>
      <w:r>
        <w:rPr>
          <w:rStyle w:val="VerbatimChar"/>
        </w:rPr>
        <w:t xml:space="preserve">IUCN</w:t>
      </w:r>
      <w:r>
        <w:t xml:space="preserve">, and the status is an ESA code (</w:t>
      </w:r>
      <w:r>
        <w:rPr>
          <w:rStyle w:val="VerbatimChar"/>
        </w:rPr>
        <w:t xml:space="preserve">EN</w:t>
      </w:r>
      <w:r>
        <w:t xml:space="preserve">,</w:t>
      </w:r>
      <w:r>
        <w:t xml:space="preserve"> </w:t>
      </w:r>
      <w:r>
        <w:rPr>
          <w:rStyle w:val="VerbatimChar"/>
        </w:rPr>
        <w:t xml:space="preserve">TN</w:t>
      </w:r>
      <w:r>
        <w:t xml:space="preserve">,</w:t>
      </w:r>
      <w:r>
        <w:t xml:space="preserve"> </w:t>
      </w:r>
      <w:r>
        <w:rPr>
          <w:rStyle w:val="VerbatimChar"/>
        </w:rPr>
        <w:t xml:space="preserve">LC</w:t>
      </w:r>
      <w:r>
        <w:t xml:space="preserve">) or an IUCN code (</w:t>
      </w:r>
      <w:r>
        <w:rPr>
          <w:rStyle w:val="VerbatimChar"/>
        </w:rPr>
        <w:t xml:space="preserve">CR</w:t>
      </w:r>
      <w:r>
        <w:t xml:space="preserve">,</w:t>
      </w:r>
      <w:r>
        <w:t xml:space="preserve"> </w:t>
      </w:r>
      <w:r>
        <w:rPr>
          <w:rStyle w:val="VerbatimChar"/>
        </w:rPr>
        <w:t xml:space="preserve">EN</w:t>
      </w:r>
      <w:r>
        <w:t xml:space="preserve">,</w:t>
      </w:r>
      <w:r>
        <w:t xml:space="preserve"> </w:t>
      </w:r>
      <w:r>
        <w:rPr>
          <w:rStyle w:val="VerbatimChar"/>
        </w:rPr>
        <w:t xml:space="preserve">VU</w:t>
      </w:r>
      <w:r>
        <w:t xml:space="preserve">,</w:t>
      </w:r>
      <w:r>
        <w:t xml:space="preserve"> </w:t>
      </w:r>
      <w:r>
        <w:rPr>
          <w:rStyle w:val="VerbatimChar"/>
        </w:rPr>
        <w:t xml:space="preserve">NT</w:t>
      </w:r>
      <w:r>
        <w:t xml:space="preserve">,</w:t>
      </w:r>
      <w:r>
        <w:t xml:space="preserve"> </w:t>
      </w:r>
      <w:r>
        <w:rPr>
          <w:rStyle w:val="VerbatimChar"/>
        </w:rPr>
        <w:t xml:space="preserve">LC</w:t>
      </w:r>
      <w:r>
        <w:t xml:space="preserve">,</w:t>
      </w:r>
      <w:r>
        <w:t xml:space="preserve"> </w:t>
      </w:r>
      <w:r>
        <w:rPr>
          <w:rStyle w:val="VerbatimChar"/>
        </w:rPr>
        <w:t xml:space="preserve">DD</w:t>
      </w:r>
      <w:r>
        <w:t xml:space="preserve">). Any other combination is an error, not a default.</w:t>
      </w:r>
    </w:p>
    <w:bookmarkEnd w:id="223"/>
    <w:bookmarkEnd w:id="224"/>
    <w:bookmarkStart w:id="250" w:name="sec-model-merging"/>
    <w:p>
      <w:pPr>
        <w:pStyle w:val="Heading1"/>
      </w:pPr>
      <w:r>
        <w:t xml:space="preserve">9. Model Merging</w:t>
      </w:r>
    </w:p>
    <w:p>
      <w:pPr>
        <w:pStyle w:val="FirstParagraph"/>
      </w:pPr>
      <w:r>
        <w:t xml:space="preserve">A taxon may have distribution data in several source datasets. Merging combines them into</w:t>
      </w:r>
      <w:r>
        <w:t xml:space="preserve"> </w:t>
      </w:r>
      <w:r>
        <w:rPr>
          <w:b/>
          <w:bCs/>
        </w:rPr>
        <w:t xml:space="preserve">one surface per taxon</w:t>
      </w:r>
      <w:r>
        <w:t xml:space="preserve">, applying the taxon’s governing extinction risk and constraining the result to where experts say the species actually occurs.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Applications/quarto/share/formats/docx/tip.png" id="226"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 maximum merge, range masking and the regulatory floors, step by step from input rasters.</w:t>
            </w:r>
          </w:p>
          <w:p/>
        </w:tc>
      </w:tr>
    </w:tbl>
    <w:bookmarkStart w:id="227" w:name="the-rule-in-one-place"/>
    <w:p>
      <w:pPr>
        <w:pStyle w:val="Heading2"/>
      </w:pPr>
      <w:r>
        <w:t xml:space="preserve">9.1 The rule, in one place</w:t>
      </w:r>
    </w:p>
    <w:p>
      <w:pPr>
        <w:pStyle w:val="FirstParagraph"/>
      </w:pPr>
      <w:r>
        <w:t xml:space="preserve">The merge rules are</w:t>
      </w:r>
      <w:r>
        <w:t xml:space="preserve"> </w:t>
      </w:r>
      <w:r>
        <w:rPr>
          <w:rStyle w:val="VerbatimChar"/>
          <w:b/>
          <w:bCs/>
        </w:rPr>
        <w:t xml:space="preserve">msens::merge_sql()</w:t>
      </w:r>
      <w:r>
        <w:t xml:space="preserve">,</w:t>
      </w:r>
      <w:r>
        <w:t xml:space="preserve"> </w:t>
      </w:r>
      <w:r>
        <w:rPr>
          <w:rStyle w:val="VerbatimChar"/>
          <w:b/>
          <w:bCs/>
        </w:rPr>
        <w:t xml:space="preserve">msens::turtle_sql()</w:t>
      </w:r>
      <w:r>
        <w:t xml:space="preserve"> </w:t>
      </w:r>
      <w:r>
        <w:t xml:space="preserve">and</w:t>
      </w:r>
      <w:r>
        <w:t xml:space="preserve"> </w:t>
      </w:r>
      <w:r>
        <w:rPr>
          <w:rStyle w:val="VerbatimChar"/>
          <w:b/>
          <w:bCs/>
        </w:rPr>
        <w:t xml:space="preserve">msens::dps_sql()</w:t>
      </w:r>
      <w:r>
        <w:t xml:space="preserve"> </w:t>
      </w:r>
      <w:r>
        <w:t xml:space="preserve">— SQL held in the package rather than inside a notebook. The merge notebook executes them and the unit tests assert them against synthetic fixtures, one per taxon category, so the pipeline and its tests cannot drift apart. Changing a rule in a way that breaks a documented case fails the tests.</w:t>
      </w:r>
    </w:p>
    <w:bookmarkEnd w:id="227"/>
    <w:bookmarkStart w:id="244" w:name="pipeline"/>
    <w:p>
      <w:pPr>
        <w:pStyle w:val="Heading2"/>
      </w:pPr>
      <w:r>
        <w:t xml:space="preserve">9.2 Pipeline</w:t>
      </w:r>
    </w:p>
    <w:tbl>
      <w:tblPr>
        <w:tblStyle w:val="Table"/>
        <w:tblW w:type="pct" w:w="5000"/>
        <w:tblLayout w:type="fixed"/>
        <w:tblLook w:firstRow="0" w:lastRow="0" w:firstColumn="0" w:lastColumn="0" w:noHBand="0" w:noVBand="0" w:val="0000"/>
      </w:tblPr>
      <w:tblGrid>
        <w:gridCol w:w="7920"/>
      </w:tblGrid>
      <w:tr>
        <w:tc>
          <w:tcPr/>
          <w:bookmarkStart w:id="231" w:name="fig-merge-pipeline"/>
          <w:p>
            <w:pPr>
              <w:jc w:val="center"/>
            </w:pPr>
            <w:r>
              <w:drawing>
                <wp:inline>
                  <wp:extent cx="5334000" cy="5351779"/>
                  <wp:effectExtent b="0" l="0" r="0" t="0"/>
                  <wp:docPr descr="" title="" id="229" name="Picture"/>
                  <a:graphic>
                    <a:graphicData uri="http://schemas.openxmlformats.org/drawingml/2006/picture">
                      <pic:pic>
                        <pic:nvPicPr>
                          <pic:cNvPr descr="model-merging_files/figure-docx/mermaid-figure-2.png" id="230" name="Picture"/>
                          <pic:cNvPicPr>
                            <a:picLocks noChangeArrowheads="1" noChangeAspect="1"/>
                          </pic:cNvPicPr>
                        </pic:nvPicPr>
                        <pic:blipFill>
                          <a:blip r:embed="rId228"/>
                          <a:stretch>
                            <a:fillRect/>
                          </a:stretch>
                        </pic:blipFill>
                        <pic:spPr bwMode="auto">
                          <a:xfrm>
                            <a:off x="0" y="0"/>
                            <a:ext cx="5334000" cy="5351779"/>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Merging one taxon’s source models into a single surface.</w:t>
            </w:r>
          </w:p>
          <w:bookmarkEnd w:id="231"/>
        </w:tc>
      </w:tr>
    </w:tbl>
    <w:bookmarkStart w:id="232" w:name="step-1-gather-the-taxons-models"/>
    <w:p>
      <w:pPr>
        <w:pStyle w:val="Heading3"/>
      </w:pPr>
      <w:r>
        <w:t xml:space="preserve">9.2.1 Step 1 — gather the taxon’s models</w:t>
      </w:r>
    </w:p>
    <w:p>
      <w:pPr>
        <w:pStyle w:val="FirstParagraph"/>
      </w:pPr>
      <w:r>
        <w:t xml:space="preserve">Every model resolving to the same taxon is collected: an AquaMaps suitability surface, any regulatory habitat or range designation (NMFS, FWS), a BirdLife or IUCN range map, and for sea turtles a SWOT+DPS range.</w:t>
      </w:r>
    </w:p>
    <w:bookmarkEnd w:id="232"/>
    <w:bookmarkStart w:id="236" w:name="X509cb73d93c86ff05402a9657da0742ddb06519"/>
    <w:p>
      <w:pPr>
        <w:pStyle w:val="Heading3"/>
      </w:pPr>
      <w:r>
        <w:t xml:space="preserve">9.2.2 Step 2 — the expert range constrains AquaMaps</w:t>
      </w:r>
    </w:p>
    <w:p>
      <w:pPr>
        <w:pStyle w:val="FirstParagraph"/>
      </w:pPr>
      <w:r>
        <w:t xml:space="preserve">This is the heart of the merge, and it is not a plain maximum.</w:t>
      </w:r>
    </w:p>
    <w:p>
      <w:pPr>
        <w:pStyle w:val="BodyText"/>
      </w:pPr>
      <w:r>
        <w:t xml:space="preserve">Where a taxon</w:t>
      </w:r>
      <w:r>
        <w:t xml:space="preserve"> </w:t>
      </w:r>
      <w:r>
        <w:rPr>
          <w:b/>
          <w:bCs/>
        </w:rPr>
        <w:t xml:space="preserve">has an expert range</w:t>
      </w:r>
      <w:r>
        <w:t xml:space="preserve">, the merged surface is the</w:t>
      </w:r>
      <w:r>
        <w:t xml:space="preserve"> </w:t>
      </w:r>
      <w:r>
        <w:rPr>
          <w:b/>
          <w:bCs/>
        </w:rPr>
        <w:t xml:space="preserve">range footprint</w:t>
      </w:r>
      <w:r>
        <w:t xml:space="preserve">, valued at the maximum of the taxon’s governing</w:t>
      </w:r>
      <w:r>
        <w:t xml:space="preserve"> </w:t>
      </w:r>
      <w:r>
        <w:rPr>
          <w:rStyle w:val="VerbatimChar"/>
        </w:rPr>
        <w:t xml:space="preserve">er_score</w:t>
      </w:r>
      <w:r>
        <w:t xml:space="preserve"> </w:t>
      </w:r>
      <w:r>
        <w:t xml:space="preserve">and the AquaMaps value</w:t>
      </w:r>
      <w:r>
        <w:t xml:space="preserve"> </w:t>
      </w:r>
      <w:r>
        <w:rPr>
          <w:i/>
          <w:iCs/>
        </w:rPr>
        <w:t xml:space="preserve">at those cells</w:t>
      </w:r>
      <w:r>
        <w:t xml:space="preserve">:</w:t>
      </w:r>
    </w:p>
    <w:p>
      <w:pPr>
        <w:pStyle w:val="BodyText"/>
      </w:pPr>
      <w:bookmarkStart w:id="233" w:name="eq-merge-range"/>
      <m:oMathPara>
        <m:oMathParaPr>
          <m:jc m:val="center"/>
        </m:oMathParaPr>
        <m:oMath>
          <m:sSub>
            <m:e>
              <m:r>
                <m:t>v</m:t>
              </m:r>
            </m:e>
            <m:sub>
              <m:r>
                <m:t>c</m:t>
              </m:r>
            </m:sub>
          </m:sSub>
          <m:r>
            <m:rPr>
              <m:sty m:val="p"/>
            </m:rPr>
            <m:t>=</m:t>
          </m:r>
          <m:r>
            <m:rPr>
              <m:sty m:val="p"/>
            </m:rPr>
            <m:t>max</m:t>
          </m:r>
          <m:r>
            <m:t>​</m:t>
          </m:r>
          <m:d>
            <m:dPr>
              <m:begChr m:val="("/>
              <m:sepChr m:val=""/>
              <m:endChr m:val=")"/>
              <m:grow/>
            </m:dPr>
            <m:e>
              <m:r>
                <m:rPr>
                  <m:nor/>
                  <m:sty m:val="p"/>
                </m:rPr>
                <m:t>er_score</m:t>
              </m:r>
              <m:r>
                <m:rPr>
                  <m:sty m:val="p"/>
                </m:rPr>
                <m:t>,</m:t>
              </m:r>
              <m:r>
                <m:t> </m:t>
              </m:r>
              <m:sSub>
                <m:e>
                  <m:r>
                    <m:t>v</m:t>
                  </m:r>
                </m:e>
                <m:sub>
                  <m:r>
                    <m:t>a</m:t>
                  </m:r>
                  <m:r>
                    <m:t>m</m:t>
                  </m:r>
                  <m:r>
                    <m:rPr>
                      <m:sty m:val="p"/>
                    </m:rPr>
                    <m:t>,</m:t>
                  </m:r>
                  <m:r>
                    <m:t>c</m:t>
                  </m:r>
                </m:sub>
              </m:sSub>
            </m:e>
          </m:d>
          <m:r>
            <m:t>  </m:t>
          </m:r>
          <m:r>
            <m:t>c</m:t>
          </m:r>
          <m:r>
            <m:rPr>
              <m:sty m:val="p"/>
            </m:rPr>
            <m:t>∈</m:t>
          </m:r>
          <m:r>
            <m:rPr>
              <m:nor/>
              <m:sty m:val="p"/>
            </m:rPr>
            <m:t>range</m:t>
          </m:r>
          <m:r>
            <m:t>  </m:t>
          </m:r>
          <m:r>
            <m:rPr>
              <m:sty m:val="p"/>
            </m:rPr>
            <m:t>(</m:t>
          </m:r>
          <m:r>
            <m:t>9.1</m:t>
          </m:r>
          <m:r>
            <m:rPr>
              <m:sty m:val="p"/>
            </m:rPr>
            <m:t>)</m:t>
          </m:r>
        </m:oMath>
      </m:oMathPara>
      <w:bookmarkEnd w:id="233"/>
    </w:p>
    <w:p>
      <w:pPr>
        <w:pStyle w:val="FirstParagraph"/>
      </w:pPr>
      <w:r>
        <w:t xml:space="preserve">AquaMaps values</w:t>
      </w:r>
      <w:r>
        <w:t xml:space="preserve"> </w:t>
      </w:r>
      <w:r>
        <w:rPr>
          <w:b/>
          <w:bCs/>
        </w:rPr>
        <w:t xml:space="preserve">beyond</w:t>
      </w:r>
      <w:r>
        <w:t xml:space="preserve"> </w:t>
      </w:r>
      <w:r>
        <w:t xml:space="preserve">the range are masked away. An environmental-envelope model will happily predict suitable habitat far outside where a species is known to occur; the expert range is what stops that prediction becoming an assertion of presence.</w:t>
      </w:r>
    </w:p>
    <w:p>
      <w:pPr>
        <w:pStyle w:val="BodyText"/>
      </w:pPr>
      <w:r>
        <w:t xml:space="preserve">Where a taxon has</w:t>
      </w:r>
      <w:r>
        <w:t xml:space="preserve"> </w:t>
      </w:r>
      <w:r>
        <w:rPr>
          <w:b/>
          <w:bCs/>
        </w:rPr>
        <w:t xml:space="preserve">no expert range anywhere</w:t>
      </w:r>
      <w:r>
        <w:t xml:space="preserve">, there is nothing to constrain it against, so its raw AquaMaps footprint is kept as-is.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Applications/quarto/share/formats/docx/important.png" id="235"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“Has a range”</w:t>
            </w:r>
            <w:r>
              <w:t xml:space="preserve"> </w:t>
            </w:r>
            <w:r>
              <w:t xml:space="preserve">is a</w:t>
            </w:r>
            <w:r>
              <w:t xml:space="preserve"> </w:t>
            </w:r>
            <w:r>
              <w:rPr>
                <w:b/>
                <w:bCs/>
              </w:rPr>
              <w:t xml:space="preserve">global</w:t>
            </w:r>
            <w:r>
              <w:t xml:space="preserve"> </w:t>
            </w:r>
            <w:r>
              <w:t xml:space="preserve">question, not a local one</w:t>
            </w:r>
          </w:p>
        </w:tc>
      </w:tr>
      <w:tr>
        <w:trPr>
          <w:cantSplit/>
        </w:trPr>
        <w:tc>
          <w:tcPr>
            <w:tcMar>
              <w:top w:w="108" w:type="dxa"/>
              <w:bottom w:w="108" w:type="dxa"/>
            </w:tcMar>
          </w:tcPr>
          <w:p>
            <w:pPr>
              <w:pStyle w:val="BodyText"/>
            </w:pPr>
            <w:pPr>
              <w:spacing w:before="16"/>
            </w:pPr>
            <w:r>
              <w:t xml:space="preserve">Whether a taxon counts as range-constrained is decided on its range</w:t>
            </w:r>
            <w:r>
              <w:t xml:space="preserve"> </w:t>
            </w:r>
            <w:r>
              <w:rPr>
                <w:b/>
                <w:bCs/>
              </w:rPr>
              <w:t xml:space="preserve">anywhere in the world</w:t>
            </w:r>
            <w:r>
              <w:t xml:space="preserve">, not on whether that range reaches the study area.</w:t>
            </w:r>
          </w:p>
          <w:p>
            <w:pPr>
              <w:pStyle w:val="BodyText"/>
            </w:pPr>
            <w:r>
              <w:t xml:space="preserve">That distinction is the entire mechanism for excluding species whose expert range lies wholly outside US waters. Such a species has an expert range, so it takes the range-constrained path; its range ∩ US is empty, so it contributes</w:t>
            </w:r>
            <w:r>
              <w:t xml:space="preserve"> </w:t>
            </w:r>
            <w:r>
              <w:rPr>
                <w:b/>
                <w:bCs/>
              </w:rPr>
              <w:t xml:space="preserve">no US cells</w:t>
            </w:r>
            <w:r>
              <w:t xml:space="preserve">. Deciding instead on</w:t>
            </w:r>
            <w:r>
              <w:t xml:space="preserve"> </w:t>
            </w:r>
            <w:r>
              <w:t xml:space="preserve">“has a range</w:t>
            </w:r>
            <w:r>
              <w:t xml:space="preserve"> </w:t>
            </w:r>
            <w:r>
              <w:rPr>
                <w:i/>
                <w:iCs/>
              </w:rPr>
              <w:t xml:space="preserve">in the US</w:t>
            </w:r>
            <w:r>
              <w:t xml:space="preserve">”</w:t>
            </w:r>
            <w:r>
              <w:t xml:space="preserve"> </w:t>
            </w:r>
            <w:r>
              <w:t xml:space="preserve">would push those same species onto the unconstrained AquaMaps path and re-admit roughly</w:t>
            </w:r>
            <w:r>
              <w:t xml:space="preserve"> </w:t>
            </w:r>
            <w:r>
              <w:rPr>
                <w:b/>
                <w:bCs/>
              </w:rPr>
              <w:t xml:space="preserve">750</w:t>
            </w:r>
            <w:r>
              <w:t xml:space="preserve"> </w:t>
            </w:r>
            <w:r>
              <w:t xml:space="preserve">of them — river dolphins such as</w:t>
            </w:r>
            <w:r>
              <w:t xml:space="preserve"> </w:t>
            </w:r>
            <w:r>
              <w:rPr>
                <w:i/>
                <w:iCs/>
              </w:rPr>
              <w:t xml:space="preserve">Sotalia guianensis</w:t>
            </w:r>
            <w:r>
              <w:t xml:space="preserve"> </w:t>
            </w:r>
            <w:r>
              <w:t xml:space="preserve">among them — on the strength of edge-of-range model artifacts that expert assessment places nowhere near the US.</w:t>
            </w:r>
          </w:p>
          <w:p>
            <w:pPr>
              <w:pStyle w:val="BodyText"/>
            </w:pPr>
            <w:pPr>
              <w:spacing w:after="16"/>
            </w:pPr>
            <w:r>
              <w:t xml:space="preserve">This was a v6 fix, lost in the v8 rewrite and since restored. It is now a named regression test.</w:t>
            </w:r>
          </w:p>
          <w:p/>
        </w:tc>
      </w:tr>
    </w:tbl>
    <w:bookmarkEnd w:id="236"/>
    <w:bookmarkStart w:id="237" w:name="step-3-two-surfaces-not-one"/>
    <w:p>
      <w:pPr>
        <w:pStyle w:val="Heading3"/>
      </w:pPr>
      <w:r>
        <w:t xml:space="preserve">9.2.3 Step 3 — two surfaces, not one</w:t>
      </w:r>
    </w:p>
    <w:p>
      <w:pPr>
        <w:pStyle w:val="FirstParagraph"/>
      </w:pPr>
      <w:r>
        <w:t xml:space="preserve">Since v8 the merge emits</w:t>
      </w:r>
      <w:r>
        <w:t xml:space="preserve"> </w:t>
      </w:r>
      <w:r>
        <w:rPr>
          <w:b/>
          <w:bCs/>
        </w:rPr>
        <w:t xml:space="preserve">two</w:t>
      </w:r>
      <w:r>
        <w:t xml:space="preserve"> </w:t>
      </w:r>
      <w:r>
        <w:t xml:space="preserve">surfaces from the same rules, because they answer different</w:t>
      </w:r>
      <w:r>
        <w:t xml:space="preserve"> </w:t>
      </w:r>
      <w:r>
        <w:t xml:space="preserve">questions:</w:t>
      </w:r>
    </w:p>
    <w:p>
      <w:pPr>
        <w:pStyle w:val="Compact"/>
        <w:numPr>
          <w:ilvl w:val="0"/>
          <w:numId w:val="1025"/>
        </w:numPr>
      </w:pPr>
      <w:r>
        <w:t xml:space="preserve">a</w:t>
      </w:r>
      <w:r>
        <w:t xml:space="preserve"> </w:t>
      </w:r>
      <w:r>
        <w:rPr>
          <w:b/>
          <w:bCs/>
        </w:rPr>
        <w:t xml:space="preserve">global</w:t>
      </w:r>
      <w:r>
        <w:t xml:space="preserve"> </w:t>
      </w:r>
      <w:r>
        <w:t xml:space="preserve">surface (expert range ∪ the taxon’s whole AquaMaps footprint) — the honest</w:t>
      </w:r>
      <w:r>
        <w:t xml:space="preserve"> </w:t>
      </w:r>
      <w:r>
        <w:t xml:space="preserve">whole-range merged model, which is what the species maps draw;</w:t>
      </w:r>
    </w:p>
    <w:p>
      <w:pPr>
        <w:pStyle w:val="Compact"/>
        <w:numPr>
          <w:ilvl w:val="0"/>
          <w:numId w:val="1025"/>
        </w:numPr>
      </w:pPr>
      <w:r>
        <w:t xml:space="preserve">a</w:t>
      </w:r>
      <w:r>
        <w:t xml:space="preserve"> </w:t>
      </w:r>
      <w:r>
        <w:rPr>
          <w:b/>
          <w:bCs/>
        </w:rPr>
        <w:t xml:space="preserve">US scoring</w:t>
      </w:r>
      <w:r>
        <w:t xml:space="preserve"> </w:t>
      </w:r>
      <w:r>
        <w:t xml:space="preserve">surface — the range-constrained, US-clipped result described above, which is</w:t>
      </w:r>
      <w:r>
        <w:t xml:space="preserve"> </w:t>
      </w:r>
      <w:r>
        <w:t xml:space="preserve">what the scores are computed from.</w:t>
      </w:r>
    </w:p>
    <w:p>
      <w:pPr>
        <w:pStyle w:val="FirstParagraph"/>
      </w:pPr>
      <w:r>
        <w:t xml:space="preserve">Earlier releases produced only the second, so a species map showed the analysis extent rather</w:t>
      </w:r>
      <w:r>
        <w:t xml:space="preserve"> </w:t>
      </w:r>
      <w:r>
        <w:t xml:space="preserve">than the species. Keeping both means the picture is not silently trimmed to the study area.</w:t>
      </w:r>
    </w:p>
    <w:bookmarkEnd w:id="237"/>
    <w:bookmarkStart w:id="239" w:name="Xf28f0162ad2f64640532216c0714d1feede54ed"/>
    <w:p>
      <w:pPr>
        <w:pStyle w:val="Heading3"/>
      </w:pPr>
      <w:r>
        <w:t xml:space="preserve">9.2.4 Step 4 — sea turtles multiply instead of taking a maximum</w:t>
      </w:r>
    </w:p>
    <w:p>
      <w:pPr>
        <w:pStyle w:val="FirstParagraph"/>
      </w:pPr>
      <w:r>
        <w:t xml:space="preserve">For the six sea turtle species, extinction risk</w:t>
      </w:r>
      <w:r>
        <w:t xml:space="preserve"> </w:t>
      </w:r>
      <w:r>
        <w:rPr>
          <w:b/>
          <w:bCs/>
        </w:rPr>
        <w:t xml:space="preserve">varies across the range</w:t>
      </w:r>
      <w:r>
        <w:t xml:space="preserve">: NOAA Fisheries lists Distinct Population Segments separately, so the same species can be Endangered in one region and Threatened in another. A single scalar weight cannot express that.</w:t>
      </w:r>
    </w:p>
    <w:p>
      <w:pPr>
        <w:pStyle w:val="BodyText"/>
      </w:pPr>
      <w:r>
        <w:t xml:space="preserve">So the turtle merge multiplies the DPS extinction-risk surface by the suitability surface:</w:t>
      </w:r>
    </w:p>
    <w:p>
      <w:pPr>
        <w:pStyle w:val="BodyText"/>
      </w:pPr>
      <w:bookmarkStart w:id="238" w:name="eq-merge-turtle"/>
      <m:oMathPara>
        <m:oMathParaPr>
          <m:jc m:val="center"/>
        </m:oMathParaPr>
        <m:oMath>
          <m:sSub>
            <m:e>
              <m:r>
                <m:t>v</m:t>
              </m:r>
            </m:e>
            <m:sub>
              <m:r>
                <m:t>c</m:t>
              </m:r>
            </m:sub>
          </m:sSub>
          <m:r>
            <m:rPr>
              <m:sty m:val="p"/>
            </m:rPr>
            <m:t>=</m:t>
          </m:r>
          <m:r>
            <m:rPr>
              <m:sty m:val="p"/>
            </m:rPr>
            <m:t>max</m:t>
          </m:r>
          <m:r>
            <m:t>​</m:t>
          </m:r>
          <m:d>
            <m:dPr>
              <m:begChr m:val="("/>
              <m:sepChr m:val=""/>
              <m:endChr m:val=")"/>
              <m:grow/>
            </m:dPr>
            <m:e>
              <m:r>
                <m:t>1</m:t>
              </m:r>
              <m:r>
                <m:rPr>
                  <m:sty m:val="p"/>
                </m:rPr>
                <m:t>,</m:t>
              </m:r>
              <m:r>
                <m:t> </m:t>
              </m:r>
              <m:r>
                <m:rPr>
                  <m:sty m:val="p"/>
                </m:rPr>
                <m:t>r</m:t>
              </m:r>
              <m:r>
                <m:rPr>
                  <m:sty m:val="p"/>
                </m:rPr>
                <m:t>o</m:t>
              </m:r>
              <m:r>
                <m:rPr>
                  <m:sty m:val="p"/>
                </m:rPr>
                <m:t>u</m:t>
              </m:r>
              <m:r>
                <m:rPr>
                  <m:sty m:val="p"/>
                </m:rPr>
                <m:t>n</m:t>
              </m:r>
              <m:r>
                <m:rPr>
                  <m:sty m:val="p"/>
                </m:rPr>
                <m:t>d</m:t>
              </m:r>
              <m:d>
                <m:dPr>
                  <m:begChr m:val="("/>
                  <m:sepChr m:val=""/>
                  <m:endChr m:val=")"/>
                  <m:grow/>
                </m:dPr>
                <m:e>
                  <m:f>
                    <m:fPr>
                      <m:type m:val="bar"/>
                    </m:fPr>
                    <m:num>
                      <m:sSub>
                        <m:e>
                          <m:r>
                            <m:t>v</m:t>
                          </m:r>
                        </m:e>
                        <m:sub>
                          <m:r>
                            <m:t>e</m:t>
                          </m:r>
                          <m:r>
                            <m:t>r</m:t>
                          </m:r>
                          <m:r>
                            <m:rPr>
                              <m:sty m:val="p"/>
                            </m:rPr>
                            <m:t>,</m:t>
                          </m:r>
                          <m:r>
                            <m:t>c</m:t>
                          </m:r>
                        </m:sub>
                      </m:sSub>
                      <m:r>
                        <m:rPr>
                          <m:sty m:val="p"/>
                        </m:rPr>
                        <m:t>×</m:t>
                      </m:r>
                      <m:sSub>
                        <m:e>
                          <m:r>
                            <m:t>v</m:t>
                          </m:r>
                        </m:e>
                        <m:sub>
                          <m:r>
                            <m:t>s</m:t>
                          </m:r>
                          <m:r>
                            <m:t>u</m:t>
                          </m:r>
                          <m:r>
                            <m:t>i</m:t>
                          </m:r>
                          <m:r>
                            <m:t>t</m:t>
                          </m:r>
                          <m:r>
                            <m:rPr>
                              <m:sty m:val="p"/>
                            </m:rPr>
                            <m:t>,</m:t>
                          </m:r>
                          <m:r>
                            <m:t>c</m:t>
                          </m:r>
                        </m:sub>
                      </m:sSub>
                    </m:num>
                    <m:den>
                      <m:r>
                        <m:t>100</m:t>
                      </m:r>
                    </m:den>
                  </m:f>
                </m:e>
              </m:d>
            </m:e>
          </m:d>
          <m:r>
            <m:t>  </m:t>
          </m:r>
          <m:r>
            <m:rPr>
              <m:sty m:val="p"/>
            </m:rPr>
            <m:t>(</m:t>
          </m:r>
          <m:r>
            <m:t>9.2</m:t>
          </m:r>
          <m:r>
            <m:rPr>
              <m:sty m:val="p"/>
            </m:rPr>
            <m:t>)</m:t>
          </m:r>
        </m:oMath>
      </m:oMathPara>
      <w:bookmarkEnd w:id="238"/>
    </w:p>
    <w:p>
      <w:pPr>
        <w:pStyle w:val="FirstParagraph"/>
      </w:pPr>
      <w:r>
        <w:t xml:space="preserve">Critical-habitat designations then override with a maximum, so a designated cell is never scored below its designation.</w:t>
      </w:r>
    </w:p>
    <w:p>
      <w:pPr>
        <w:pStyle w:val="BodyText"/>
      </w:pPr>
      <w:r>
        <w:t xml:space="preserve">Because risk is already inside the merged values, turtles receive</w:t>
      </w:r>
      <w:r>
        <w:t xml:space="preserve"> </w:t>
      </w:r>
      <w:r>
        <w:rPr>
          <w:rStyle w:val="VerbatimChar"/>
        </w:rPr>
        <w:t xml:space="preserve">er_score = 100</w:t>
      </w:r>
      <w:r>
        <w:t xml:space="preserve"> </w:t>
      </w:r>
      <w:r>
        <w:t xml:space="preserve">at scoring time as a pass-through multiplier (flagged</w:t>
      </w:r>
      <w:r>
        <w:t xml:space="preserve"> </w:t>
      </w:r>
      <w:r>
        <w:rPr>
          <w:rStyle w:val="VerbatimChar"/>
        </w:rPr>
        <w:t xml:space="preserve">is_er_spatial</w:t>
      </w:r>
      <w:r>
        <w:t xml:space="preserve">), which cancels in the division by 100 rather than double-counting.</w:t>
      </w:r>
    </w:p>
    <w:bookmarkEnd w:id="239"/>
    <w:bookmarkStart w:id="243" w:name="Xa2325a7132c9a674b0d8a8bf0708f988013175e"/>
    <w:p>
      <w:pPr>
        <w:pStyle w:val="Heading3"/>
      </w:pPr>
      <w:r>
        <w:t xml:space="preserve">9.2.5 Step 5 — NMFS DPS-listed species: the model stays the distribution, risk varies by cell</w:t>
      </w:r>
    </w:p>
    <w:p>
      <w:pPr>
        <w:pStyle w:val="FirstParagraph"/>
      </w:pPr>
      <w:r>
        <w:t xml:space="preserve">A second group of species carries extinction risk that varies across the range without being sea turtles: those whose ESA</w:t>
      </w:r>
      <w:r>
        <w:t xml:space="preserve"> </w:t>
      </w:r>
      <w:r>
        <w:rPr>
          <w:i/>
          <w:iCs/>
        </w:rPr>
        <w:t xml:space="preserve">listed entity</w:t>
      </w:r>
      <w:r>
        <w:t xml:space="preserve"> </w:t>
      </w:r>
      <w:r>
        <w:t xml:space="preserve">is a Distinct Population Segment, an ESU or a subspecies rather than the whole species — the humpback whale, the Southern Resident killer whale, Cook Inlet beluga, the salmon and steelhead ESUs, both sturgeons, and the others listed under</w:t>
      </w:r>
      <w:r>
        <w:t xml:space="preserve"> </w:t>
      </w:r>
      <w:r>
        <w:rPr>
          <w:i/>
          <w:iCs/>
        </w:rPr>
        <w:t xml:space="preserve">NMFS Distinct Population Segments</w:t>
      </w:r>
      <w:r>
        <w:t xml:space="preserve"> </w:t>
      </w:r>
      <w:r>
        <w:t xml:space="preserve">in</w:t>
      </w:r>
      <w:r>
        <w:t xml:space="preserve"> </w:t>
      </w:r>
      <w:hyperlink w:anchor="sec-data-sources">
        <w:r>
          <w:rPr>
            <w:rStyle w:val="Hyperlink"/>
          </w:rPr>
          <w:t xml:space="preserve">Chapter 6</w:t>
        </w:r>
      </w:hyperlink>
      <w:r>
        <w:t xml:space="preserve">. For them the pipeline builds a per-cell extinction-risk surface (</w:t>
      </w:r>
      <w:r>
        <w:rPr>
          <w:rStyle w:val="VerbatimChar"/>
        </w:rPr>
        <w:t xml:space="preserve">dps_nmfs</w:t>
      </w:r>
      <w:r>
        <w:t xml:space="preserve">): each listed entity’s designated critical habitat at that entity’s status, and the species’ baseline everywhere else in its IUCN range (the MMPA floor of 20 for a marine mammal; the IUCN category otherwise).</w:t>
      </w:r>
    </w:p>
    <w:p>
      <w:pPr>
        <w:pStyle w:val="BodyText"/>
      </w:pPr>
      <w:r>
        <w:t xml:space="preserve">These species do</w:t>
      </w:r>
      <w:r>
        <w:t xml:space="preserve"> </w:t>
      </w:r>
      <w:r>
        <w:rPr>
          <w:b/>
          <w:bCs/>
        </w:rPr>
        <w:t xml:space="preserve">not</w:t>
      </w:r>
      <w:r>
        <w:t xml:space="preserve"> </w:t>
      </w:r>
      <w:r>
        <w:t xml:space="preserve">use the turtle multiplication. Their merged value is the</w:t>
      </w:r>
      <w:r>
        <w:t xml:space="preserve"> </w:t>
      </w:r>
      <w:r>
        <w:rPr>
          <w:b/>
          <w:bCs/>
        </w:rPr>
        <w:t xml:space="preserve">distribution</w:t>
      </w:r>
      <w:r>
        <w:t xml:space="preserve"> </w:t>
      </w:r>
      <w:r>
        <w:t xml:space="preserve">— the suitability surface (AquaX, or AquaMaps where AquaX did not model the species) masked to the extinction-risk footprint, exactly the range mask every other taxon receives, with a cell that no suitability model covers valued at its risk, as in the plain rule — and the per-cell risk is carried</w:t>
      </w:r>
      <w:r>
        <w:t xml:space="preserve"> </w:t>
      </w:r>
      <w:r>
        <w:rPr>
          <w:b/>
          <w:bCs/>
        </w:rPr>
        <w:t xml:space="preserve">beside</w:t>
      </w:r>
      <w:r>
        <w:t xml:space="preserve"> </w:t>
      </w:r>
      <w:r>
        <w:t xml:space="preserve">the value rather than inside it:</w:t>
      </w:r>
    </w:p>
    <w:p>
      <w:pPr>
        <w:pStyle w:val="BodyText"/>
      </w:pPr>
      <w:bookmarkStart w:id="240" w:name="eq-merge-dps"/>
      <m:oMathPara>
        <m:oMathParaPr>
          <m:jc m:val="center"/>
        </m:oMathParaPr>
        <m:oMath>
          <m:sSub>
            <m:e>
              <m:r>
                <m:t>v</m:t>
              </m:r>
            </m:e>
            <m:sub>
              <m:r>
                <m:t>c</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v</m:t>
                        </m:r>
                      </m:e>
                      <m:sub>
                        <m:r>
                          <m:t>s</m:t>
                        </m:r>
                        <m:r>
                          <m:t>u</m:t>
                        </m:r>
                        <m:r>
                          <m:t>i</m:t>
                        </m:r>
                        <m:r>
                          <m:t>t</m:t>
                        </m:r>
                        <m:r>
                          <m:rPr>
                            <m:sty m:val="p"/>
                          </m:rPr>
                          <m:t>,</m:t>
                        </m:r>
                        <m:r>
                          <m:t>c</m:t>
                        </m:r>
                      </m:sub>
                    </m:sSub>
                  </m:e>
                  <m:e>
                    <m:r>
                      <m:rPr>
                        <m:nor/>
                        <m:sty m:val="p"/>
                      </m:rPr>
                      <m:t>where a suitability model covers </m:t>
                    </m:r>
                    <m:r>
                      <m:t>c</m:t>
                    </m:r>
                  </m:e>
                </m:mr>
                <m:mr>
                  <m:e>
                    <m:sSub>
                      <m:e>
                        <m:r>
                          <m:t>v</m:t>
                        </m:r>
                      </m:e>
                      <m:sub>
                        <m:r>
                          <m:t>e</m:t>
                        </m:r>
                        <m:r>
                          <m:t>r</m:t>
                        </m:r>
                        <m:r>
                          <m:rPr>
                            <m:sty m:val="p"/>
                          </m:rPr>
                          <m:t>,</m:t>
                        </m:r>
                        <m:r>
                          <m:t>c</m:t>
                        </m:r>
                      </m:sub>
                    </m:sSub>
                  </m:e>
                  <m:e>
                    <m:r>
                      <m:rPr>
                        <m:nor/>
                        <m:sty m:val="p"/>
                      </m:rPr>
                      <m:t>otherwise</m:t>
                    </m:r>
                  </m:e>
                </m:mr>
              </m:m>
            </m:e>
          </m:d>
          <m:r>
            <m:t>  </m:t>
          </m:r>
          <m:r>
            <m:t>  </m:t>
          </m:r>
          <m:r>
            <m:t>e</m:t>
          </m:r>
          <m:sSub>
            <m:e>
              <m:r>
                <m:t>r</m:t>
              </m:r>
            </m:e>
            <m:sub>
              <m:r>
                <m:t>c</m:t>
              </m:r>
            </m:sub>
          </m:sSub>
          <m:r>
            <m:rPr>
              <m:sty m:val="p"/>
            </m:rPr>
            <m:t>=</m:t>
          </m:r>
          <m:sSub>
            <m:e>
              <m:r>
                <m:t>v</m:t>
              </m:r>
            </m:e>
            <m:sub>
              <m:r>
                <m:t>e</m:t>
              </m:r>
              <m:r>
                <m:t>r</m:t>
              </m:r>
              <m:r>
                <m:rPr>
                  <m:sty m:val="p"/>
                </m:rPr>
                <m:t>,</m:t>
              </m:r>
              <m:r>
                <m:t>c</m:t>
              </m:r>
            </m:sub>
          </m:sSub>
          <m:r>
            <m:t>  </m:t>
          </m:r>
          <m:r>
            <m:rPr>
              <m:sty m:val="p"/>
            </m:rPr>
            <m:t>(</m:t>
          </m:r>
          <m:r>
            <m:t>9.3</m:t>
          </m:r>
          <m:r>
            <m:rPr>
              <m:sty m:val="p"/>
            </m:rPr>
            <m:t>)</m:t>
          </m:r>
        </m:oMath>
      </m:oMathPara>
      <w:bookmarkEnd w:id="240"/>
    </w:p>
    <w:p>
      <w:pPr>
        <w:pStyle w:val="FirstParagraph"/>
      </w:pPr>
      <w:r>
        <w:t xml:space="preserve">Scoring then multiplies the two (</w:t>
      </w:r>
      <w:hyperlink w:anchor="sec-scoring">
        <w:r>
          <w:rPr>
            <w:rStyle w:val="Hyperlink"/>
          </w:rPr>
          <w:t xml:space="preserve">Chapter 10</w:t>
        </w:r>
      </w:hyperlink>
      <w:r>
        <w:t xml:space="preserve">), so the score is the same extinction-risk-weighted suitability the turtle rule produces — computed one step later. What changes is what the merged model</w:t>
      </w:r>
      <w:r>
        <w:t xml:space="preserve"> </w:t>
      </w:r>
      <w:r>
        <w:rPr>
          <w:i/>
          <w:iCs/>
        </w:rPr>
        <w:t xml:space="preserve">shows</w:t>
      </w:r>
      <w:r>
        <w:t xml:space="preserve">: under the turtle rule the humpback, whose risk is the MMPA baseline across 99.8 % of its range, collapsed to a near-flat minimum everywhere outside critical habitat — the map drew the</w:t>
      </w:r>
      <w:r>
        <w:t xml:space="preserve"> </w:t>
      </w:r>
      <w:r>
        <w:rPr>
          <w:i/>
          <w:iCs/>
        </w:rPr>
        <w:t xml:space="preserve">weight</w:t>
      </w:r>
      <w:r>
        <w:t xml:space="preserve">, not the whale. Now the merged model is the whale’s habitat suitability, and its risk is a separate layer (</w:t>
      </w:r>
      <w:r>
        <w:rPr>
          <w:i/>
          <w:iCs/>
        </w:rPr>
        <w:t xml:space="preserve">NMFS DPS extinction risk</w:t>
      </w:r>
      <w:r>
        <w:t xml:space="preserve"> </w:t>
      </w:r>
      <w:r>
        <w:t xml:space="preserve">in the species app).</w:t>
      </w:r>
    </w:p>
    <w:p>
      <w:pPr>
        <w:pStyle w:val="BodyText"/>
      </w:pPr>
      <w:r>
        <w:t xml:space="preserve">Critical-habitat datasets are not an input for these species:</w:t>
      </w:r>
      <w:r>
        <w:t xml:space="preserve"> </w:t>
      </w:r>
      <w:r>
        <w:rPr>
          <w:rStyle w:val="VerbatimChar"/>
        </w:rPr>
        <w:t xml:space="preserve">dps_nmfs</w:t>
      </w:r>
      <w:r>
        <w:t xml:space="preserve"> </w:t>
      </w:r>
      <w:r>
        <w:t xml:space="preserve">already carries every designation at its own entity’s status, whereas the generic critical-habitat layers carry the species-level status (Endangered for the humpback) and would override the Threatened Mexico DPS habitat back to Endangered.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1" name="Picture"/>
                  <a:graphic>
                    <a:graphicData uri="http://schemas.openxmlformats.org/drawingml/2006/picture">
                      <pic:pic>
                        <pic:nvPicPr>
                          <pic:cNvPr descr="/Applications/quarto/share/formats/docx/note.png" id="24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Three merge strategies</w:t>
            </w:r>
          </w:p>
        </w:tc>
      </w:tr>
      <w:tr>
        <w:trPr>
          <w:cantSplit/>
        </w:trPr>
        <w:tc>
          <w:tcPr>
            <w:tcMar>
              <w:top w:w="108" w:type="dxa"/>
              <w:bottom w:w="108" w:type="dxa"/>
            </w:tcMar>
          </w:tcPr>
          <w:p>
            <w:pPr>
              <w:pStyle w:val="Compact"/>
              <w:numPr>
                <w:ilvl w:val="0"/>
                <w:numId w:val="1026"/>
              </w:numPr>
            </w:pPr>
            <w:r>
              <w:rPr>
                <w:b/>
                <w:bCs/>
              </w:rPr>
              <w:t xml:space="preserve">Most taxa</w:t>
            </w:r>
            <w:r>
              <w:t xml:space="preserve"> </w:t>
            </w:r>
            <w:r>
              <w:t xml:space="preserve">— range-constrained maximum, then a</w:t>
            </w:r>
            <w:r>
              <w:t xml:space="preserve"> </w:t>
            </w:r>
            <w:r>
              <w:rPr>
                <w:b/>
                <w:bCs/>
              </w:rPr>
              <w:t xml:space="preserve">scalar</w:t>
            </w:r>
            <w:r>
              <w:t xml:space="preserve"> </w:t>
            </w:r>
            <w:r>
              <w:t xml:space="preserve">extinction-risk weight at scoring time.</w:t>
            </w:r>
          </w:p>
          <w:p>
            <w:pPr>
              <w:pStyle w:val="Compact"/>
              <w:numPr>
                <w:ilvl w:val="0"/>
                <w:numId w:val="1026"/>
              </w:numPr>
            </w:pPr>
            <w:r>
              <w:rPr>
                <w:b/>
                <w:bCs/>
              </w:rPr>
              <w:t xml:space="preserve">Sea turtles</w:t>
            </w:r>
            <w:r>
              <w:t xml:space="preserve"> </w:t>
            </w:r>
            <w:r>
              <w:t xml:space="preserve">— an extinction-risk</w:t>
            </w:r>
            <w:r>
              <w:t xml:space="preserve"> </w:t>
            </w:r>
            <w:r>
              <w:rPr>
                <w:b/>
                <w:bCs/>
              </w:rPr>
              <w:t xml:space="preserve">raster</w:t>
            </w:r>
            <w:r>
              <w:t xml:space="preserve"> </w:t>
            </w:r>
            <w:r>
              <w:t xml:space="preserve">multiplied into the merged model, so risk varies spatially within the species.</w:t>
            </w:r>
          </w:p>
          <w:p>
            <w:pPr>
              <w:pStyle w:val="Compact"/>
              <w:numPr>
                <w:ilvl w:val="0"/>
                <w:numId w:val="1026"/>
              </w:numPr>
            </w:pPr>
            <w:r>
              <w:rPr>
                <w:b/>
                <w:bCs/>
              </w:rPr>
              <w:t xml:space="preserve">NMFS DPS-listed species</w:t>
            </w:r>
            <w:r>
              <w:t xml:space="preserve"> </w:t>
            </w:r>
            <w:r>
              <w:t xml:space="preserve">— the merged model is the suitability; an extinction-risk</w:t>
            </w:r>
            <w:r>
              <w:t xml:space="preserve"> </w:t>
            </w:r>
            <w:r>
              <w:rPr>
                <w:b/>
                <w:bCs/>
              </w:rPr>
              <w:t xml:space="preserve">raster</w:t>
            </w:r>
            <w:r>
              <w:t xml:space="preserve"> </w:t>
            </w:r>
            <w:r>
              <w:t xml:space="preserve">is kept beside it and multiplied in at scoring time.</w:t>
            </w:r>
          </w:p>
          <w:p/>
        </w:tc>
      </w:tr>
    </w:tbl>
    <w:bookmarkEnd w:id="243"/>
    <w:bookmarkEnd w:id="244"/>
    <w:bookmarkStart w:id="245" w:name="where-extinction-risk-enters"/>
    <w:p>
      <w:pPr>
        <w:pStyle w:val="Heading2"/>
      </w:pPr>
      <w:r>
        <w:t xml:space="preserve">9.3 Where extinction risk enters</w:t>
      </w:r>
    </w:p>
    <w:p>
      <w:pPr>
        <w:pStyle w:val="FirstParagraph"/>
      </w:pPr>
      <w:r>
        <w:t xml:space="preserve">The governing</w:t>
      </w:r>
      <w:r>
        <w:t xml:space="preserve"> </w:t>
      </w:r>
      <w:r>
        <w:rPr>
          <w:rStyle w:val="VerbatimChar"/>
        </w:rPr>
        <w:t xml:space="preserve">er_score</w:t>
      </w:r>
      <w:r>
        <w:t xml:space="preserve"> </w:t>
      </w:r>
      <w:r>
        <w:t xml:space="preserve">(</w:t>
      </w:r>
      <w:hyperlink w:anchor="sec-extinction-risk">
        <w:r>
          <w:rPr>
            <w:rStyle w:val="Hyperlink"/>
          </w:rPr>
          <w:t xml:space="preserve">Chapter 8</w:t>
        </w:r>
      </w:hyperlink>
      <w:r>
        <w:t xml:space="preserve">) is applied</w:t>
      </w:r>
      <w:r>
        <w:t xml:space="preserve"> </w:t>
      </w:r>
      <w:r>
        <w:rPr>
          <w:b/>
          <w:bCs/>
        </w:rPr>
        <w:t xml:space="preserve">at merge time</w:t>
      </w:r>
      <w:r>
        <w:t xml:space="preserve">, valuing the range cells — the point at which a species’ presence in a cell should carry its governing risk rather than whatever code the contributing dataset happened to record. Applying it later, at scoring, would lose that: the merged surface would carry source-specific codes that may be stale or out of jurisdiction. The NMFS DPS-listed species are the deliberate exception: their risk is a per-cell surface built from the listings themselves, so it is carried beside the merged value and applied at scoring, where the per-cell weight replaces the scalar one.</w:t>
      </w:r>
    </w:p>
    <w:bookmarkEnd w:id="245"/>
    <w:bookmarkStart w:id="246" w:name="the-statutory-floors"/>
    <w:p>
      <w:pPr>
        <w:pStyle w:val="Heading2"/>
      </w:pPr>
      <w:r>
        <w:t xml:space="preserve">9.4 The statutory floors</w:t>
      </w:r>
    </w:p>
    <w:p>
      <w:pPr>
        <w:pStyle w:val="FirstParagraph"/>
      </w:pPr>
      <w:r>
        <w:t xml:space="preserve">The MMPA (20) and MBTA (10) floors are part of the governing</w:t>
      </w:r>
      <w:r>
        <w:t xml:space="preserve"> </w:t>
      </w:r>
      <w:r>
        <w:rPr>
          <w:rStyle w:val="VerbatimChar"/>
        </w:rPr>
        <w:t xml:space="preserve">er_score</w:t>
      </w:r>
      <w:r>
        <w:t xml:space="preserve">, not a separate pass over the cells. A marine mammal’s range cells therefore carry at least 20 wherever it is present, and a CFR 50 §10.13 migratory bird at least 10 — see</w:t>
      </w:r>
      <w:r>
        <w:t xml:space="preserve"> </w:t>
      </w:r>
      <w:hyperlink w:anchor="sec-extinction-risk">
        <w:r>
          <w:rPr>
            <w:rStyle w:val="Hyperlink"/>
          </w:rPr>
          <w:t xml:space="preserve">Chapter 8</w:t>
        </w:r>
      </w:hyperlink>
      <w:r>
        <w:t xml:space="preserve"> </w:t>
      </w:r>
      <w:r>
        <w:t xml:space="preserve">for how each flag is assigned, and why the MBTA one is a species list rather than</w:t>
      </w:r>
      <w:r>
        <w:t xml:space="preserve"> </w:t>
      </w:r>
      <w:r>
        <w:t xml:space="preserve">“all birds”</w:t>
      </w:r>
      <w:r>
        <w:t xml:space="preserve">.</w:t>
      </w:r>
    </w:p>
    <w:bookmarkEnd w:id="246"/>
    <w:bookmarkStart w:id="247" w:name="persisted-output"/>
    <w:p>
      <w:pPr>
        <w:pStyle w:val="Heading2"/>
      </w:pPr>
      <w:r>
        <w:t xml:space="preserve">9.5 Persisted output</w:t>
      </w:r>
    </w:p>
    <w:p>
      <w:pPr>
        <w:pStyle w:val="FirstParagraph"/>
      </w:pPr>
      <w:r>
        <w:t xml:space="preserve">The merged result is stored as:</w:t>
      </w:r>
    </w:p>
    <w:p>
      <w:pPr>
        <w:pStyle w:val="Compact"/>
        <w:numPr>
          <w:ilvl w:val="0"/>
          <w:numId w:val="1027"/>
        </w:numPr>
      </w:pPr>
      <w:r>
        <w:rPr>
          <w:rStyle w:val="VerbatimChar"/>
          <w:b/>
          <w:bCs/>
        </w:rPr>
        <w:t xml:space="preserve">model</w:t>
      </w:r>
      <w:r>
        <w:t xml:space="preserve"> </w:t>
      </w:r>
      <w:r>
        <w:t xml:space="preserve">— one row per merged model, keyed by</w:t>
      </w:r>
      <w:r>
        <w:t xml:space="preserve"> </w:t>
      </w:r>
      <w:r>
        <w:rPr>
          <w:rStyle w:val="VerbatimChar"/>
        </w:rPr>
        <w:t xml:space="preserve">mdl_key</w:t>
      </w:r>
      <w:r>
        <w:t xml:space="preserve">.</w:t>
      </w:r>
    </w:p>
    <w:p>
      <w:pPr>
        <w:pStyle w:val="Compact"/>
        <w:numPr>
          <w:ilvl w:val="0"/>
          <w:numId w:val="1027"/>
        </w:numPr>
      </w:pPr>
      <w:r>
        <w:rPr>
          <w:rStyle w:val="VerbatimChar"/>
          <w:b/>
          <w:bCs/>
        </w:rPr>
        <w:t xml:space="preserve">model_cell</w:t>
      </w:r>
      <w:r>
        <w:t xml:space="preserve"> </w:t>
      </w:r>
      <w:r>
        <w:t xml:space="preserve">— one row per model × cell, holding the merged value in</w:t>
      </w:r>
      <w:r>
        <w:t xml:space="preserve"> </w:t>
      </w:r>
      <w:r>
        <w:rPr>
          <w:rStyle w:val="VerbatimChar"/>
        </w:rPr>
        <w:t xml:space="preserve">val</w:t>
      </w:r>
      <w:r>
        <w:t xml:space="preserve">.</w:t>
      </w:r>
    </w:p>
    <w:p>
      <w:pPr>
        <w:pStyle w:val="FirstParagraph"/>
      </w:pPr>
      <w:r>
        <w:rPr>
          <w:rStyle w:val="VerbatimChar"/>
        </w:rPr>
        <w:t xml:space="preserve">mdl_key</w:t>
      </w:r>
      <w:r>
        <w:t xml:space="preserve"> </w:t>
      </w:r>
      <w:r>
        <w:t xml:space="preserve">is a</w:t>
      </w:r>
      <w:r>
        <w:t xml:space="preserve"> </w:t>
      </w:r>
      <w:r>
        <w:rPr>
          <w:b/>
          <w:bCs/>
        </w:rPr>
        <w:t xml:space="preserve">stable</w:t>
      </w:r>
      <w:r>
        <w:t xml:space="preserve"> </w:t>
      </w:r>
      <w:r>
        <w:t xml:space="preserve">identifier of the form</w:t>
      </w:r>
      <w:r>
        <w:t xml:space="preserve"> </w:t>
      </w:r>
      <w:r>
        <w:rPr>
          <w:rStyle w:val="VerbatimChar"/>
        </w:rPr>
        <w:t xml:space="preserve">{dataset}|{species}</w:t>
      </w:r>
      <w:r>
        <w:t xml:space="preserve"> </w:t>
      </w:r>
      <w:r>
        <w:t xml:space="preserve">—</w:t>
      </w:r>
      <w:r>
        <w:t xml:space="preserve"> </w:t>
      </w:r>
      <w:r>
        <w:rPr>
          <w:rStyle w:val="VerbatimChar"/>
        </w:rPr>
        <w:t xml:space="preserve">am|Fis-29291</w:t>
      </w:r>
      <w:r>
        <w:t xml:space="preserve">,</w:t>
      </w:r>
      <w:r>
        <w:t xml:space="preserve"> </w:t>
      </w:r>
      <w:r>
        <w:rPr>
          <w:rStyle w:val="VerbatimChar"/>
        </w:rPr>
        <w:t xml:space="preserve">ms_merge|WORMS:137209</w:t>
      </w:r>
      <w:r>
        <w:t xml:space="preserve">. It replaced an auto-increment id that renumbered on every rebuild,</w:t>
      </w:r>
      <w:r>
        <w:t xml:space="preserve"> </w:t>
      </w:r>
      <w:r>
        <w:t xml:space="preserve">which broke every saved link to a model.</w:t>
      </w:r>
    </w:p>
    <w:bookmarkEnd w:id="247"/>
    <w:bookmarkStart w:id="248" w:name="validity-after-merging"/>
    <w:p>
      <w:pPr>
        <w:pStyle w:val="Heading2"/>
      </w:pPr>
      <w:r>
        <w:t xml:space="preserve">9.6 Validity after merging</w:t>
      </w:r>
    </w:p>
    <w:p>
      <w:pPr>
        <w:pStyle w:val="FirstParagraph"/>
      </w:pPr>
      <w:r>
        <w:t xml:space="preserve">A taxon is flagged valid once merging has run, on the criteria in</w:t>
      </w:r>
      <w:r>
        <w:t xml:space="preserve"> </w:t>
      </w:r>
      <w:hyperlink w:anchor="sec-taxonomy">
        <w:r>
          <w:rPr>
            <w:rStyle w:val="Hyperlink"/>
          </w:rPr>
          <w:t xml:space="preserve">Chapter 7</w:t>
        </w:r>
      </w:hyperlink>
      <w:r>
        <w:t xml:space="preserve"> </w:t>
      </w:r>
      <w:r>
        <w:t xml:space="preserve">— chiefly that it resolved to a taxon, is marine and not extinct, and has at least one merged cell in the study area. Program-Area overlap is</w:t>
      </w:r>
      <w:r>
        <w:t xml:space="preserve"> </w:t>
      </w:r>
      <w:r>
        <w:rPr>
          <w:b/>
          <w:bCs/>
        </w:rPr>
        <w:t xml:space="preserve">not</w:t>
      </w:r>
      <w:r>
        <w:t xml:space="preserve"> </w:t>
      </w:r>
      <w:r>
        <w:t xml:space="preserve">among them from v7 onward; it is a spatial question answered later.</w:t>
      </w:r>
    </w:p>
    <w:p>
      <w:pPr>
        <w:pStyle w:val="BodyText"/>
      </w:pPr>
      <w:r>
        <w:t xml:space="preserve">In v9 this yields</w:t>
      </w:r>
      <w:r>
        <w:t xml:space="preserve"> </w:t>
      </w:r>
      <w:r>
        <w:rPr>
          <w:b/>
          <w:bCs/>
        </w:rPr>
        <w:t xml:space="preserve">17,130 valid species</w:t>
      </w:r>
      <w:r>
        <w:t xml:space="preserve"> </w:t>
      </w:r>
      <w:r>
        <w:t xml:space="preserve">across the study area, of which</w:t>
      </w:r>
      <w:r>
        <w:t xml:space="preserve"> </w:t>
      </w:r>
      <w:r>
        <w:rPr>
          <w:b/>
          <w:bCs/>
        </w:rPr>
        <w:t xml:space="preserve">9,576</w:t>
      </w:r>
      <w:r>
        <w:t xml:space="preserve"> </w:t>
      </w:r>
      <w:r>
        <w:t xml:space="preserve">contribute to scores within the 20 BOEM Program Areas of the current program cycle.</w:t>
      </w:r>
    </w:p>
    <w:bookmarkEnd w:id="248"/>
    <w:bookmarkStart w:id="249" w:name="guarding-the-rules"/>
    <w:p>
      <w:pPr>
        <w:pStyle w:val="Heading2"/>
      </w:pPr>
      <w:r>
        <w:t xml:space="preserve">9.7 Guarding the rules</w:t>
      </w:r>
    </w:p>
    <w:p>
      <w:pPr>
        <w:pStyle w:val="FirstParagraph"/>
      </w:pPr>
      <w:r>
        <w:t xml:space="preserve">Every merge category has a synthetic fixture in the</w:t>
      </w:r>
      <w:r>
        <w:t xml:space="preserve"> </w:t>
      </w:r>
      <w:r>
        <w:rPr>
          <w:rStyle w:val="VerbatimChar"/>
        </w:rPr>
        <w:t xml:space="preserve">msens</w:t>
      </w:r>
      <w:r>
        <w:t xml:space="preserve"> </w:t>
      </w:r>
      <w:r>
        <w:t xml:space="preserve">test suite asserting its exact expected output: range-only, both-masked, range-outside-the-US excluded, AquaMaps-only single-model, AquaMaps-only multi-model (which must</w:t>
      </w:r>
      <w:r>
        <w:t xml:space="preserve"> </w:t>
      </w:r>
      <w:r>
        <w:rPr>
          <w:b/>
          <w:bCs/>
        </w:rPr>
        <w:t xml:space="preserve">not</w:t>
      </w:r>
      <w:r>
        <w:t xml:space="preserve"> </w:t>
      </w:r>
      <w:r>
        <w:t xml:space="preserve">deduplicate), and the multiplicative turtle case.</w:t>
      </w:r>
    </w:p>
    <w:p>
      <w:pPr>
        <w:pStyle w:val="BodyText"/>
      </w:pPr>
      <w:r>
        <w:t xml:space="preserve">This is deliberate. Whole-pipeline checks — the version-equivalence gate on Program-Area scores, and the content-hash checkpoints — catch</w:t>
      </w:r>
      <w:r>
        <w:t xml:space="preserve"> </w:t>
      </w:r>
      <w:r>
        <w:rPr>
          <w:i/>
          <w:iCs/>
        </w:rPr>
        <w:t xml:space="preserve">aggregate</w:t>
      </w:r>
      <w:r>
        <w:t xml:space="preserve"> </w:t>
      </w:r>
      <w:r>
        <w:t xml:space="preserve">drift, but they hide rule-level breakage: the ~750 wrongly-included species above moved aggregate scores almost not at all while being scientifically wrong. A category with no fixture is a category that can break silently.</w:t>
      </w:r>
    </w:p>
    <w:bookmarkEnd w:id="249"/>
    <w:bookmarkEnd w:id="250"/>
    <w:bookmarkStart w:id="291" w:name="sec-scoring"/>
    <w:p>
      <w:pPr>
        <w:pStyle w:val="Heading1"/>
      </w:pPr>
      <w:r>
        <w:t xml:space="preserve">10. Scoring</w:t>
      </w:r>
    </w:p>
    <w:p>
      <w:pPr>
        <w:pStyle w:val="FirstParagraph"/>
      </w:pPr>
      <w:r>
        <w:t xml:space="preserve">Scoring turns merged species distributions and extinction-risk weights into per-cell sensitivity metrics, which are then rescaled within ecoregions and aggregated to management zones.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Applications/quarto/share/formats/docx/tip.png" id="252"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pipeline — input rasters, merge, ecoregional rescaling and component averaging, step by step.</w:t>
            </w:r>
          </w:p>
          <w:p/>
        </w:tc>
      </w:tr>
    </w:tbl>
    <w:bookmarkStart w:id="257" w:name="cell-level-scoring"/>
    <w:p>
      <w:pPr>
        <w:pStyle w:val="Heading2"/>
      </w:pPr>
      <w:r>
        <w:t xml:space="preserve">10.1 Cell-level scoring</w:t>
      </w:r>
    </w:p>
    <w:p>
      <w:pPr>
        <w:pStyle w:val="FirstParagraph"/>
      </w:pPr>
      <w:r>
        <w:t xml:space="preserve">For each cell, sensitivity is the extinction-risk-weighted sum of species presence within a species category:</w:t>
      </w:r>
    </w:p>
    <w:p>
      <w:pPr>
        <w:pStyle w:val="BodyText"/>
      </w:pPr>
      <w:bookmarkStart w:id="253" w:name="eq-cell-scor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f>
                <m:fPr>
                  <m:type m:val="bar"/>
                </m:fPr>
                <m:num>
                  <m:sSub>
                    <m:e>
                      <m:r>
                        <m:rPr>
                          <m:nor/>
                          <m:sty m:val="p"/>
                        </m:rPr>
                        <m:t>er_score</m:t>
                      </m:r>
                    </m:e>
                    <m:sub>
                      <m:r>
                        <m:t>s</m:t>
                      </m:r>
                    </m:sub>
                  </m:sSub>
                  <m:r>
                    <m:rPr>
                      <m:sty m:val="p"/>
                    </m:rPr>
                    <m:t>×</m:t>
                  </m:r>
                  <m:sSub>
                    <m:e>
                      <m:r>
                        <m:t>v</m:t>
                      </m:r>
                    </m:e>
                    <m:sub>
                      <m:r>
                        <m:t>s</m:t>
                      </m:r>
                      <m:r>
                        <m:rPr>
                          <m:sty m:val="p"/>
                        </m:rPr>
                        <m:t>,</m:t>
                      </m:r>
                      <m:r>
                        <m:t>c</m:t>
                      </m:r>
                    </m:sub>
                  </m:sSub>
                </m:num>
                <m:den>
                  <m:r>
                    <m:t>100</m:t>
                  </m:r>
                </m:den>
              </m:f>
            </m:e>
          </m:nary>
          <m:r>
            <m:t>  </m:t>
          </m:r>
          <m:r>
            <m:rPr>
              <m:sty m:val="p"/>
            </m:rPr>
            <m:t>(</m:t>
          </m:r>
          <m:r>
            <m:t>10.1</m:t>
          </m:r>
          <m:r>
            <m:rPr>
              <m:sty m:val="p"/>
            </m:rPr>
            <m:t>)</m:t>
          </m:r>
        </m:oMath>
      </m:oMathPara>
      <w:bookmarkEnd w:id="253"/>
    </w:p>
    <w:p>
      <w:pPr>
        <w:pStyle w:val="FirstParagraph"/>
      </w:pPr>
      <w:r>
        <w:t xml:space="preserve">where</w:t>
      </w:r>
      <w:r>
        <w:t xml:space="preserve"> </w:t>
      </w:r>
      <m:oMath>
        <m:sSub>
          <m:e>
            <m:r>
              <m:rPr>
                <m:nor/>
                <m:sty m:val="p"/>
              </m:rPr>
              <m:t>score</m:t>
            </m:r>
          </m:e>
          <m:sub>
            <m:r>
              <m:t>c</m:t>
            </m:r>
            <m:r>
              <m:rPr>
                <m:sty m:val="p"/>
              </m:rPr>
              <m:t>,</m:t>
            </m:r>
            <m:r>
              <m:t>g</m:t>
            </m:r>
          </m:sub>
        </m:sSub>
      </m:oMath>
      <w:r>
        <w:t xml:space="preserve"> </w:t>
      </w:r>
      <w:r>
        <w:t xml:space="preserve">is the score for cell</w:t>
      </w:r>
      <w:r>
        <w:t xml:space="preserve"> </w:t>
      </w:r>
      <m:oMath>
        <m:r>
          <m:t>c</m:t>
        </m:r>
      </m:oMath>
      <w:r>
        <w:t xml:space="preserve"> </w:t>
      </w:r>
      <w:r>
        <w:t xml:space="preserve">and category</w:t>
      </w:r>
      <w:r>
        <w:t xml:space="preserve"> </w:t>
      </w:r>
      <m:oMath>
        <m:r>
          <m:t>g</m:t>
        </m:r>
      </m:oMath>
      <w:r>
        <w:t xml:space="preserve">;</w:t>
      </w:r>
      <w:r>
        <w:t xml:space="preserve"> </w:t>
      </w:r>
      <m:oMath>
        <m:sSub>
          <m:e>
            <m:r>
              <m:rPr>
                <m:nor/>
                <m:sty m:val="p"/>
              </m:rPr>
              <m:t>er_score</m:t>
            </m:r>
          </m:e>
          <m:sub>
            <m:r>
              <m:t>s</m:t>
            </m:r>
          </m:sub>
        </m:sSub>
      </m:oMath>
      <w:r>
        <w:t xml:space="preserve"> </w:t>
      </w:r>
      <w:r>
        <w:t xml:space="preserve">is species</w:t>
      </w:r>
      <w:r>
        <w:t xml:space="preserve"> </w:t>
      </w:r>
      <m:oMath>
        <m:r>
          <m:t>s</m:t>
        </m:r>
      </m:oMath>
      <w:r>
        <w:t xml:space="preserve">’s extinction-risk weight (1–100,</w:t>
      </w:r>
      <w:r>
        <w:t xml:space="preserve"> </w:t>
      </w:r>
      <w:hyperlink w:anchor="sec-extinction-risk">
        <w:r>
          <w:rPr>
            <w:rStyle w:val="Hyperlink"/>
          </w:rPr>
          <w:t xml:space="preserve">Chapter 8</w:t>
        </w:r>
      </w:hyperlink>
      <w:r>
        <w:t xml:space="preserve">);</w:t>
      </w:r>
      <w:r>
        <w:t xml:space="preserve"> </w:t>
      </w:r>
      <m:oMath>
        <m:sSub>
          <m:e>
            <m:r>
              <m:t>v</m:t>
            </m:r>
          </m:e>
          <m:sub>
            <m:r>
              <m:t>s</m:t>
            </m:r>
            <m:r>
              <m:rPr>
                <m:sty m:val="p"/>
              </m:rPr>
              <m:t>,</m:t>
            </m:r>
            <m:r>
              <m:t>c</m:t>
            </m:r>
          </m:sub>
        </m:sSub>
      </m:oMath>
      <w:r>
        <w:t xml:space="preserve"> </w:t>
      </w:r>
      <w:r>
        <w:t xml:space="preserve">is the merged model value for that species in that cell (0–100,</w:t>
      </w:r>
      <w:r>
        <w:t xml:space="preserve"> </w:t>
      </w:r>
      <w:hyperlink w:anchor="sec-model-merging">
        <w:r>
          <w:rPr>
            <w:rStyle w:val="Hyperlink"/>
          </w:rPr>
          <w:t xml:space="preserve">Chapter 9</w:t>
        </w:r>
      </w:hyperlink>
      <w:r>
        <w:t xml:space="preserve">); and</w:t>
      </w:r>
      <w:r>
        <w:t xml:space="preserve"> </w:t>
      </w:r>
      <m:oMath>
        <m:sSub>
          <m:e>
            <m:r>
              <m:t>S</m:t>
            </m:r>
          </m:e>
          <m:sub>
            <m:r>
              <m:t>g</m:t>
            </m:r>
          </m:sub>
        </m:sSub>
      </m:oMath>
      <w:r>
        <w:t xml:space="preserve"> </w:t>
      </w:r>
      <w:r>
        <w:t xml:space="preserve">is the number of valid species in the category. Dividing by 100 returns the product to a 0–100 scale.</w:t>
      </w:r>
    </w:p>
    <w:p>
      <w:pPr>
        <w:pStyle w:val="BodyText"/>
      </w:pPr>
      <w:r>
        <w:t xml:space="preserve">In plain terms: for every cell the MST adds up the contributions of the species found there. A cell holding many species that are both likely present and at high risk scores higher — which is how places where rare or threatened species concentrate are identified.</w:t>
      </w:r>
    </w:p>
    <w:bookmarkStart w:id="256" w:name="X9548fee39c1142666b3d6db2369039667bd0516"/>
    <w:p>
      <w:pPr>
        <w:pStyle w:val="Heading3"/>
      </w:pPr>
      <w:r>
        <w:t xml:space="preserve">10.1.1 Two exceptions: species whose risk varies across the range</w:t>
      </w:r>
    </w:p>
    <w:p>
      <w:pPr>
        <w:pStyle w:val="FirstParagraph"/>
      </w:pPr>
      <w:r>
        <w:t xml:space="preserve">For sea turtles, extinction risk is already inside the merged values via the multiplicative merge (</w:t>
      </w:r>
      <w:hyperlink w:anchor="sec-model-merging">
        <w:r>
          <w:rPr>
            <w:rStyle w:val="Hyperlink"/>
          </w:rPr>
          <w:t xml:space="preserve">Chapter 9</w:t>
        </w:r>
      </w:hyperlink>
      <w:r>
        <w:t xml:space="preserve">), so the formula collapses to a plain sum:</w:t>
      </w:r>
    </w:p>
    <w:p>
      <w:pPr>
        <w:pStyle w:val="BodyText"/>
      </w:pPr>
      <w:bookmarkStart w:id="254" w:name="eq-cell-score-turtl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sSub>
                <m:e>
                  <m:r>
                    <m:t>v</m:t>
                  </m:r>
                </m:e>
                <m:sub>
                  <m:r>
                    <m:t>m</m:t>
                  </m:r>
                  <m:r>
                    <m:t>e</m:t>
                  </m:r>
                  <m:r>
                    <m:t>r</m:t>
                  </m:r>
                  <m:r>
                    <m:t>g</m:t>
                  </m:r>
                  <m:r>
                    <m:t>e</m:t>
                  </m:r>
                  <m:r>
                    <m:t>d</m:t>
                  </m:r>
                  <m:r>
                    <m:rPr>
                      <m:sty m:val="p"/>
                    </m:rPr>
                    <m:t>,</m:t>
                  </m:r>
                  <m:r>
                    <m:t>s</m:t>
                  </m:r>
                  <m:r>
                    <m:rPr>
                      <m:sty m:val="p"/>
                    </m:rPr>
                    <m:t>,</m:t>
                  </m:r>
                  <m:r>
                    <m:t>c</m:t>
                  </m:r>
                </m:sub>
              </m:sSub>
            </m:e>
          </m:nary>
          <m:r>
            <m:t>  </m:t>
          </m:r>
          <m:r>
            <m:rPr>
              <m:sty m:val="p"/>
            </m:rPr>
            <m:t>(</m:t>
          </m:r>
          <m:r>
            <m:t>10.2</m:t>
          </m:r>
          <m:r>
            <m:rPr>
              <m:sty m:val="p"/>
            </m:rPr>
            <m:t>)</m:t>
          </m:r>
        </m:oMath>
      </m:oMathPara>
      <w:bookmarkEnd w:id="254"/>
    </w:p>
    <w:p>
      <w:pPr>
        <w:pStyle w:val="FirstParagraph"/>
      </w:pPr>
      <w:r>
        <w:rPr>
          <w:rStyle w:val="VerbatimChar"/>
        </w:rPr>
        <w:t xml:space="preserve">er_score = 100</w:t>
      </w:r>
      <w:r>
        <w:t xml:space="preserve"> </w:t>
      </w:r>
      <w:r>
        <w:t xml:space="preserve">acts as a pass-through multiplier that cancels against the division. Cells inside an Endangered DPS therefore contribute more than cells inside a Threatened one, for the same species at the same suitability.</w:t>
      </w:r>
    </w:p>
    <w:p>
      <w:pPr>
        <w:pStyle w:val="BodyText"/>
      </w:pPr>
      <w:r>
        <w:t xml:space="preserve">For the NMFS DPS-listed species (the humpback whale, Southern Resident killer whale, salmonid ESUs, …) the merged value is the suitability alone and the risk is a</w:t>
      </w:r>
      <w:r>
        <w:t xml:space="preserve"> </w:t>
      </w:r>
      <w:r>
        <w:rPr>
          <w:b/>
          <w:bCs/>
        </w:rPr>
        <w:t xml:space="preserve">per-cell</w:t>
      </w:r>
      <w:r>
        <w:t xml:space="preserve"> </w:t>
      </w:r>
      <w:r>
        <w:t xml:space="preserve">weight carried beside it, so the species-level</w:t>
      </w:r>
      <w:r>
        <w:t xml:space="preserve"> </w:t>
      </w:r>
      <w:r>
        <w:rPr>
          <w:rStyle w:val="VerbatimChar"/>
        </w:rPr>
        <w:t xml:space="preserve">er_score</w:t>
      </w:r>
      <w:r>
        <w:t xml:space="preserve"> </w:t>
      </w:r>
      <w:r>
        <w:t xml:space="preserve">is replaced by the cell’s:</w:t>
      </w:r>
    </w:p>
    <w:p>
      <w:pPr>
        <w:pStyle w:val="BodyText"/>
      </w:pPr>
      <w:bookmarkStart w:id="255" w:name="eq-cell-score-dps"/>
      <m:oMathPara>
        <m:oMathParaPr>
          <m:jc m:val="center"/>
        </m:oMathParaPr>
        <m:oMath>
          <m:sSub>
            <m:e>
              <m:r>
                <m:rPr>
                  <m:nor/>
                  <m:sty m:val="p"/>
                </m:rPr>
                <m:t>score</m:t>
              </m:r>
            </m:e>
            <m:sub>
              <m:r>
                <m:t>c</m:t>
              </m:r>
              <m:r>
                <m:rPr>
                  <m:sty m:val="p"/>
                </m:rPr>
                <m:t>,</m:t>
              </m:r>
              <m:r>
                <m:t>g</m:t>
              </m:r>
            </m:sub>
          </m:sSub>
          <m:r>
            <m:rPr>
              <m:sty m:val="p"/>
            </m:rPr>
            <m:t>=</m:t>
          </m:r>
          <m:f>
            <m:fPr>
              <m:type m:val="bar"/>
            </m:fPr>
            <m:num>
              <m:r>
                <m:t>1</m:t>
              </m:r>
            </m:num>
            <m:den>
              <m:r>
                <m:t>100</m:t>
              </m:r>
            </m:den>
          </m:f>
          <m:nary>
            <m:naryPr>
              <m:chr m:val="∑"/>
              <m:limLoc m:val="undOvr"/>
              <m:subHide m:val="off"/>
              <m:supHide m:val="off"/>
            </m:naryPr>
            <m:sub>
              <m:r>
                <m:t>s</m:t>
              </m:r>
              <m:r>
                <m:rPr>
                  <m:sty m:val="p"/>
                </m:rPr>
                <m:t>=</m:t>
              </m:r>
              <m:r>
                <m:t>1</m:t>
              </m:r>
            </m:sub>
            <m:sup>
              <m:sSub>
                <m:e>
                  <m:r>
                    <m:t>S</m:t>
                  </m:r>
                </m:e>
                <m:sub>
                  <m:r>
                    <m:t>g</m:t>
                  </m:r>
                </m:sub>
              </m:sSub>
            </m:sup>
            <m:e>
              <m:r>
                <m:t>e</m:t>
              </m:r>
            </m:e>
          </m:nary>
          <m:sSub>
            <m:e>
              <m:r>
                <m:t>r</m:t>
              </m:r>
            </m:e>
            <m:sub>
              <m:r>
                <m:t>s</m:t>
              </m:r>
              <m:r>
                <m:rPr>
                  <m:sty m:val="p"/>
                </m:rPr>
                <m:t>,</m:t>
              </m:r>
              <m:r>
                <m:t>c</m:t>
              </m:r>
            </m:sub>
          </m:sSub>
          <m:r>
            <m:rPr>
              <m:sty m:val="p"/>
            </m:rPr>
            <m:t>×</m:t>
          </m:r>
          <m:sSub>
            <m:e>
              <m:r>
                <m:t>v</m:t>
              </m:r>
            </m:e>
            <m:sub>
              <m:r>
                <m:t>s</m:t>
              </m:r>
              <m:r>
                <m:rPr>
                  <m:sty m:val="p"/>
                </m:rPr>
                <m:t>,</m:t>
              </m:r>
              <m:r>
                <m:t>c</m:t>
              </m:r>
            </m:sub>
          </m:sSub>
          <m:r>
            <m:t>  </m:t>
          </m:r>
          <m:r>
            <m:rPr>
              <m:sty m:val="p"/>
            </m:rPr>
            <m:t>(</m:t>
          </m:r>
          <m:r>
            <m:t>10.3</m:t>
          </m:r>
          <m:r>
            <m:rPr>
              <m:sty m:val="p"/>
            </m:rPr>
            <m:t>)</m:t>
          </m:r>
        </m:oMath>
      </m:oMathPara>
      <w:bookmarkEnd w:id="255"/>
    </w:p>
    <w:p>
      <w:pPr>
        <w:pStyle w:val="FirstParagraph"/>
      </w:pPr>
      <w:r>
        <w:t xml:space="preserve">Numerically this is the turtle product taken one step later; the difference is that the merged model these species publish is their distribution, not their risk-weighted distribution. Each taxon’s rule is recorded as</w:t>
      </w:r>
      <w:r>
        <w:t xml:space="preserve"> </w:t>
      </w:r>
      <w:r>
        <w:rPr>
          <w:rStyle w:val="VerbatimChar"/>
        </w:rPr>
        <w:t xml:space="preserve">er_mode</w:t>
      </w:r>
      <w:r>
        <w:t xml:space="preserve"> </w:t>
      </w:r>
      <w:r>
        <w:t xml:space="preserve">in the scoring</w:t>
      </w:r>
      <w:r>
        <w:t xml:space="preserve"> </w:t>
      </w:r>
      <w:r>
        <w:rPr>
          <w:rStyle w:val="VerbatimChar"/>
        </w:rPr>
        <w:t xml:space="preserve">taxon</w:t>
      </w:r>
      <w:r>
        <w:t xml:space="preserve"> </w:t>
      </w:r>
      <w:r>
        <w:t xml:space="preserve">table (</w:t>
      </w:r>
      <w:r>
        <w:rPr>
          <w:rStyle w:val="VerbatimChar"/>
        </w:rPr>
        <w:t xml:space="preserve">taxon</w:t>
      </w:r>
      <w:r>
        <w:t xml:space="preserve"> </w:t>
      </w:r>
      <w:r>
        <w:t xml:space="preserve">— the scalar weight;</w:t>
      </w:r>
      <w:r>
        <w:t xml:space="preserve"> </w:t>
      </w:r>
      <w:r>
        <w:rPr>
          <w:rStyle w:val="VerbatimChar"/>
        </w:rPr>
        <w:t xml:space="preserve">premultiplied</w:t>
      </w:r>
      <w:r>
        <w:t xml:space="preserve"> </w:t>
      </w:r>
      <w:r>
        <w:t xml:space="preserve">— sea turtles;</w:t>
      </w:r>
      <w:r>
        <w:t xml:space="preserve"> </w:t>
      </w:r>
      <w:r>
        <w:rPr>
          <w:rStyle w:val="VerbatimChar"/>
        </w:rPr>
        <w:t xml:space="preserve">cell</w:t>
      </w:r>
      <w:r>
        <w:t xml:space="preserve"> </w:t>
      </w:r>
      <w:r>
        <w:t xml:space="preserve">— DPS-listed species).</w:t>
      </w:r>
    </w:p>
    <w:bookmarkEnd w:id="256"/>
    <w:bookmarkEnd w:id="257"/>
    <w:bookmarkStart w:id="259" w:name="metrics"/>
    <w:p>
      <w:pPr>
        <w:pStyle w:val="Heading2"/>
      </w:pPr>
      <w:r>
        <w:t xml:space="preserve">10.2 Metrics</w:t>
      </w:r>
    </w:p>
    <w:tbl>
      <w:tblPr>
        <w:tblStyle w:val="Table"/>
        <w:tblW w:type="pct" w:w="5000"/>
        <w:tblLayout w:type="fixed"/>
        <w:tblLook w:firstRow="0" w:lastRow="0" w:firstColumn="0" w:lastColumn="0" w:noHBand="0" w:noVBand="0" w:val="0000"/>
      </w:tblPr>
      <w:tblGrid>
        <w:gridCol w:w="7920"/>
      </w:tblGrid>
      <w:tr>
        <w:tc>
          <w:tcPr/>
          <w:bookmarkStart w:id="258" w:name="tbl-metrics"/>
          <w:p>
            <w:pPr>
              <w:jc w:val="center"/>
            </w:pPr>
            <w:pPr>
              <w:jc w:val="left"/>
              <w:spacing w:before="200"/>
              <w:pStyle w:val="ImageCaption"/>
            </w:pPr>
            <w:r>
              <w:t xml:space="preserve">Table 10.1: Cell-level metrics published by v9. Each has an ecoregionally rescaled counterpart, and the composite is their equally weighted mean.</w:t>
            </w:r>
          </w:p>
          <w:tbl>
            <w:tblPr>
              <w:tblStyle w:val="Table"/>
              <w:tblW w:type="pct" w:w="5000"/>
              <w:tblLayout w:type="fixed"/>
              <w:tblLook w:firstRow="1" w:lastRow="0" w:firstColumn="0" w:lastColumn="0" w:noHBand="0" w:noVBand="0" w:val="0020"/>
            </w:tblPr>
            <w:tblGrid>
              <w:gridCol w:w="4164"/>
              <w:gridCol w:w="3755"/>
            </w:tblGrid>
            <w:tr>
              <w:trPr>
                <w:tblHeader w:val="on"/>
              </w:trPr>
              <w:tc>
                <w:tcPr/>
                <w:p>
                  <w:pPr>
                    <w:pStyle w:val="Compact"/>
                    <w:jc w:val="left"/>
                    <w:jc w:val="center"/>
                  </w:pPr>
                  <w:r>
                    <w:t xml:space="preserve">Metric</w:t>
                  </w:r>
                </w:p>
              </w:tc>
              <w:tc>
                <w:tcPr/>
                <w:p>
                  <w:pPr>
                    <w:pStyle w:val="Compact"/>
                    <w:jc w:val="left"/>
                    <w:jc w:val="center"/>
                  </w:pPr>
                  <w:r>
                    <w:t xml:space="preserve">Description</w:t>
                  </w:r>
                </w:p>
              </w:tc>
            </w:tr>
            <w:tr>
              <w:tc>
                <w:tcPr/>
                <w:p>
                  <w:pPr>
                    <w:pStyle w:val="Compact"/>
                    <w:jc w:val="left"/>
                    <w:jc w:val="center"/>
                  </w:pPr>
                  <w:r>
                    <w:rPr>
                      <w:rStyle w:val="VerbatimChar"/>
                    </w:rPr>
                    <w:t xml:space="preserve">extrisk_bird</w:t>
                  </w:r>
                </w:p>
              </w:tc>
              <w:tc>
                <w:tcPr/>
                <w:p>
                  <w:pPr>
                    <w:pStyle w:val="Compact"/>
                    <w:jc w:val="left"/>
                    <w:jc w:val="center"/>
                  </w:pPr>
                  <w:r>
                    <w:t xml:space="preserve">Extinction-risk-weighted suitability, bird</w:t>
                  </w:r>
                </w:p>
              </w:tc>
            </w:tr>
            <w:tr>
              <w:tc>
                <w:tcPr/>
                <w:p>
                  <w:pPr>
                    <w:pStyle w:val="Compact"/>
                    <w:jc w:val="left"/>
                    <w:jc w:val="center"/>
                  </w:pPr>
                  <w:r>
                    <w:rPr>
                      <w:rStyle w:val="VerbatimChar"/>
                    </w:rPr>
                    <w:t xml:space="preserve">extrisk_bird_ecoregion_rescaled</w:t>
                  </w:r>
                </w:p>
              </w:tc>
              <w:tc>
                <w:tcPr/>
                <w:p>
                  <w:pPr>
                    <w:pStyle w:val="Compact"/>
                  </w:pPr>
                </w:p>
              </w:tc>
            </w:tr>
            <w:tr>
              <w:tc>
                <w:tcPr/>
                <w:p>
                  <w:pPr>
                    <w:pStyle w:val="Compact"/>
                    <w:jc w:val="left"/>
                    <w:jc w:val="center"/>
                  </w:pPr>
                  <w:r>
                    <w:rPr>
                      <w:rStyle w:val="VerbatimChar"/>
                    </w:rPr>
                    <w:t xml:space="preserve">extrisk_coral</w:t>
                  </w:r>
                </w:p>
              </w:tc>
              <w:tc>
                <w:tcPr/>
                <w:p>
                  <w:pPr>
                    <w:pStyle w:val="Compact"/>
                    <w:jc w:val="left"/>
                    <w:jc w:val="center"/>
                  </w:pPr>
                  <w:r>
                    <w:t xml:space="preserve">Extinction-risk-weighted suitability, coral</w:t>
                  </w:r>
                </w:p>
              </w:tc>
            </w:tr>
            <w:tr>
              <w:tc>
                <w:tcPr/>
                <w:p>
                  <w:pPr>
                    <w:pStyle w:val="Compact"/>
                    <w:jc w:val="left"/>
                    <w:jc w:val="center"/>
                  </w:pPr>
                  <w:r>
                    <w:rPr>
                      <w:rStyle w:val="VerbatimChar"/>
                    </w:rPr>
                    <w:t xml:space="preserve">extrisk_coral_ecoregion_rescaled</w:t>
                  </w:r>
                </w:p>
              </w:tc>
              <w:tc>
                <w:tcPr/>
                <w:p>
                  <w:pPr>
                    <w:pStyle w:val="Compact"/>
                  </w:pPr>
                </w:p>
              </w:tc>
            </w:tr>
            <w:tr>
              <w:tc>
                <w:tcPr/>
                <w:p>
                  <w:pPr>
                    <w:pStyle w:val="Compact"/>
                    <w:jc w:val="left"/>
                    <w:jc w:val="center"/>
                  </w:pPr>
                  <w:r>
                    <w:rPr>
                      <w:rStyle w:val="VerbatimChar"/>
                    </w:rPr>
                    <w:t xml:space="preserve">extrisk_fish</w:t>
                  </w:r>
                </w:p>
              </w:tc>
              <w:tc>
                <w:tcPr/>
                <w:p>
                  <w:pPr>
                    <w:pStyle w:val="Compact"/>
                    <w:jc w:val="left"/>
                    <w:jc w:val="center"/>
                  </w:pPr>
                  <w:r>
                    <w:t xml:space="preserve">Extinction-risk-weighted suitability, fish</w:t>
                  </w:r>
                </w:p>
              </w:tc>
            </w:tr>
            <w:tr>
              <w:tc>
                <w:tcPr/>
                <w:p>
                  <w:pPr>
                    <w:pStyle w:val="Compact"/>
                    <w:jc w:val="left"/>
                    <w:jc w:val="center"/>
                  </w:pPr>
                  <w:r>
                    <w:rPr>
                      <w:rStyle w:val="VerbatimChar"/>
                    </w:rPr>
                    <w:t xml:space="preserve">extrisk_fish_ecoregion_rescaled</w:t>
                  </w:r>
                </w:p>
              </w:tc>
              <w:tc>
                <w:tcPr/>
                <w:p>
                  <w:pPr>
                    <w:pStyle w:val="Compact"/>
                  </w:pPr>
                </w:p>
              </w:tc>
            </w:tr>
            <w:tr>
              <w:tc>
                <w:tcPr/>
                <w:p>
                  <w:pPr>
                    <w:pStyle w:val="Compact"/>
                    <w:jc w:val="left"/>
                    <w:jc w:val="center"/>
                  </w:pPr>
                  <w:r>
                    <w:rPr>
                      <w:rStyle w:val="VerbatimChar"/>
                    </w:rPr>
                    <w:t xml:space="preserve">extrisk_invertebrate</w:t>
                  </w:r>
                </w:p>
              </w:tc>
              <w:tc>
                <w:tcPr/>
                <w:p>
                  <w:pPr>
                    <w:pStyle w:val="Compact"/>
                    <w:jc w:val="left"/>
                    <w:jc w:val="center"/>
                  </w:pPr>
                  <w:r>
                    <w:t xml:space="preserve">Extinction-risk-weighted suitability, invertebrate</w:t>
                  </w:r>
                </w:p>
              </w:tc>
            </w:tr>
            <w:tr>
              <w:tc>
                <w:tcPr/>
                <w:p>
                  <w:pPr>
                    <w:pStyle w:val="Compact"/>
                    <w:jc w:val="left"/>
                    <w:jc w:val="center"/>
                  </w:pPr>
                  <w:r>
                    <w:rPr>
                      <w:rStyle w:val="VerbatimChar"/>
                    </w:rPr>
                    <w:t xml:space="preserve">extrisk_invertebrate_ecoregion_rescaled</w:t>
                  </w:r>
                </w:p>
              </w:tc>
              <w:tc>
                <w:tcPr/>
                <w:p>
                  <w:pPr>
                    <w:pStyle w:val="Compact"/>
                  </w:pPr>
                </w:p>
              </w:tc>
            </w:tr>
            <w:tr>
              <w:tc>
                <w:tcPr/>
                <w:p>
                  <w:pPr>
                    <w:pStyle w:val="Compact"/>
                    <w:jc w:val="left"/>
                    <w:jc w:val="center"/>
                  </w:pPr>
                  <w:r>
                    <w:rPr>
                      <w:rStyle w:val="VerbatimChar"/>
                    </w:rPr>
                    <w:t xml:space="preserve">extrisk_mammal</w:t>
                  </w:r>
                </w:p>
              </w:tc>
              <w:tc>
                <w:tcPr/>
                <w:p>
                  <w:pPr>
                    <w:pStyle w:val="Compact"/>
                    <w:jc w:val="left"/>
                    <w:jc w:val="center"/>
                  </w:pPr>
                  <w:r>
                    <w:t xml:space="preserve">Extinction-risk-weighted suitability, mammal</w:t>
                  </w:r>
                </w:p>
              </w:tc>
            </w:tr>
            <w:tr>
              <w:tc>
                <w:tcPr/>
                <w:p>
                  <w:pPr>
                    <w:pStyle w:val="Compact"/>
                    <w:jc w:val="left"/>
                    <w:jc w:val="center"/>
                  </w:pPr>
                  <w:r>
                    <w:rPr>
                      <w:rStyle w:val="VerbatimChar"/>
                    </w:rPr>
                    <w:t xml:space="preserve">extrisk_mammal_ecoregion_rescaled</w:t>
                  </w:r>
                </w:p>
              </w:tc>
              <w:tc>
                <w:tcPr/>
                <w:p>
                  <w:pPr>
                    <w:pStyle w:val="Compact"/>
                  </w:pPr>
                </w:p>
              </w:tc>
            </w:tr>
            <w:tr>
              <w:tc>
                <w:tcPr/>
                <w:p>
                  <w:pPr>
                    <w:pStyle w:val="Compact"/>
                    <w:jc w:val="left"/>
                    <w:jc w:val="center"/>
                  </w:pPr>
                  <w:r>
                    <w:rPr>
                      <w:rStyle w:val="VerbatimChar"/>
                    </w:rPr>
                    <w:t xml:space="preserve">extrisk_primary_producer</w:t>
                  </w:r>
                </w:p>
              </w:tc>
              <w:tc>
                <w:tcPr/>
                <w:p>
                  <w:pPr>
                    <w:pStyle w:val="Compact"/>
                    <w:jc w:val="left"/>
                    <w:jc w:val="center"/>
                  </w:pPr>
                  <w:r>
                    <w:t xml:space="preserve">Extinction-risk-weighted suitability, primary_producer</w:t>
                  </w:r>
                </w:p>
              </w:tc>
            </w:tr>
            <w:tr>
              <w:tc>
                <w:tcPr/>
                <w:p>
                  <w:pPr>
                    <w:pStyle w:val="Compact"/>
                    <w:jc w:val="left"/>
                    <w:jc w:val="center"/>
                  </w:pPr>
                  <w:r>
                    <w:rPr>
                      <w:rStyle w:val="VerbatimChar"/>
                    </w:rPr>
                    <w:t xml:space="preserve">extrisk_primary_producer_ecoregion_rescaled</w:t>
                  </w:r>
                </w:p>
              </w:tc>
              <w:tc>
                <w:tcPr/>
                <w:p>
                  <w:pPr>
                    <w:pStyle w:val="Compact"/>
                  </w:pPr>
                </w:p>
              </w:tc>
            </w:tr>
            <w:tr>
              <w:tc>
                <w:tcPr/>
                <w:p>
                  <w:pPr>
                    <w:pStyle w:val="Compact"/>
                    <w:jc w:val="left"/>
                    <w:jc w:val="center"/>
                  </w:pPr>
                  <w:r>
                    <w:rPr>
                      <w:rStyle w:val="VerbatimChar"/>
                    </w:rPr>
                    <w:t xml:space="preserve">extrisk_turtle</w:t>
                  </w:r>
                </w:p>
              </w:tc>
              <w:tc>
                <w:tcPr/>
                <w:p>
                  <w:pPr>
                    <w:pStyle w:val="Compact"/>
                    <w:jc w:val="left"/>
                    <w:jc w:val="center"/>
                  </w:pPr>
                  <w:r>
                    <w:t xml:space="preserve">Extinction-risk-weighted suitability, turtle</w:t>
                  </w:r>
                </w:p>
              </w:tc>
            </w:tr>
            <w:tr>
              <w:tc>
                <w:tcPr/>
                <w:p>
                  <w:pPr>
                    <w:pStyle w:val="Compact"/>
                    <w:jc w:val="left"/>
                    <w:jc w:val="center"/>
                  </w:pPr>
                  <w:r>
                    <w:rPr>
                      <w:rStyle w:val="VerbatimChar"/>
                    </w:rPr>
                    <w:t xml:space="preserve">extrisk_turtle_ecoregion_rescaled</w:t>
                  </w:r>
                </w:p>
              </w:tc>
              <w:tc>
                <w:tcPr/>
                <w:p>
                  <w:pPr>
                    <w:pStyle w:val="Compact"/>
                  </w:pPr>
                </w:p>
              </w:tc>
            </w:tr>
            <w:tr>
              <w:tc>
                <w:tcPr/>
                <w:p>
                  <w:pPr>
                    <w:pStyle w:val="Compact"/>
                    <w:jc w:val="left"/>
                    <w:jc w:val="center"/>
                  </w:pPr>
                  <w:r>
                    <w:rPr>
                      <w:rStyle w:val="VerbatimChar"/>
                    </w:rPr>
                    <w:t xml:space="preserve">primprod</w:t>
                  </w:r>
                </w:p>
              </w:tc>
              <w:tc>
                <w:tcPr/>
                <w:p>
                  <w:pPr>
                    <w:pStyle w:val="Compact"/>
                    <w:jc w:val="left"/>
                    <w:jc w:val="center"/>
                  </w:pPr>
                  <w:r>
                    <w:t xml:space="preserve">Primary productivity VGPM/VIIRS npp_avg (mg C/m2/day)</w:t>
                  </w:r>
                </w:p>
              </w:tc>
            </w:tr>
            <w:tr>
              <w:tc>
                <w:tcPr/>
                <w:p>
                  <w:pPr>
                    <w:pStyle w:val="Compact"/>
                    <w:jc w:val="left"/>
                    <w:jc w:val="center"/>
                  </w:pPr>
                  <w:r>
                    <w:rPr>
                      <w:rStyle w:val="VerbatimChar"/>
                    </w:rPr>
                    <w:t xml:space="preserve">primprod_ecoregion_rescaled</w:t>
                  </w:r>
                </w:p>
              </w:tc>
              <w:tc>
                <w:tcPr/>
                <w:p>
                  <w:pPr>
                    <w:pStyle w:val="Compact"/>
                  </w:pPr>
                </w:p>
              </w:tc>
            </w:tr>
            <w:tr>
              <w:tc>
                <w:tcPr/>
                <w:p>
                  <w:pPr>
                    <w:pStyle w:val="Compact"/>
                    <w:jc w:val="left"/>
                    <w:jc w:val="center"/>
                  </w:pPr>
                  <w:r>
                    <w:rPr>
                      <w:rStyle w:val="VerbatimChar"/>
                    </w:rPr>
                    <w:t xml:space="preserve">score_extriskspcat_primprod_ecoregionrescaled_equalweights</w:t>
                  </w:r>
                </w:p>
              </w:tc>
              <w:tc>
                <w:tcPr/>
                <w:p>
                  <w:pPr>
                    <w:pStyle w:val="Compact"/>
                    <w:jc w:val="left"/>
                    <w:jc w:val="center"/>
                  </w:pPr>
                  <w:r>
                    <w:t xml:space="preserve">Equal-weight composite</w:t>
                  </w:r>
                </w:p>
              </w:tc>
            </w:tr>
          </w:tbl>
          <w:bookmarkEnd w:id="258"/>
          <w:p/>
        </w:tc>
      </w:tr>
    </w:tbl>
    <w:p>
      <w:pPr>
        <w:pStyle w:val="BodyText"/>
      </w:pPr>
      <w:r>
        <w:t xml:space="preserve">One extinction-risk metric exists per</w:t>
      </w:r>
      <w:r>
        <w:t xml:space="preserve"> </w:t>
      </w:r>
      <w:r>
        <w:rPr>
          <w:b/>
          <w:bCs/>
        </w:rPr>
        <w:t xml:space="preserve">scored</w:t>
      </w:r>
      <w:r>
        <w:t xml:space="preserve"> </w:t>
      </w:r>
      <w:r>
        <w:t xml:space="preserve">species category —</w:t>
      </w:r>
      <w:r>
        <w:t xml:space="preserve"> </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coral</w:t>
      </w:r>
      <w:r>
        <w:t xml:space="preserve">,</w:t>
      </w:r>
      <w:r>
        <w:t xml:space="preserve"> </w:t>
      </w:r>
      <w:r>
        <w:rPr>
          <w:rStyle w:val="VerbatimChar"/>
        </w:rPr>
        <w:t xml:space="preserve">primary_producer</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w:t>
      </w:r>
      <w:r>
        <w:t xml:space="preserve">— plus primary productivity, which carries no extinction-risk weighting.</w:t>
      </w:r>
    </w:p>
    <w:bookmarkEnd w:id="259"/>
    <w:bookmarkStart w:id="263" w:name="ecoregional-rescaling-1"/>
    <w:p>
      <w:pPr>
        <w:pStyle w:val="Heading2"/>
      </w:pPr>
      <w:r>
        <w:t xml:space="preserve">10.3 Ecoregional rescaling</w:t>
      </w:r>
    </w:p>
    <w:p>
      <w:pPr>
        <w:pStyle w:val="FirstParagraph"/>
      </w:pPr>
      <w:r>
        <w:t xml:space="preserve">Raw cell scores vary naturally between ecoregions, through differences in species richness, oceanography and biogeography. Each metric is therefore rescaled to 0–100</w:t>
      </w:r>
      <w:r>
        <w:t xml:space="preserve"> </w:t>
      </w:r>
      <w:r>
        <w:rPr>
          <w:b/>
          <w:bCs/>
        </w:rPr>
        <w:t xml:space="preserve">within each BOEM Ecoregion</w:t>
      </w:r>
      <w:r>
        <w:t xml:space="preserve">:</w:t>
      </w:r>
    </w:p>
    <w:p>
      <w:pPr>
        <w:pStyle w:val="BodyText"/>
      </w:pPr>
      <w:bookmarkStart w:id="260" w:name="eq-ecoregion-rescale"/>
      <m:oMathPara>
        <m:oMathParaPr>
          <m:jc m:val="center"/>
        </m:oMathParaPr>
        <m:oMath>
          <m:sSubSup>
            <m:e>
              <m:r>
                <m:rPr>
                  <m:nor/>
                  <m:sty m:val="p"/>
                </m:rPr>
                <m:t>score</m:t>
              </m:r>
            </m:e>
            <m:sub>
              <m:r>
                <m:t>c</m:t>
              </m:r>
            </m:sub>
            <m:sup>
              <m:r>
                <m:rPr>
                  <m:sty m:val="p"/>
                </m:rPr>
                <m:t>′</m:t>
              </m:r>
            </m:sup>
          </m:sSubSup>
          <m:r>
            <m:rPr>
              <m:sty m:val="p"/>
            </m:rPr>
            <m:t>=</m:t>
          </m:r>
          <m:f>
            <m:fPr>
              <m:type m:val="bar"/>
            </m:fPr>
            <m:num>
              <m:sSub>
                <m:e>
                  <m:r>
                    <m:rPr>
                      <m:nor/>
                      <m:sty m:val="p"/>
                    </m:rPr>
                    <m:t>score</m:t>
                  </m:r>
                </m:e>
                <m:sub>
                  <m:r>
                    <m:t>c</m:t>
                  </m:r>
                </m:sub>
              </m:sSub>
              <m:r>
                <m:rPr>
                  <m:sty m:val="p"/>
                </m:rPr>
                <m:t>−</m:t>
              </m:r>
              <m:sSub>
                <m:e>
                  <m:r>
                    <m:rPr>
                      <m:nor/>
                      <m:sty m:val="p"/>
                    </m:rPr>
                    <m:t>score</m:t>
                  </m:r>
                </m:e>
                <m:sub>
                  <m:r>
                    <m:t>m</m:t>
                  </m:r>
                  <m:r>
                    <m:t>i</m:t>
                  </m:r>
                  <m:r>
                    <m:t>n</m:t>
                  </m:r>
                </m:sub>
              </m:sSub>
            </m:num>
            <m:den>
              <m:sSub>
                <m:e>
                  <m:r>
                    <m:rPr>
                      <m:nor/>
                      <m:sty m:val="p"/>
                    </m:rPr>
                    <m:t>score</m:t>
                  </m:r>
                </m:e>
                <m:sub>
                  <m:r>
                    <m:t>m</m:t>
                  </m:r>
                  <m:r>
                    <m:t>a</m:t>
                  </m:r>
                  <m:r>
                    <m:t>x</m:t>
                  </m:r>
                </m:sub>
              </m:sSub>
              <m:r>
                <m:rPr>
                  <m:sty m:val="p"/>
                </m:rPr>
                <m:t>−</m:t>
              </m:r>
              <m:sSub>
                <m:e>
                  <m:r>
                    <m:rPr>
                      <m:nor/>
                      <m:sty m:val="p"/>
                    </m:rPr>
                    <m:t>score</m:t>
                  </m:r>
                </m:e>
                <m:sub>
                  <m:r>
                    <m:t>m</m:t>
                  </m:r>
                  <m:r>
                    <m:t>i</m:t>
                  </m:r>
                  <m:r>
                    <m:t>n</m:t>
                  </m:r>
                </m:sub>
              </m:sSub>
            </m:den>
          </m:f>
          <m:r>
            <m:rPr>
              <m:sty m:val="p"/>
            </m:rPr>
            <m:t>×</m:t>
          </m:r>
          <m:r>
            <m:t>100</m:t>
          </m:r>
          <m:r>
            <m:t>  </m:t>
          </m:r>
          <m:r>
            <m:rPr>
              <m:sty m:val="p"/>
            </m:rPr>
            <m:t>(</m:t>
          </m:r>
          <m:r>
            <m:t>10.4</m:t>
          </m:r>
          <m:r>
            <m:rPr>
              <m:sty m:val="p"/>
            </m:rPr>
            <m:t>)</m:t>
          </m:r>
        </m:oMath>
      </m:oMathPara>
      <w:bookmarkEnd w:id="260"/>
    </w:p>
    <w:p>
      <w:pPr>
        <w:pStyle w:val="FirstParagraph"/>
      </w:pPr>
      <w:r>
        <w:t xml:space="preserve">with the minimum and maximum taken over that metric’s cells within the ecoregion.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Applications/quarto/share/formats/docx/important.png" id="26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Scores are relative within an ecoregion, never absolute</w:t>
            </w:r>
          </w:p>
        </w:tc>
      </w:tr>
      <w:tr>
        <w:trPr>
          <w:cantSplit/>
        </w:trPr>
        <w:tc>
          <w:tcPr>
            <w:tcMar>
              <w:top w:w="108" w:type="dxa"/>
              <w:bottom w:w="108" w:type="dxa"/>
            </w:tcMar>
          </w:tcPr>
          <w:p>
            <w:pPr>
              <w:pStyle w:val="BodyText"/>
            </w:pPr>
            <w:pPr>
              <w:spacing w:before="16"/>
            </w:pPr>
            <w:r>
              <w:t xml:space="preserve">A score of 100 marks the most sensitive cell for that metric</w:t>
            </w:r>
            <w:r>
              <w:t xml:space="preserve"> </w:t>
            </w:r>
            <w:r>
              <w:rPr>
                <w:b/>
                <w:bCs/>
              </w:rPr>
              <w:t xml:space="preserve">within that ecoregion</w:t>
            </w:r>
            <w:r>
              <w:t xml:space="preserve"> </w:t>
            </w:r>
            <w:r>
              <w:t xml:space="preserve">— not globally. A 30 in Alaska and a 30 in the Pacific describe different ecological contexts.</w:t>
            </w:r>
          </w:p>
          <w:p>
            <w:pPr>
              <w:pStyle w:val="BodyText"/>
            </w:pPr>
            <w:pPr>
              <w:spacing w:after="16"/>
            </w:pPr>
            <w:r>
              <w:t xml:space="preserve">Scores are therefore directly comparable</w:t>
            </w:r>
            <w:r>
              <w:t xml:space="preserve"> </w:t>
            </w:r>
            <w:r>
              <w:rPr>
                <w:b/>
                <w:bCs/>
              </w:rPr>
              <w:t xml:space="preserve">among Program Areas within one ecoregion</w:t>
            </w:r>
            <w:r>
              <w:t xml:space="preserve">, and should</w:t>
            </w:r>
            <w:r>
              <w:t xml:space="preserve"> </w:t>
            </w:r>
            <w:r>
              <w:rPr>
                <w:b/>
                <w:bCs/>
              </w:rPr>
              <w:t xml:space="preserve">not</w:t>
            </w:r>
            <w:r>
              <w:t xml:space="preserve"> </w:t>
            </w:r>
            <w:r>
              <w:t xml:space="preserve">be compared across ecoregions.</w:t>
            </w:r>
          </w:p>
          <w:p/>
        </w:tc>
      </w:tr>
    </w:tbl>
    <w:p>
      <w:pPr>
        <w:pStyle w:val="BodyText"/>
      </w:pPr>
      <w:r>
        <w:rPr>
          <w:b/>
          <w:bCs/>
        </w:rPr>
        <w:t xml:space="preserve">Why rescale at all?</w:t>
      </w:r>
      <w:r>
        <w:t xml:space="preserve"> </w:t>
      </w:r>
      <w:r>
        <w:t xml:space="preserve">Without it, naturally species-rich areas would almost always score highest simply for holding more species. More species may well indicate greater ecological importance — but it can equally be argued that the fewer species an ecosystem has, the more each one matters to its function and resilience. Rescaling within ecoregions keeps scores from being dominated by richness. Comparing</w:t>
      </w:r>
      <w:r>
        <w:t xml:space="preserve"> </w:t>
      </w:r>
      <w:r>
        <w:rPr>
          <w:i/>
          <w:iCs/>
        </w:rPr>
        <w:t xml:space="preserve">across</w:t>
      </w:r>
      <w:r>
        <w:t xml:space="preserve"> </w:t>
      </w:r>
      <w:r>
        <w:t xml:space="preserve">ecoregions would require settling that argument with a mathematical relationship between the two views, which remains a live academic debate.</w:t>
      </w:r>
    </w:p>
    <w:bookmarkEnd w:id="263"/>
    <w:bookmarkStart w:id="269" w:name="spatial-units"/>
    <w:p>
      <w:pPr>
        <w:pStyle w:val="Heading2"/>
      </w:pPr>
      <w:r>
        <w:t xml:space="preserve">10.4 Spatial units</w:t>
      </w:r>
    </w:p>
    <w:tbl>
      <w:tblPr>
        <w:tblStyle w:val="Table"/>
        <w:tblW w:type="pct" w:w="5000"/>
        <w:tblLayout w:type="fixed"/>
        <w:tblLook w:firstRow="0" w:lastRow="0" w:firstColumn="0" w:lastColumn="0" w:noHBand="0" w:noVBand="0" w:val="0000"/>
      </w:tblPr>
      <w:tblGrid>
        <w:gridCol w:w="7920"/>
      </w:tblGrid>
      <w:tr>
        <w:tc>
          <w:tcPr/>
          <w:bookmarkStart w:id="264" w:name="tbl-zones"/>
          <w:p>
            <w:pPr>
              <w:jc w:val="center"/>
            </w:pPr>
            <w:pPr>
              <w:jc w:val="left"/>
              <w:spacing w:before="200"/>
              <w:pStyle w:val="ImageCaption"/>
            </w:pPr>
            <w:r>
              <w:t xml:space="preserve">Table 10.2: Spatial units v9 scored, with the geometry vintage each used.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Unit</w:t>
                  </w:r>
                </w:p>
              </w:tc>
              <w:tc>
                <w:tcPr/>
                <w:p>
                  <w:pPr>
                    <w:pStyle w:val="Compact"/>
                    <w:jc w:val="left"/>
                    <w:jc w:val="center"/>
                  </w:pPr>
                  <w:r>
                    <w:t xml:space="preserve">Field</w:t>
                  </w:r>
                </w:p>
              </w:tc>
              <w:tc>
                <w:tcPr/>
                <w:p>
                  <w:pPr>
                    <w:pStyle w:val="Compact"/>
                    <w:jc w:val="right"/>
                    <w:jc w:val="center"/>
                  </w:pPr>
                  <w:r>
                    <w:t xml:space="preserve">Count</w:t>
                  </w:r>
                </w:p>
              </w:tc>
              <w:tc>
                <w:tcPr/>
                <w:p>
                  <w:pPr>
                    <w:pStyle w:val="Compact"/>
                    <w:jc w:val="left"/>
                    <w:jc w:val="center"/>
                  </w:pPr>
                  <w:r>
                    <w:t xml:space="preserve">Vintage</w:t>
                  </w:r>
                </w:p>
              </w:tc>
            </w:tr>
            <w:tr>
              <w:tc>
                <w:tcPr/>
                <w:p>
                  <w:pPr>
                    <w:pStyle w:val="Compact"/>
                    <w:jc w:val="left"/>
                    <w:jc w:val="center"/>
                  </w:pPr>
                  <w:r>
                    <w:t xml:space="preserve">BOEM Ecoregion</w:t>
                  </w:r>
                </w:p>
              </w:tc>
              <w:tc>
                <w:tcPr/>
                <w:p>
                  <w:pPr>
                    <w:pStyle w:val="Compact"/>
                    <w:jc w:val="left"/>
                    <w:jc w:val="center"/>
                  </w:pPr>
                  <w:r>
                    <w:rPr>
                      <w:rStyle w:val="VerbatimChar"/>
                    </w:rPr>
                    <w:t xml:space="preserve">ecoregion_key</w:t>
                  </w:r>
                </w:p>
              </w:tc>
              <w:tc>
                <w:tcPr/>
                <w:p>
                  <w:pPr>
                    <w:pStyle w:val="Compact"/>
                    <w:jc w:val="right"/>
                    <w:jc w:val="center"/>
                  </w:pPr>
                  <w:r>
                    <w:t xml:space="preserve">12</w:t>
                  </w:r>
                </w:p>
              </w:tc>
              <w:tc>
                <w:tcPr/>
                <w:p>
                  <w:pPr>
                    <w:pStyle w:val="Compact"/>
                    <w:jc w:val="left"/>
                    <w:jc w:val="center"/>
                  </w:pPr>
                  <w:r>
                    <w:rPr>
                      <w:rStyle w:val="VerbatimChar"/>
                    </w:rPr>
                    <w:t xml:space="preserve">ecoregion_2025-06</w:t>
                  </w:r>
                </w:p>
              </w:tc>
            </w:tr>
            <w:tr>
              <w:tc>
                <w:tcPr/>
                <w:p>
                  <w:pPr>
                    <w:pStyle w:val="Compact"/>
                    <w:jc w:val="left"/>
                    <w:jc w:val="center"/>
                  </w:pPr>
                  <w:r>
                    <w:t xml:space="preserve">BOEM Program Area</w:t>
                  </w:r>
                </w:p>
              </w:tc>
              <w:tc>
                <w:tcPr/>
                <w:p>
                  <w:pPr>
                    <w:pStyle w:val="Compact"/>
                    <w:jc w:val="left"/>
                    <w:jc w:val="center"/>
                  </w:pPr>
                  <w:r>
                    <w:rPr>
                      <w:rStyle w:val="VerbatimChar"/>
                    </w:rPr>
                    <w:t xml:space="preserve">programarea_key</w:t>
                  </w:r>
                </w:p>
              </w:tc>
              <w:tc>
                <w:tcPr/>
                <w:p>
                  <w:pPr>
                    <w:pStyle w:val="Compact"/>
                    <w:jc w:val="right"/>
                    <w:jc w:val="center"/>
                  </w:pPr>
                  <w:r>
                    <w:t xml:space="preserve">20</w:t>
                  </w:r>
                </w:p>
              </w:tc>
              <w:tc>
                <w:tcPr/>
                <w:p>
                  <w:pPr>
                    <w:pStyle w:val="Compact"/>
                    <w:jc w:val="left"/>
                    <w:jc w:val="center"/>
                  </w:pPr>
                  <w:r>
                    <w:rPr>
                      <w:rStyle w:val="VerbatimChar"/>
                    </w:rPr>
                    <w:t xml:space="preserve">programarea_2026-01</w:t>
                  </w:r>
                </w:p>
              </w:tc>
            </w:tr>
            <w:tr>
              <w:tc>
                <w:tcPr/>
                <w:p>
                  <w:pPr>
                    <w:pStyle w:val="Compact"/>
                    <w:jc w:val="left"/>
                    <w:jc w:val="center"/>
                  </w:pPr>
                  <w:r>
                    <w:t xml:space="preserve">Subregion</w:t>
                  </w:r>
                </w:p>
              </w:tc>
              <w:tc>
                <w:tcPr/>
                <w:p>
                  <w:pPr>
                    <w:pStyle w:val="Compact"/>
                    <w:jc w:val="left"/>
                    <w:jc w:val="center"/>
                  </w:pPr>
                  <w:r>
                    <w:rPr>
                      <w:rStyle w:val="VerbatimChar"/>
                    </w:rPr>
                    <w:t xml:space="preserve">subregion_key</w:t>
                  </w:r>
                </w:p>
              </w:tc>
              <w:tc>
                <w:tcPr/>
                <w:p>
                  <w:pPr>
                    <w:pStyle w:val="Compact"/>
                    <w:jc w:val="right"/>
                    <w:jc w:val="center"/>
                  </w:pPr>
                  <w:r>
                    <w:t xml:space="preserve">5</w:t>
                  </w:r>
                </w:p>
              </w:tc>
              <w:tc>
                <w:tcPr/>
                <w:p>
                  <w:pPr>
                    <w:pStyle w:val="Compact"/>
                    <w:jc w:val="left"/>
                    <w:jc w:val="center"/>
                  </w:pPr>
                  <w:r>
                    <w:rPr>
                      <w:rStyle w:val="VerbatimChar"/>
                    </w:rPr>
                    <w:t xml:space="preserve">subregion_2025-06</w:t>
                  </w:r>
                </w:p>
              </w:tc>
            </w:tr>
          </w:tbl>
          <w:bookmarkEnd w:id="264"/>
          <w:p/>
        </w:tc>
      </w:tr>
    </w:tbl>
    <w:p>
      <w:pPr>
        <w:pStyle w:val="BodyText"/>
      </w:pPr>
      <w:r>
        <w:t xml:space="preserve">Geometry is versioned by its own</w:t>
      </w:r>
      <w:r>
        <w:t xml:space="preserve"> </w:t>
      </w:r>
      <w:r>
        <w:rPr>
          <w:b/>
          <w:bCs/>
        </w:rPr>
        <w:t xml:space="preserve">vintage</w:t>
      </w:r>
      <w:r>
        <w:t xml:space="preserve"> </w:t>
      </w:r>
      <w:r>
        <w:t xml:space="preserve">rather than by release, so several releases legitimately share one boundary set — one Program Area geometry covers v2 through v8, and one ecoregion geometry covers every release. Each release’s manifest names the vintage it used, which is what lets this book draw the correct outlines for the version it documents instead of the newest ones.</w:t>
      </w:r>
    </w:p>
    <w:bookmarkStart w:id="268" w:name="geographic-scope-1"/>
    <w:p>
      <w:pPr>
        <w:pStyle w:val="Heading3"/>
      </w:pPr>
      <w:r>
        <w:t xml:space="preserve">10.4.1 Geographic scope</w:t>
      </w:r>
    </w:p>
    <w:p>
      <w:pPr>
        <w:pStyle w:val="FirstParagraph"/>
      </w:pPr>
      <w:r>
        <w:t xml:space="preserve">The analysis covers</w:t>
      </w:r>
      <w:r>
        <w:t xml:space="preserve"> </w:t>
      </w:r>
      <w:r>
        <w:rPr>
          <w:b/>
          <w:bCs/>
        </w:rPr>
        <w:t xml:space="preserve">20 BOEM Program Areas</w:t>
      </w:r>
      <w:r>
        <w:t xml:space="preserve"> </w:t>
      </w:r>
      <w:r>
        <w:t xml:space="preserve">from the 11th National Draft Proposed Program (2025), spanning Alaska, the Pacific and the Gulf of America. The Atlantic OCS is not part of this program cycle, so ecoregions containing no Program Area are outside the scored footprint.</w:t>
      </w:r>
    </w:p>
    <w:p>
      <w:pPr>
        <w:pStyle w:val="BodyText"/>
      </w:pPr>
      <w:r>
        <w:t xml:space="preserve">The Gulf of America Program Areas (GAA and GAB) each span two ecoregions — Western and Central Gulf of America, and Eastern Gulf of America. Because rescaling happens</w:t>
      </w:r>
      <w:r>
        <w:t xml:space="preserve"> </w:t>
      </w:r>
      <w:r>
        <w:rPr>
          <w:i/>
          <w:iCs/>
        </w:rPr>
        <w:t xml:space="preserve">before</w:t>
      </w:r>
      <w:r>
        <w:t xml:space="preserve"> </w:t>
      </w:r>
      <w:r>
        <w:t xml:space="preserve">aggregation, cells are rescaled against their own ecoregion’s range, and the Program Area score is then the area-weighted mean across all its cells regardless of ecoregion. Local ecological context is preserved even where a Program Area crosses a boundary.</w:t>
      </w:r>
    </w:p>
    <w:tbl>
      <w:tblPr>
        <w:tblStyle w:val="Table"/>
        <w:tblW w:type="pct" w:w="5000"/>
        <w:tblLayout w:type="fixed"/>
        <w:tblLook w:firstRow="0" w:lastRow="0" w:firstColumn="0" w:lastColumn="0" w:noHBand="0" w:noVBand="0" w:val="0000"/>
      </w:tblPr>
      <w:tblGrid>
        <w:gridCol w:w="7920"/>
      </w:tblGrid>
      <w:tr>
        <w:tc>
          <w:tcPr/>
          <w:bookmarkStart w:id="267" w:name="fig-map-ecoregions-scoring"/>
          <w:p>
            <w:pPr>
              <w:pStyle w:val="Compact"/>
              <w:jc w:val="center"/>
            </w:pPr>
            <w:r>
              <w:drawing>
                <wp:inline>
                  <wp:extent cx="5334000" cy="3182620"/>
                  <wp:effectExtent b="0" l="0" r="0" t="0"/>
                  <wp:docPr descr="" title="" id="265" name="Picture"/>
                  <a:graphic>
                    <a:graphicData uri="http://schemas.openxmlformats.org/drawingml/2006/picture">
                      <pic:pic>
                        <pic:nvPicPr>
                          <pic:cNvPr descr="figures/map-ecoregions-static.png" id="266" name="Picture"/>
                          <pic:cNvPicPr>
                            <a:picLocks noChangeArrowheads="1" noChangeAspect="1"/>
                          </pic:cNvPicPr>
                        </pic:nvPicPr>
                        <pic:blipFill>
                          <a:blip r:embed="rId122"/>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267"/>
        </w:tc>
      </w:tr>
    </w:tbl>
    <w:bookmarkEnd w:id="268"/>
    <w:bookmarkEnd w:id="269"/>
    <w:bookmarkStart w:id="270" w:name="primary-productivity-1"/>
    <w:p>
      <w:pPr>
        <w:pStyle w:val="Heading2"/>
      </w:pPr>
      <w:r>
        <w:t xml:space="preserve">10.5 Primary productivity</w:t>
      </w:r>
    </w:p>
    <w:p>
      <w:pPr>
        <w:pStyle w:val="FirstParagraph"/>
      </w:pPr>
      <w:r>
        <w:t xml:space="preserve">Net primary productivity from the VGPM satellite model enters as its own metric (</w:t>
      </w:r>
      <w:r>
        <w:rPr>
          <w:rStyle w:val="VerbatimChar"/>
        </w:rPr>
        <w:t xml:space="preserve">primprod</w:t>
      </w:r>
      <w:r>
        <w:t xml:space="preserve">), without extinction-risk weighting. The raw values (metric tons C km</w:t>
      </w:r>
      <w:r>
        <w:rPr>
          <w:vertAlign w:val="superscript"/>
        </w:rPr>
        <w:t xml:space="preserve">-2</w:t>
      </w:r>
      <w:r>
        <w:t xml:space="preserve"> </w:t>
      </w:r>
      <w:r>
        <w:t xml:space="preserve">yr</w:t>
      </w:r>
      <w:r>
        <w:rPr>
          <w:vertAlign w:val="superscript"/>
        </w:rPr>
        <w:t xml:space="preserve">-1</w:t>
      </w:r>
      <w:r>
        <w:t xml:space="preserve">) are rescaled within each ecoregion on the same 0–100 basis as everything else.</w:t>
      </w:r>
    </w:p>
    <w:bookmarkEnd w:id="270"/>
    <w:bookmarkStart w:id="272" w:name="zone-aggregation"/>
    <w:p>
      <w:pPr>
        <w:pStyle w:val="Heading2"/>
      </w:pPr>
      <w:r>
        <w:t xml:space="preserve">10.6 Zone aggregation</w:t>
      </w:r>
    </w:p>
    <w:p>
      <w:pPr>
        <w:pStyle w:val="FirstParagraph"/>
      </w:pPr>
      <w:r>
        <w:t xml:space="preserve">Rescaled cell scores are aggregated to each spatial unit by area-weighted mean:</w:t>
      </w:r>
    </w:p>
    <w:p>
      <w:pPr>
        <w:pStyle w:val="BodyText"/>
      </w:pPr>
      <w:bookmarkStart w:id="271" w:name="eq-zone-agg"/>
      <m:oMathPara>
        <m:oMathParaPr>
          <m:jc m:val="center"/>
        </m:oMathParaPr>
        <m:oMath>
          <m:sSub>
            <m:e>
              <m:r>
                <m:rPr>
                  <m:nor/>
                  <m:sty m:val="p"/>
                </m:rPr>
                <m:t>score</m:t>
              </m:r>
            </m:e>
            <m:sub>
              <m:r>
                <m:t>z</m:t>
              </m:r>
              <m:r>
                <m:t>o</m:t>
              </m:r>
              <m:r>
                <m:t>n</m:t>
              </m:r>
              <m:r>
                <m:t>e</m:t>
              </m:r>
            </m:sub>
          </m:sSub>
          <m:r>
            <m:rPr>
              <m:sty m:val="p"/>
            </m:rPr>
            <m:t>=</m:t>
          </m:r>
          <m:f>
            <m:fPr>
              <m:type m:val="bar"/>
            </m:fPr>
            <m:num>
              <m:nary>
                <m:naryPr>
                  <m:chr m:val="∑"/>
                  <m:limLoc m:val="undOvr"/>
                  <m:subHide m:val="off"/>
                  <m:supHide m:val="on"/>
                </m:naryPr>
                <m:sub>
                  <m:r>
                    <m:t>c</m:t>
                  </m:r>
                  <m:r>
                    <m:rPr>
                      <m:sty m:val="p"/>
                    </m:rPr>
                    <m:t>∈</m:t>
                  </m:r>
                  <m:r>
                    <m:t>z</m:t>
                  </m:r>
                  <m:r>
                    <m:t>o</m:t>
                  </m:r>
                  <m:r>
                    <m:t>n</m:t>
                  </m:r>
                  <m:r>
                    <m:t>e</m:t>
                  </m:r>
                </m:sub>
                <m:sup>
                  <m:r>
                    <m:t>​</m:t>
                  </m:r>
                </m:sup>
                <m:e>
                  <m:sSubSup>
                    <m:e>
                      <m:r>
                        <m:rPr>
                          <m:nor/>
                          <m:sty m:val="p"/>
                        </m:rPr>
                        <m:t>score</m:t>
                      </m:r>
                    </m:e>
                    <m:sub>
                      <m:r>
                        <m:t>c</m:t>
                      </m:r>
                    </m:sub>
                    <m:sup>
                      <m:r>
                        <m:rPr>
                          <m:sty m:val="p"/>
                        </m:rPr>
                        <m:t>′</m:t>
                      </m:r>
                    </m:sup>
                  </m:sSubSup>
                </m:e>
              </m:nary>
              <m:r>
                <m:rPr>
                  <m:sty m:val="p"/>
                </m:rPr>
                <m:t>×</m:t>
              </m:r>
              <m:sSub>
                <m:e>
                  <m:r>
                    <m:t>A</m:t>
                  </m:r>
                </m:e>
                <m:sub>
                  <m:r>
                    <m:t>c</m:t>
                  </m:r>
                </m:sub>
              </m:sSub>
            </m:num>
            <m:den>
              <m:nary>
                <m:naryPr>
                  <m:chr m:val="∑"/>
                  <m:limLoc m:val="undOvr"/>
                  <m:subHide m:val="off"/>
                  <m:supHide m:val="on"/>
                </m:naryPr>
                <m:sub>
                  <m:r>
                    <m:t>c</m:t>
                  </m:r>
                  <m:r>
                    <m:rPr>
                      <m:sty m:val="p"/>
                    </m:rPr>
                    <m:t>∈</m:t>
                  </m:r>
                  <m:r>
                    <m:t>z</m:t>
                  </m:r>
                  <m:r>
                    <m:t>o</m:t>
                  </m:r>
                  <m:r>
                    <m:t>n</m:t>
                  </m:r>
                  <m:r>
                    <m:t>e</m:t>
                  </m:r>
                </m:sub>
                <m:sup>
                  <m:r>
                    <m:t>​</m:t>
                  </m:r>
                </m:sup>
                <m:e>
                  <m:sSub>
                    <m:e>
                      <m:r>
                        <m:t>A</m:t>
                      </m:r>
                    </m:e>
                    <m:sub>
                      <m:r>
                        <m:t>c</m:t>
                      </m:r>
                    </m:sub>
                  </m:sSub>
                </m:e>
              </m:nary>
            </m:den>
          </m:f>
          <m:r>
            <m:t>  </m:t>
          </m:r>
          <m:r>
            <m:rPr>
              <m:sty m:val="p"/>
            </m:rPr>
            <m:t>(</m:t>
          </m:r>
          <m:r>
            <m:t>10.5</m:t>
          </m:r>
          <m:r>
            <m:rPr>
              <m:sty m:val="p"/>
            </m:rPr>
            <m:t>)</m:t>
          </m:r>
        </m:oMath>
      </m:oMathPara>
      <w:bookmarkEnd w:id="271"/>
    </w:p>
    <w:p>
      <w:pPr>
        <w:pStyle w:val="FirstParagraph"/>
      </w:pPr>
      <w:r>
        <w:t xml:space="preserve">where</w:t>
      </w:r>
      <w:r>
        <w:t xml:space="preserve"> </w:t>
      </w:r>
      <m:oMath>
        <m:sSub>
          <m:e>
            <m:r>
              <m:t>A</m:t>
            </m:r>
          </m:e>
          <m:sub>
            <m:r>
              <m:t>c</m:t>
            </m:r>
          </m:sub>
        </m:sSub>
      </m:oMath>
      <w:r>
        <w:t xml:space="preserve"> </w:t>
      </w:r>
      <w:r>
        <w:t xml:space="preserve">is the area of cell</w:t>
      </w:r>
      <w:r>
        <w:t xml:space="preserve"> </w:t>
      </w:r>
      <m:oMath>
        <m:r>
          <m:t>c</m:t>
        </m:r>
      </m:oMath>
      <w:r>
        <w:t xml:space="preserve"> </w:t>
      </w:r>
      <w:r>
        <w:t xml:space="preserve">— which is latitude-dependent on a 0.05° grid, so the weighting is not cosmetic.</w:t>
      </w:r>
    </w:p>
    <w:bookmarkEnd w:id="272"/>
    <w:bookmarkStart w:id="289" w:name="visualization"/>
    <w:p>
      <w:pPr>
        <w:pStyle w:val="Heading2"/>
      </w:pPr>
      <w:r>
        <w:t xml:space="preserve">10.7 Visualization</w:t>
      </w:r>
    </w:p>
    <w:bookmarkStart w:id="277" w:name="flower-plot"/>
    <w:p>
      <w:pPr>
        <w:pStyle w:val="Heading3"/>
      </w:pPr>
      <w:r>
        <w:t xml:space="preserve">10.7.1 Flower plot</w:t>
      </w:r>
    </w:p>
    <w:p>
      <w:pPr>
        <w:pStyle w:val="FirstParagraph"/>
      </w:pPr>
      <w:r>
        <w:t xml:space="preserve">The flower plot summarizes a zone’s sensitivity profile by category, after the Ocean Health Index</w:t>
      </w:r>
      <w:r>
        <w:t xml:space="preserve"> </w:t>
      </w:r>
      <w:r>
        <w:t xml:space="preserve">(Halpern et al. 2012)</w:t>
      </w:r>
      <w:r>
        <w:t xml:space="preserve">:</w:t>
      </w:r>
    </w:p>
    <w:p>
      <w:pPr>
        <w:pStyle w:val="Compact"/>
        <w:numPr>
          <w:ilvl w:val="0"/>
          <w:numId w:val="1028"/>
        </w:numPr>
      </w:pPr>
      <w:r>
        <w:rPr>
          <w:b/>
          <w:bCs/>
        </w:rPr>
        <w:t xml:space="preserve">petal length</w:t>
      </w:r>
      <w:r>
        <w:t xml:space="preserve"> </w:t>
      </w:r>
      <w:r>
        <w:t xml:space="preserve">— the rescaled score (0–100) for that category; longer means more sensitive</w:t>
      </w:r>
    </w:p>
    <w:p>
      <w:pPr>
        <w:pStyle w:val="Compact"/>
        <w:numPr>
          <w:ilvl w:val="0"/>
          <w:numId w:val="1028"/>
        </w:numPr>
      </w:pPr>
      <w:r>
        <w:rPr>
          <w:b/>
          <w:bCs/>
        </w:rPr>
        <w:t xml:space="preserve">petal width</w:t>
      </w:r>
      <w:r>
        <w:t xml:space="preserve"> </w:t>
      </w:r>
      <w:r>
        <w:t xml:space="preserve">— that category’s weight in the composite; wider means more influence</w:t>
      </w:r>
    </w:p>
    <w:p>
      <w:pPr>
        <w:pStyle w:val="Compact"/>
        <w:numPr>
          <w:ilvl w:val="0"/>
          <w:numId w:val="1028"/>
        </w:numPr>
      </w:pPr>
      <w:r>
        <w:rPr>
          <w:b/>
          <w:bCs/>
        </w:rPr>
        <w:t xml:space="preserve">centre</w:t>
      </w:r>
      <w:r>
        <w:t xml:space="preserve"> </w:t>
      </w:r>
      <w:r>
        <w:t xml:space="preserve">— the weighted mean across categories</w:t>
      </w:r>
    </w:p>
    <w:tbl>
      <w:tblPr>
        <w:tblStyle w:val="Table"/>
        <w:tblW w:type="pct" w:w="5000"/>
        <w:tblLayout w:type="fixed"/>
        <w:tblLook w:firstRow="0" w:lastRow="0" w:firstColumn="0" w:lastColumn="0" w:noHBand="0" w:noVBand="0" w:val="0000"/>
      </w:tblPr>
      <w:tblGrid>
        <w:gridCol w:w="7920"/>
      </w:tblGrid>
      <w:tr>
        <w:tc>
          <w:tcPr/>
          <w:bookmarkStart w:id="276" w:name="fig-flower-programareas"/>
          <w:p>
            <w:pPr>
              <w:pStyle w:val="Compact"/>
              <w:jc w:val="center"/>
            </w:pPr>
            <w:r>
              <w:drawing>
                <wp:inline>
                  <wp:extent cx="5334000" cy="3556000"/>
                  <wp:effectExtent b="0" l="0" r="0" t="0"/>
                  <wp:docPr descr="" title="" id="274" name="Picture"/>
                  <a:graphic>
                    <a:graphicData uri="http://schemas.openxmlformats.org/drawingml/2006/picture">
                      <pic:pic>
                        <pic:nvPicPr>
                          <pic:cNvPr descr="figures/flower-plot_programareas.png" id="275" name="Picture"/>
                          <pic:cNvPicPr>
                            <a:picLocks noChangeArrowheads="1" noChangeAspect="1"/>
                          </pic:cNvPicPr>
                        </pic:nvPicPr>
                        <pic:blipFill>
                          <a:blip r:embed="rId273"/>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Flower plots for the BOEM Program Areas, showing ecoregionally rescaled sensitivity scores by species category.</w:t>
            </w:r>
          </w:p>
          <w:bookmarkEnd w:id="276"/>
        </w:tc>
      </w:tr>
    </w:tbl>
    <w:p>
      <w:pPr>
        <w:pStyle w:val="BodyText"/>
      </w:pPr>
      <w:r>
        <w:t xml:space="preserve">It lets a reader see at a glance which ecological elements drive sensitivity in an area. The scores app implements an interactive version.</w:t>
      </w:r>
    </w:p>
    <w:bookmarkEnd w:id="277"/>
    <w:bookmarkStart w:id="286" w:name="treemap"/>
    <w:p>
      <w:pPr>
        <w:pStyle w:val="Heading3"/>
      </w:pPr>
      <w:r>
        <w:t xml:space="preserve">10.7.2 Treemap</w:t>
      </w:r>
    </w:p>
    <w:p>
      <w:pPr>
        <w:pStyle w:val="FirstParagraph"/>
      </w:pPr>
      <w:r>
        <w:t xml:space="preserve">The treemap shows how individual species contribute to a score, nested first by extinction-risk category and then by taxonomy, with zoom down to single species.</w:t>
      </w:r>
    </w:p>
    <w:tbl>
      <w:tblPr>
        <w:tblStyle w:val="Table"/>
        <w:tblW w:type="pct" w:w="5000"/>
        <w:tblLayout w:type="fixed"/>
        <w:tblLook w:firstRow="0" w:lastRow="0" w:firstColumn="0" w:lastColumn="0" w:noHBand="0" w:noVBand="0" w:val="0000"/>
      </w:tblPr>
      <w:tblGrid>
        <w:gridCol w:w="7920"/>
      </w:tblGrid>
      <w:tr>
        <w:tc>
          <w:tcPr/>
          <w:bookmarkStart w:id="281" w:name="fig-treemap"/>
          <w:p>
            <w:pPr>
              <w:pStyle w:val="Compact"/>
              <w:jc w:val="center"/>
            </w:pPr>
            <w:r>
              <w:drawing>
                <wp:inline>
                  <wp:extent cx="5118100" cy="4572000"/>
                  <wp:effectExtent b="0" l="0" r="0" t="0"/>
                  <wp:docPr descr="" title="" id="279" name="Picture"/>
                  <a:graphic>
                    <a:graphicData uri="http://schemas.openxmlformats.org/drawingml/2006/picture">
                      <pic:pic>
                        <pic:nvPicPr>
                          <pic:cNvPr descr="figures/treeamap_extrisk-taxa.png" id="280" name="Picture"/>
                          <pic:cNvPicPr>
                            <a:picLocks noChangeArrowheads="1" noChangeAspect="1"/>
                          </pic:cNvPicPr>
                        </pic:nvPicPr>
                        <pic:blipFill>
                          <a:blip r:embed="rId278"/>
                          <a:stretch>
                            <a:fillRect/>
                          </a:stretch>
                        </pic:blipFill>
                        <pic:spPr bwMode="auto">
                          <a:xfrm>
                            <a:off x="0" y="0"/>
                            <a:ext cx="51181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10.3: Treemap of species contributions to extinction-risk scores, organized by risk category and taxonomy.</w:t>
            </w:r>
          </w:p>
          <w:bookmarkEnd w:id="28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5" w:name="fig-treemap-zoom"/>
          <w:p>
            <w:pPr>
              <w:pStyle w:val="Compact"/>
              <w:jc w:val="center"/>
            </w:pPr>
            <w:r>
              <w:drawing>
                <wp:inline>
                  <wp:extent cx="5334000" cy="3673186"/>
                  <wp:effectExtent b="0" l="0" r="0" t="0"/>
                  <wp:docPr descr="" title="" id="283" name="Picture"/>
                  <a:graphic>
                    <a:graphicData uri="http://schemas.openxmlformats.org/drawingml/2006/picture">
                      <pic:pic>
                        <pic:nvPicPr>
                          <pic:cNvPr descr="figures/treeamap_extrisk-taxa_zoom.png" id="284" name="Picture"/>
                          <pic:cNvPicPr>
                            <a:picLocks noChangeArrowheads="1" noChangeAspect="1"/>
                          </pic:cNvPicPr>
                        </pic:nvPicPr>
                        <pic:blipFill>
                          <a:blip r:embed="rId282"/>
                          <a:stretch>
                            <a:fillRect/>
                          </a:stretch>
                        </pic:blipFill>
                        <pic:spPr bwMode="auto">
                          <a:xfrm>
                            <a:off x="0" y="0"/>
                            <a:ext cx="5334000" cy="367318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10.4: Zoomed treemap showing individual species within a risk category and taxonomic group.</w:t>
            </w:r>
          </w:p>
          <w:bookmarkEnd w:id="285"/>
        </w:tc>
      </w:tr>
    </w:tbl>
    <w:bookmarkEnd w:id="286"/>
    <w:bookmarkStart w:id="287" w:name="score-rasters"/>
    <w:p>
      <w:pPr>
        <w:pStyle w:val="Heading3"/>
      </w:pPr>
      <w:r>
        <w:t xml:space="preserve">10.7.3 Score rasters</w:t>
      </w:r>
    </w:p>
    <w:p>
      <w:pPr>
        <w:pStyle w:val="FirstParagraph"/>
      </w:pPr>
      <w:r>
        <w:t xml:space="preserve">Cell-level scores are published as</w:t>
      </w:r>
      <w:r>
        <w:t xml:space="preserve"> </w:t>
      </w:r>
      <w:r>
        <w:rPr>
          <w:b/>
          <w:bCs/>
        </w:rPr>
        <w:t xml:space="preserve">Cloud-Optimized GeoTIFFs</w:t>
      </w:r>
      <w:r>
        <w:t xml:space="preserve">, one per metric x subregion, with</w:t>
      </w:r>
      <w:r>
        <w:t xml:space="preserve"> </w:t>
      </w:r>
      <w:r>
        <w:t xml:space="preserve">the manifest carrying each raster’s URL and its build-time rescale range. The map reads those</w:t>
      </w:r>
      <w:r>
        <w:t xml:space="preserve"> </w:t>
      </w:r>
      <w:r>
        <w:t xml:space="preserve">directly.</w:t>
      </w:r>
    </w:p>
    <w:p>
      <w:pPr>
        <w:pStyle w:val="BodyText"/>
      </w:pPr>
      <w:r>
        <w:t xml:space="preserve">This replaced a tile factory that ran SQL against the database on every tile request. The rasters</w:t>
      </w:r>
      <w:r>
        <w:t xml:space="preserve"> </w:t>
      </w:r>
      <w:r>
        <w:t xml:space="preserve">were verified byte-identical to the factory’s output before the switch. They are stored</w:t>
      </w:r>
      <w:r>
        <w:t xml:space="preserve"> </w:t>
      </w:r>
      <w:r>
        <w:rPr>
          <w:b/>
          <w:bCs/>
        </w:rPr>
        <w:t xml:space="preserve">without</w:t>
      </w:r>
      <w:r>
        <w:rPr>
          <w:b/>
          <w:bCs/>
        </w:rPr>
        <w:t xml:space="preserve"> </w:t>
      </w:r>
      <w:r>
        <w:rPr>
          <w:b/>
          <w:bCs/>
        </w:rPr>
        <w:t xml:space="preserve">overviews</w:t>
      </w:r>
      <w:r>
        <w:t xml:space="preserve"> </w:t>
      </w:r>
      <w:r>
        <w:t xml:space="preserve">deliberately: the renderer decimates from full resolution per request, so a</w:t>
      </w:r>
      <w:r>
        <w:t xml:space="preserve"> </w:t>
      </w:r>
      <w:r>
        <w:t xml:space="preserve">pre-built pyramid would disagree with it at low zoom.</w:t>
      </w:r>
    </w:p>
    <w:bookmarkEnd w:id="287"/>
    <w:bookmarkStart w:id="288" w:name="interactive-maps"/>
    <w:p>
      <w:pPr>
        <w:pStyle w:val="Heading3"/>
      </w:pPr>
      <w:r>
        <w:t xml:space="preserve">10.7.4 Interactive maps</w:t>
      </w:r>
    </w:p>
    <w:p>
      <w:pPr>
        <w:pStyle w:val="FirstParagraph"/>
      </w:pPr>
      <w:r>
        <w:t xml:space="preserve">The</w:t>
      </w:r>
      <w:r>
        <w:t xml:space="preserve"> </w:t>
      </w:r>
      <w:hyperlink r:id="rId24">
        <w:r>
          <w:rPr>
            <w:rStyle w:val="Hyperlink"/>
          </w:rPr>
          <w:t xml:space="preserve">Atlas</w:t>
        </w:r>
      </w:hyperlink>
      <w:r>
        <w:t xml:space="preserve"> </w:t>
      </w:r>
      <w:r>
        <w:t xml:space="preserve">presents the results, rendering</w:t>
      </w:r>
      <w:r>
        <w:t xml:space="preserve"> </w:t>
      </w:r>
      <w:r>
        <w:rPr>
          <w:b/>
          <w:bCs/>
        </w:rPr>
        <w:t xml:space="preserve">any published release</w:t>
      </w:r>
      <w:r>
        <w:t xml:space="preserve"> </w:t>
      </w:r>
      <w:r>
        <w:t xml:space="preserve">rather than being frozen to one. It has two lenses:</w:t>
      </w:r>
    </w:p>
    <w:p>
      <w:pPr>
        <w:pStyle w:val="Compact"/>
        <w:numPr>
          <w:ilvl w:val="0"/>
          <w:numId w:val="1029"/>
        </w:numPr>
      </w:pPr>
      <w:hyperlink r:id="rId21">
        <w:r>
          <w:rPr>
            <w:rStyle w:val="Hyperlink"/>
            <w:b/>
            <w:bCs/>
          </w:rPr>
          <w:t xml:space="preserve">Scores</w:t>
        </w:r>
      </w:hyperlink>
      <w:r>
        <w:t xml:space="preserve"> </w:t>
      </w:r>
      <w:r>
        <w:t xml:space="preserve">— composite and per-category sensitivity by zone, with flower plots and component tables (see</w:t>
      </w:r>
      <w:r>
        <w:t xml:space="preserve"> </w:t>
      </w:r>
      <w:hyperlink w:anchor="sec-app-atlas">
        <w:r>
          <w:rPr>
            <w:rStyle w:val="Hyperlink"/>
          </w:rPr>
          <w:t xml:space="preserve">Chapter 21</w:t>
        </w:r>
      </w:hyperlink>
      <w:r>
        <w:t xml:space="preserve">)</w:t>
      </w:r>
    </w:p>
    <w:p>
      <w:pPr>
        <w:pStyle w:val="Compact"/>
        <w:numPr>
          <w:ilvl w:val="0"/>
          <w:numId w:val="1029"/>
        </w:numPr>
      </w:pPr>
      <w:hyperlink r:id="rId22">
        <w:r>
          <w:rPr>
            <w:rStyle w:val="Hyperlink"/>
            <w:b/>
            <w:bCs/>
          </w:rPr>
          <w:t xml:space="preserve">Species</w:t>
        </w:r>
      </w:hyperlink>
      <w:r>
        <w:t xml:space="preserve"> </w:t>
      </w:r>
      <w:r>
        <w:t xml:space="preserve">— individual and merged distribution models with regulatory status (see</w:t>
      </w:r>
      <w:r>
        <w:t xml:space="preserve"> </w:t>
      </w:r>
      <w:hyperlink w:anchor="sec-app-atlas">
        <w:r>
          <w:rPr>
            <w:rStyle w:val="Hyperlink"/>
          </w:rPr>
          <w:t xml:space="preserve">Chapter 21</w:t>
        </w:r>
      </w:hyperlink>
      <w:r>
        <w:t xml:space="preserve">)</w:t>
      </w:r>
    </w:p>
    <w:p>
      <w:pPr>
        <w:pStyle w:val="FirstParagraph"/>
      </w:pPr>
      <w:r>
        <w:t xml:space="preserve">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release (a restricted pre-release is reached only on the review host, at</w:t>
      </w:r>
      <w:r>
        <w:t xml:space="preserve"> </w:t>
      </w:r>
      <w:r>
        <w:rPr>
          <w:rStyle w:val="VerbatimChar"/>
        </w:rPr>
        <w:t xml:space="preserve">/{version}/atlas/</w:t>
      </w:r>
      <w:r>
        <w:t xml:space="preserve">). The separate Scores and Species Shiny apps that earlier editions of this book described are retired, and their links redirect to the Atlas. See</w:t>
      </w:r>
      <w:r>
        <w:t xml:space="preserve"> </w:t>
      </w:r>
      <w:hyperlink w:anchor="sec-apps">
        <w:r>
          <w:rPr>
            <w:rStyle w:val="Hyperlink"/>
          </w:rPr>
          <w:t xml:space="preserve">Chapter 19</w:t>
        </w:r>
      </w:hyperlink>
      <w:r>
        <w:t xml:space="preserve">.</w:t>
      </w:r>
    </w:p>
    <w:bookmarkEnd w:id="288"/>
    <w:bookmarkEnd w:id="289"/>
    <w:bookmarkStart w:id="290" w:name="implementation-2"/>
    <w:p>
      <w:pPr>
        <w:pStyle w:val="Heading2"/>
      </w:pPr>
      <w:r>
        <w:t xml:space="preserve">10.8 Implementation</w:t>
      </w:r>
    </w:p>
    <w:p>
      <w:pPr>
        <w:pStyle w:val="FirstParagraph"/>
      </w:pPr>
      <w:r>
        <w:t xml:space="preserve">Scoring runs in the</w:t>
      </w:r>
      <w:r>
        <w:t xml:space="preserve"> </w:t>
      </w:r>
      <w:r>
        <w:rPr>
          <w:rStyle w:val="VerbatimChar"/>
        </w:rPr>
        <w:t xml:space="preserve">score_zones</w:t>
      </w:r>
      <w:r>
        <w:t xml:space="preserve">,</w:t>
      </w:r>
      <w:r>
        <w:t xml:space="preserve"> </w:t>
      </w:r>
      <w:r>
        <w:rPr>
          <w:rStyle w:val="VerbatimChar"/>
        </w:rPr>
        <w:t xml:space="preserve">score_cell_metrics</w:t>
      </w:r>
      <w:r>
        <w:t xml:space="preserve"> </w:t>
      </w:r>
      <w:r>
        <w:t xml:space="preserve">and</w:t>
      </w:r>
      <w:r>
        <w:t xml:space="preserve"> </w:t>
      </w:r>
      <w:r>
        <w:rPr>
          <w:rStyle w:val="VerbatimChar"/>
        </w:rPr>
        <w:t xml:space="preserve">score_zone_metrics</w:t>
      </w:r>
      <w:r>
        <w:t xml:space="preserve"> </w:t>
      </w:r>
      <w:r>
        <w:t xml:space="preserve">workflows (</w:t>
      </w:r>
      <w:hyperlink w:anchor="sec-workflows">
        <w:r>
          <w:rPr>
            <w:rStyle w:val="Hyperlink"/>
          </w:rPr>
          <w:t xml:space="preserve">Chapter 16</w:t>
        </w:r>
      </w:hyperlink>
      <w:r>
        <w:t xml:space="preserve">). Whole-pipeline equivalence between releases is checked by</w:t>
      </w:r>
      <w:r>
        <w:t xml:space="preserve"> </w:t>
      </w:r>
      <w:r>
        <w:rPr>
          <w:rStyle w:val="VerbatimChar"/>
        </w:rPr>
        <w:t xml:space="preserve">msens::pra_score_delta</w:t>
      </w:r>
      <w:r>
        <w:t xml:space="preserve">, which compares Program-Area scores on the species the two releases share.</w:t>
      </w:r>
    </w:p>
    <w:bookmarkEnd w:id="290"/>
    <w:bookmarkEnd w:id="291"/>
    <w:bookmarkStart w:id="294" w:name="scoring-walkthrough"/>
    <w:p>
      <w:pPr>
        <w:pStyle w:val="Heading1"/>
      </w:pPr>
      <w:r>
        <w:t xml:space="preserve">11. Scoring Walkthrough</w:t>
      </w:r>
    </w:p>
    <w:p>
      <w:pPr>
        <w:pStyle w:val="FirstParagraph"/>
      </w:pPr>
      <w:r>
        <w:t xml:space="preserve">Interactive step-by-step visualization of the sensitivity scoring</w:t>
      </w:r>
      <w:r>
        <w:t xml:space="preserve"> </w:t>
      </w:r>
      <w:r>
        <w:t xml:space="preserve">pipeline</w:t>
      </w:r>
    </w:p>
    <w:p>
      <w:pPr>
        <w:pStyle w:val="BodyText"/>
      </w:pPr>
      <w:r>
        <w:br/>
      </w:r>
    </w:p>
    <w:p>
      <w:pPr>
        <w:pStyle w:val="BodyText"/>
      </w:pPr>
      <w:r>
        <w:t xml:space="preserve">This interactive walkthrough demonstrates how the Marine Sensitivity Toolkit calculates sensitivity scores, from input rasters through model merging, ecoregional rescaling, and final aggregation. Use the arrow keys or navigation buttons to step through the pipeline. Click any step in the top bar to jump directly to it.</w:t>
      </w:r>
    </w:p>
    <w:p>
      <w:pPr>
        <w:pStyle w:val="BodyText"/>
      </w:pPr>
      <w:r>
        <w:t xml:space="preserve">For the underlying methodology, see</w:t>
      </w:r>
      <w:r>
        <w:t xml:space="preserve"> </w:t>
      </w:r>
      <w:hyperlink w:anchor="sec-scoring">
        <w:r>
          <w:rPr>
            <w:rStyle w:val="Hyperlink"/>
          </w:rPr>
          <w:t xml:space="preserve">Scoring</w:t>
        </w:r>
      </w:hyperlink>
      <w:r>
        <w:t xml:space="preserve"> </w:t>
      </w:r>
      <w:r>
        <w:t xml:space="preserve">and</w:t>
      </w:r>
      <w:r>
        <w:t xml:space="preserve"> </w:t>
      </w:r>
      <w:hyperlink w:anchor="sec-model-merging">
        <w:r>
          <w:rPr>
            <w:rStyle w:val="Hyperlink"/>
          </w:rPr>
          <w:t xml:space="preserve">Model Merging</w:t>
        </w:r>
      </w:hyperlink>
      <w:r>
        <w:t xml:space="preserve">. For source code, see the</w:t>
      </w:r>
      <w:r>
        <w:t xml:space="preserve"> </w:t>
      </w:r>
      <w:hyperlink r:id="rId292">
        <w:r>
          <w:rPr>
            <w:rStyle w:val="Hyperlink"/>
          </w:rPr>
          <w:t xml:space="preserve">workflows index</w:t>
        </w:r>
      </w:hyperlink>
      <w:r>
        <w:t xml:space="preserve">, which lists every notebook in the pipeline with its current dependency graph.</w:t>
      </w:r>
    </w:p>
    <w:p>
      <w:pPr>
        <w:pStyle w:val="BodyText"/>
      </w:pPr>
      <w:r>
        <w:t xml:space="preserve"> </w:t>
      </w:r>
    </w:p>
    <w:bookmarkStart w:id="293" w:name="mst-walkthrough-root"/>
    <w:bookmarkEnd w:id="293"/>
    <w:bookmarkEnd w:id="294"/>
    <w:bookmarkStart w:id="301" w:name="sec-stressors"/>
    <w:p>
      <w:pPr>
        <w:pStyle w:val="Heading1"/>
      </w:pPr>
      <w:r>
        <w:t xml:space="preserve">12. Stressors</w:t>
      </w:r>
    </w:p>
    <w:p>
      <w:pPr>
        <w:pStyle w:val="FirstParagraph"/>
      </w:pPr>
      <w:r>
        <w:t xml:space="preserve">The stressor component of the vulnerability framework (see</w:t>
      </w:r>
      <w:r>
        <w:t xml:space="preserve"> </w:t>
      </w:r>
      <w:hyperlink w:anchor="sec-science">
        <w:r>
          <w:rPr>
            <w:rStyle w:val="Hyperlink"/>
          </w:rPr>
          <w:t xml:space="preserve">Chapter 5</w:t>
        </w:r>
      </w:hyperlink>
      <w:r>
        <w:t xml:space="preserve">) addresses the human activities that may impact marine ecosystems. This section is a placeholder for future phases of the MST, which will incorporate stressor-receptor interaction matrices to complete the full vulnerability assessment.</w:t>
      </w:r>
    </w:p>
    <w:bookmarkStart w:id="299" w:name="offshore-wind-energy"/>
    <w:p>
      <w:pPr>
        <w:pStyle w:val="Heading2"/>
      </w:pPr>
      <w:r>
        <w:t xml:space="preserve">12.1 Offshore Wind Energy</w:t>
      </w:r>
    </w:p>
    <w:p>
      <w:pPr>
        <w:pStyle w:val="FirstParagraph"/>
      </w:pPr>
      <w:r>
        <w:t xml:space="preserve">Evaluation of stressors from the offshore wind industry needs to be evaluated based on human activities given the phase of development, whether pre-construction, construction, operation or decommissioning (</w:t>
      </w:r>
      <w:hyperlink w:anchor="fig-cum-effects">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8" w:name="fig-cum-effects"/>
          <w:p>
            <w:pPr>
              <w:pStyle w:val="Compact"/>
              <w:jc w:val="center"/>
            </w:pPr>
            <w:r>
              <w:drawing>
                <wp:inline>
                  <wp:extent cx="5334000" cy="3953635"/>
                  <wp:effectExtent b="0" l="0" r="0" t="0"/>
                  <wp:docPr descr="" title="" id="296" name="Picture"/>
                  <a:graphic>
                    <a:graphicData uri="http://schemas.openxmlformats.org/drawingml/2006/picture">
                      <pic:pic>
                        <pic:nvPicPr>
                          <pic:cNvPr descr="figures/goodale2016_cumulative-effects.png" id="297" name="Picture"/>
                          <pic:cNvPicPr>
                            <a:picLocks noChangeArrowheads="1" noChangeAspect="1"/>
                          </pic:cNvPicPr>
                        </pic:nvPicPr>
                        <pic:blipFill>
                          <a:blip r:embed="rId295"/>
                          <a:stretch>
                            <a:fillRect/>
                          </a:stretch>
                        </pic:blipFill>
                        <pic:spPr bwMode="auto">
                          <a:xfrm>
                            <a:off x="0" y="0"/>
                            <a:ext cx="5334000" cy="39536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Cumulative adverse effects of offshore wind energy development on wildlife</w:t>
            </w:r>
            <w:r>
              <w:t xml:space="preserve"> </w:t>
            </w:r>
            <w:r>
              <w:t xml:space="preserve">(Goodale and Milman 2016)</w:t>
            </w:r>
            <w:r>
              <w:t xml:space="preserve">.</w:t>
            </w:r>
          </w:p>
          <w:bookmarkEnd w:id="298"/>
        </w:tc>
      </w:tr>
    </w:tbl>
    <w:bookmarkEnd w:id="299"/>
    <w:bookmarkStart w:id="300" w:name="oil-gas"/>
    <w:p>
      <w:pPr>
        <w:pStyle w:val="Heading2"/>
      </w:pPr>
      <w:r>
        <w:t xml:space="preserve">12.2 Oil &amp; Gas</w:t>
      </w:r>
    </w:p>
    <w:bookmarkEnd w:id="300"/>
    <w:bookmarkEnd w:id="301"/>
    <w:bookmarkStart w:id="359" w:name="sec-software"/>
    <w:p>
      <w:pPr>
        <w:pStyle w:val="Heading1"/>
      </w:pPr>
      <w:r>
        <w:t xml:space="preserve">13. Software</w:t>
      </w:r>
    </w:p>
    <w:bookmarkStart w:id="358" w:name="software-overview"/>
    <w:p>
      <w:pPr>
        <w:pStyle w:val="Heading2"/>
      </w:pPr>
      <w:r>
        <w:t xml:space="preserve">13.1 Software Overview</w:t>
      </w:r>
    </w:p>
    <w:p>
      <w:pPr>
        <w:pStyle w:val="FirstParagraph"/>
      </w:pPr>
      <w:r>
        <w:t xml:space="preserve">The</w:t>
      </w:r>
      <w:r>
        <w:t xml:space="preserve"> </w:t>
      </w:r>
      <w:r>
        <w:rPr>
          <w:b/>
          <w:bCs/>
        </w:rPr>
        <w:t xml:space="preserve">Marine Sensitivity Toolkit</w:t>
      </w:r>
      <w:r>
        <w:t xml:space="preserve"> </w:t>
      </w:r>
      <w:r>
        <w:t xml:space="preserve">(MST) is a stack of software components for reproducibly, interactively and hierarchically generating environmental vulnerability maps and scores. Tabular data is collated across studies evaluating sensitivity of species to oil &amp; gas and offshore wind energy development. The best available species and benthic habitat distributions are being mosaicked across the US EEZ. Scores are summarized according to subgroups within Species, Benthic Habitats and Primary Productivity, averaged into an overall score, and visualized as a flower plot, applicable to various levels of BOEM relevancy: regional, ecoregions, protraction diagrams, blocks and aliquots.</w:t>
      </w:r>
    </w:p>
    <w:p>
      <w:pPr>
        <w:pStyle w:val="BodyText"/>
      </w:pPr>
      <w:r>
        <w:t xml:space="preserve">The software components for achieving this interactively are:</w:t>
      </w:r>
    </w:p>
    <w:p>
      <w:pPr>
        <w:pStyle w:val="Compact"/>
        <w:numPr>
          <w:ilvl w:val="0"/>
          <w:numId w:val="1030"/>
        </w:numPr>
      </w:pPr>
      <w:r>
        <w:rPr>
          <w:b/>
          <w:bCs/>
        </w:rPr>
        <w:t xml:space="preserve">server</w:t>
      </w:r>
      <w:r>
        <w:t xml:space="preserve"> </w:t>
      </w:r>
      <w:r>
        <w:t xml:space="preserve">— a Docker Compose configuration orchestrating the reverse proxy, Shiny server, APIs, TiTiler raster serving and file server;</w:t>
      </w:r>
    </w:p>
    <w:p>
      <w:pPr>
        <w:pStyle w:val="Compact"/>
        <w:numPr>
          <w:ilvl w:val="0"/>
          <w:numId w:val="1030"/>
        </w:numPr>
      </w:pPr>
      <w:r>
        <w:rPr>
          <w:b/>
          <w:bCs/>
        </w:rPr>
        <w:t xml:space="preserve">database</w:t>
      </w:r>
      <w:r>
        <w:t xml:space="preserve"> </w:t>
      </w:r>
      <w:r>
        <w:t xml:space="preserve">— a columnar, embedded analytic database (</w:t>
      </w:r>
      <w:hyperlink r:id="rId302">
        <w:r>
          <w:rPr>
            <w:rStyle w:val="Hyperlink"/>
            <w:b/>
            <w:bCs/>
          </w:rPr>
          <w:t xml:space="preserve">DuckDB</w:t>
        </w:r>
      </w:hyperlink>
      <w:r>
        <w:t xml:space="preserve">) as the single source of truth for species distributions, per-cell scores and derived per-zone metrics;</w:t>
      </w:r>
    </w:p>
    <w:p>
      <w:pPr>
        <w:pStyle w:val="Compact"/>
        <w:numPr>
          <w:ilvl w:val="0"/>
          <w:numId w:val="1030"/>
        </w:numPr>
      </w:pPr>
      <w:r>
        <w:rPr>
          <w:b/>
          <w:bCs/>
        </w:rPr>
        <w:t xml:space="preserve">workflows</w:t>
      </w:r>
      <w:r>
        <w:t xml:space="preserve"> </w:t>
      </w:r>
      <w:r>
        <w:t xml:space="preserve">— Quarto notebooks to ingest source datasets (AquaMaps, IUCN, NMFS/FWS, BirdLife, WoRMS, BOEM zones), merge taxonomic authorities, and compute scores that are written back to DuckDB;</w:t>
      </w:r>
    </w:p>
    <w:p>
      <w:pPr>
        <w:pStyle w:val="Compact"/>
        <w:numPr>
          <w:ilvl w:val="0"/>
          <w:numId w:val="1030"/>
        </w:numPr>
      </w:pPr>
      <w:r>
        <w:rPr>
          <w:b/>
          <w:bCs/>
        </w:rPr>
        <w:t xml:space="preserve">APIs</w:t>
      </w:r>
      <w:r>
        <w:t xml:space="preserve"> </w:t>
      </w:r>
      <w:r>
        <w:t xml:space="preserve">— a custom R</w:t>
      </w:r>
      <w:r>
        <w:t xml:space="preserve"> </w:t>
      </w:r>
      <w:hyperlink r:id="rId303">
        <w:r>
          <w:rPr>
            <w:rStyle w:val="VerbatimChar"/>
          </w:rPr>
          <w:t xml:space="preserve">plumber</w:t>
        </w:r>
      </w:hyperlink>
      <w:r>
        <w:t xml:space="preserve"> </w:t>
      </w:r>
      <w:r>
        <w:t xml:space="preserve">API for data requests,</w:t>
      </w:r>
      <w:r>
        <w:t xml:space="preserve"> </w:t>
      </w:r>
      <w:hyperlink r:id="rId304">
        <w:r>
          <w:rPr>
            <w:rStyle w:val="Hyperlink"/>
            <w:b/>
            <w:bCs/>
          </w:rPr>
          <w:t xml:space="preserve">TiTiler</w:t>
        </w:r>
      </w:hyperlink>
      <w:r>
        <w:t xml:space="preserve"> </w:t>
      </w:r>
      <w:r>
        <w:t xml:space="preserve">serving the published COGs, and a searchable STAC API with one Item per model;</w:t>
      </w:r>
    </w:p>
    <w:p>
      <w:pPr>
        <w:pStyle w:val="Compact"/>
        <w:numPr>
          <w:ilvl w:val="0"/>
          <w:numId w:val="1030"/>
        </w:numPr>
      </w:pPr>
      <w:r>
        <w:rPr>
          <w:b/>
          <w:bCs/>
        </w:rPr>
        <w:t xml:space="preserve">libraries</w:t>
      </w:r>
      <w:r>
        <w:t xml:space="preserve"> </w:t>
      </w:r>
      <w:r>
        <w:t xml:space="preserve">— re-usable documented functions as the</w:t>
      </w:r>
      <w:r>
        <w:t xml:space="preserve"> </w:t>
      </w:r>
      <w:hyperlink r:id="rId305">
        <w:r>
          <w:rPr>
            <w:rStyle w:val="VerbatimChar"/>
          </w:rPr>
          <w:t xml:space="preserve">msens</w:t>
        </w:r>
      </w:hyperlink>
      <w:r>
        <w:t xml:space="preserve"> </w:t>
      </w:r>
      <w:r>
        <w:t xml:space="preserve">R package, including the version/manifest registry that lets one application render any release, and the tile-URL helpers the applications use;</w:t>
      </w:r>
    </w:p>
    <w:p>
      <w:pPr>
        <w:pStyle w:val="Compact"/>
        <w:numPr>
          <w:ilvl w:val="0"/>
          <w:numId w:val="1030"/>
        </w:numPr>
      </w:pPr>
      <w:r>
        <w:rPr>
          <w:b/>
          <w:bCs/>
        </w:rPr>
        <w:t xml:space="preserve">applications</w:t>
      </w:r>
      <w:r>
        <w:t xml:space="preserve"> </w:t>
      </w:r>
      <w:r>
        <w:t xml:space="preserve">— the static, in-browser</w:t>
      </w:r>
      <w:r>
        <w:t xml:space="preserve"> </w:t>
      </w:r>
      <w:r>
        <w:rPr>
          <w:b/>
          <w:bCs/>
        </w:rPr>
        <w:t xml:space="preserve">Atlas</w:t>
      </w:r>
      <w:r>
        <w:t xml:space="preserve">, which combines COG raster layers with static</w:t>
      </w:r>
      <w:r>
        <w:t xml:space="preserve"> </w:t>
      </w:r>
      <w:hyperlink r:id="rId306">
        <w:r>
          <w:rPr>
            <w:rStyle w:val="Hyperlink"/>
          </w:rPr>
          <w:t xml:space="preserve">PMTiles</w:t>
        </w:r>
      </w:hyperlink>
      <w:r>
        <w:t xml:space="preserve"> </w:t>
      </w:r>
      <w:r>
        <w:t xml:space="preserve">vector layers and per-zone choropleth fills computed in the browser, rendering</w:t>
      </w:r>
      <w:r>
        <w:t xml:space="preserve"> </w:t>
      </w:r>
      <w:r>
        <w:rPr>
          <w:b/>
          <w:bCs/>
        </w:rPr>
        <w:t xml:space="preserve">any published release</w:t>
      </w:r>
      <w:r>
        <w:t xml:space="preserve"> </w:t>
      </w:r>
      <w:r>
        <w:t xml:space="preserve">(it replaced the earlier</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Shiny apps);</w:t>
      </w:r>
    </w:p>
    <w:p>
      <w:pPr>
        <w:pStyle w:val="Compact"/>
        <w:numPr>
          <w:ilvl w:val="0"/>
          <w:numId w:val="1030"/>
        </w:numPr>
      </w:pPr>
      <w:r>
        <w:rPr>
          <w:b/>
          <w:bCs/>
        </w:rPr>
        <w:t xml:space="preserve">documentation</w:t>
      </w:r>
      <w:r>
        <w:t xml:space="preserve"> </w:t>
      </w:r>
      <w:r>
        <w:t xml:space="preserve">— this Quarto book with figures, tables, glossary and references in interactive HTML or static DOCX / PDF output.</w:t>
      </w:r>
    </w:p>
    <w:p>
      <w:pPr>
        <w:pStyle w:val="FirstParagraph"/>
      </w:pPr>
      <w:r>
        <w:t xml:space="preserve">This toolbox is intended to primarily serve BOEM needs internally, but by being open-source and fully reproducible the hope is to enlist buy-in and even contributions from external partners, whether from other government agencies, academia, NGOs or industry.</w:t>
      </w:r>
    </w:p>
    <w:p>
      <w:pPr>
        <w:pStyle w:val="BodyText"/>
      </w:pPr>
      <w:r>
        <w:t xml:space="preserve">We ascribe to the philosophy of sharing all code for the sake of reproducibility, transparency and efficiency</w:t>
      </w:r>
      <w:r>
        <w:t xml:space="preserve"> </w:t>
      </w:r>
      <w:r>
        <w:t xml:space="preserve">(Maitner et al. 2024; Lowndes et al. 2017)</w:t>
      </w:r>
      <w:r>
        <w:t xml:space="preserve">; i.e. the FAIR principles of Findability, Accessibility, Interoperability, and Reusability</w:t>
      </w:r>
      <w:r>
        <w:t xml:space="preserve"> </w:t>
      </w:r>
      <w:r>
        <w:t xml:space="preserve">(</w:t>
      </w:r>
      <w:r>
        <w:t xml:space="preserve">Wilkinson et al.</w:t>
      </w:r>
      <w:r>
        <w:t xml:space="preserve"> </w:t>
      </w:r>
      <w:r>
        <w:t xml:space="preserve">2016)</w:t>
      </w:r>
      <w:r>
        <w:t xml:space="preserve">.</w:t>
      </w:r>
    </w:p>
    <w:tbl>
      <w:tblPr>
        <w:tblStyle w:val="Table"/>
        <w:tblW w:type="pct" w:w="5000"/>
        <w:tblLayout w:type="fixed"/>
        <w:tblLook w:firstRow="0" w:lastRow="0" w:firstColumn="0" w:lastColumn="0" w:noHBand="0" w:noVBand="0" w:val="0000"/>
      </w:tblPr>
      <w:tblGrid>
        <w:gridCol w:w="7920"/>
      </w:tblGrid>
      <w:tr>
        <w:tc>
          <w:tcPr/>
          <w:bookmarkStart w:id="310" w:name="fig-architecture"/>
          <w:p>
            <w:pPr>
              <w:jc w:val="center"/>
            </w:pPr>
            <w:r>
              <w:drawing>
                <wp:inline>
                  <wp:extent cx="5334000" cy="2087880"/>
                  <wp:effectExtent b="0" l="0" r="0" t="0"/>
                  <wp:docPr descr="" title="" id="308" name="Picture"/>
                  <a:graphic>
                    <a:graphicData uri="http://schemas.openxmlformats.org/drawingml/2006/picture">
                      <pic:pic>
                        <pic:nvPicPr>
                          <pic:cNvPr descr="software_files/figure-docx/mermaid-figure-6.png" id="309" name="Picture"/>
                          <pic:cNvPicPr>
                            <a:picLocks noChangeArrowheads="1" noChangeAspect="1"/>
                          </pic:cNvPicPr>
                        </pic:nvPicPr>
                        <pic:blipFill>
                          <a:blip r:embed="rId307"/>
                          <a:stretch>
                            <a:fillRect/>
                          </a:stretch>
                        </pic:blipFill>
                        <pic:spPr bwMode="auto">
                          <a:xfrm>
                            <a:off x="0" y="0"/>
                            <a:ext cx="5334000" cy="2087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System architecture: a release is published as partitioned Parquet plus pre-rendered COGs. TiTiler serves the score rasters; zone polygons are served as static PMTiles through Caddy; the Shiny apps combine both layer types and push per-zone scores live into the polygon paint spec.</w:t>
            </w:r>
          </w:p>
          <w:bookmarkEnd w:id="310"/>
        </w:tc>
      </w:tr>
    </w:tbl>
    <w:bookmarkStart w:id="312" w:name="interactive-applications"/>
    <w:p>
      <w:pPr>
        <w:pStyle w:val="Heading3"/>
      </w:pPr>
      <w:r>
        <w:t xml:space="preserve">13.1.1 Interactive Applications</w:t>
      </w:r>
    </w:p>
    <w:p>
      <w:pPr>
        <w:pStyle w:val="FirstParagraph"/>
      </w:pPr>
      <w:r>
        <w:t xml:space="preserve">The project’s interactive application, the Atlas (</w:t>
      </w:r>
      <w:hyperlink w:anchor="sec-apps">
        <w:r>
          <w:rPr>
            <w:rStyle w:val="Hyperlink"/>
          </w:rPr>
          <w:t xml:space="preserve">Chapter 19</w:t>
        </w:r>
      </w:hyperlink>
      <w:r>
        <w:t xml:space="preserve">), lets users visualize the data, explore the results, and interact with the data in a more intuitive way. It is a static web app that computes scores, tables and reports in the browser. Earlier editions of the MST were instead served by two applications built with the</w:t>
      </w:r>
      <w:r>
        <w:t xml:space="preserve"> </w:t>
      </w:r>
      <w:hyperlink r:id="rId311">
        <w:r>
          <w:rPr>
            <w:rStyle w:val="VerbatimChar"/>
          </w:rPr>
          <w:t xml:space="preserve">shiny</w:t>
        </w:r>
      </w:hyperlink>
      <w:r>
        <w:t xml:space="preserve"> </w:t>
      </w:r>
      <w:r>
        <w:t xml:space="preserve">package in R</w:t>
      </w:r>
      <w:r>
        <w:t xml:space="preserve"> </w:t>
      </w:r>
      <w:r>
        <w:t xml:space="preserve">(Chang et al. 2024)</w:t>
      </w:r>
      <w:r>
        <w:t xml:space="preserve">, now retired; the diagrams in this chapter were drawn for that design, so where they show a Shiny server, the Atlas does that work in the browser, with the same COG, PMTiles and Parquet data underneath.</w:t>
      </w:r>
    </w:p>
    <w:bookmarkEnd w:id="312"/>
    <w:bookmarkStart w:id="337" w:name="Xddf0dca5d35bcc89b4072398564c4f4257b1e72"/>
    <w:p>
      <w:pPr>
        <w:pStyle w:val="Heading3"/>
      </w:pPr>
      <w:r>
        <w:t xml:space="preserve">13.1.2 Overcoming Challenges with Large Spatial Data</w:t>
      </w:r>
    </w:p>
    <w:p>
      <w:pPr>
        <w:pStyle w:val="FirstParagraph"/>
      </w:pPr>
      <w:r>
        <w:t xml:space="preserve">The MST project incorporates many large spatial datasets that are problematic to render in a typical interactive application. For instance, the most common interactive mapping R package</w:t>
      </w:r>
      <w:r>
        <w:t xml:space="preserve"> </w:t>
      </w:r>
      <w:r>
        <w:rPr>
          <w:rStyle w:val="VerbatimChar"/>
        </w:rPr>
        <w:t xml:space="preserve">leaflet</w:t>
      </w:r>
      <w:r>
        <w:t xml:space="preserve"> </w:t>
      </w:r>
      <w:r>
        <w:t xml:space="preserve">has a 4 MB limitation for displaying rasters (see</w:t>
      </w:r>
      <w:r>
        <w:t xml:space="preserve"> </w:t>
      </w:r>
      <w:r>
        <w:t xml:space="preserve">“Large Raster Warning”</w:t>
      </w:r>
      <w:r>
        <w:t xml:space="preserve"> </w:t>
      </w:r>
      <w:r>
        <w:t xml:space="preserve">in</w:t>
      </w:r>
      <w:r>
        <w:t xml:space="preserve"> </w:t>
      </w:r>
      <w:hyperlink r:id="rId313">
        <w:r>
          <w:rPr>
            <w:rStyle w:val="Hyperlink"/>
          </w:rPr>
          <w:t xml:space="preserve">Raster Images • leaflet</w:t>
        </w:r>
      </w:hyperlink>
      <w:r>
        <w:t xml:space="preserve">). Vectors (points, lines and polygons) get smoothed when containing many vertices, but contiguity between polygons is lost and rendering degrades depending on the user’s connection speed.</w:t>
      </w:r>
    </w:p>
    <w:p>
      <w:pPr>
        <w:pStyle w:val="BodyText"/>
      </w:pPr>
      <w:r>
        <w:t xml:space="preserve">To work around these limitations we use a</w:t>
      </w:r>
      <w:r>
        <w:t xml:space="preserve"> </w:t>
      </w:r>
      <w:r>
        <w:t xml:space="preserve">“cloud native”</w:t>
      </w:r>
      <w:r>
        <w:t xml:space="preserve"> </w:t>
      </w:r>
      <w:r>
        <w:t xml:space="preserve">stack (see also the</w:t>
      </w:r>
      <w:r>
        <w:t xml:space="preserve"> </w:t>
      </w:r>
      <w:hyperlink r:id="rId314">
        <w:r>
          <w:rPr>
            <w:rStyle w:val="Hyperlink"/>
          </w:rPr>
          <w:t xml:space="preserve">Cloud-Optimized Geospatial Formats Guide</w:t>
        </w:r>
      </w:hyperlink>
      <w:r>
        <w:t xml:space="preserve">) that transfers only the pixels / features visible in the current viewport:</w:t>
      </w:r>
    </w:p>
    <w:p>
      <w:pPr>
        <w:pStyle w:val="Compact"/>
        <w:numPr>
          <w:ilvl w:val="0"/>
          <w:numId w:val="1031"/>
        </w:numPr>
      </w:pPr>
      <w:r>
        <w:rPr>
          <w:b/>
          <w:bCs/>
        </w:rPr>
        <w:t xml:space="preserve">Raster cell values</w:t>
      </w:r>
      <w:r>
        <w:t xml:space="preserve"> </w:t>
      </w:r>
      <w:r>
        <w:t xml:space="preserve">are published as pre-rendered Cloud-Optimized GeoTIFFs and delivered as small</w:t>
      </w:r>
      <w:r>
        <w:t xml:space="preserve"> </w:t>
      </w:r>
      <w:r>
        <w:rPr>
          <w:rStyle w:val="VerbatimChar"/>
        </w:rPr>
        <w:t xml:space="preserve">256×256</w:t>
      </w:r>
      <w:r>
        <w:t xml:space="preserve"> </w:t>
      </w:r>
      <w:r>
        <w:t xml:space="preserve">PNG tiles by TiTiler’s stock</w:t>
      </w:r>
      <w:r>
        <w:t xml:space="preserve"> </w:t>
      </w:r>
      <w:r>
        <w:rPr>
          <w:rStyle w:val="VerbatimChar"/>
        </w:rPr>
        <w:t xml:space="preserve">/cog</w:t>
      </w:r>
      <w:r>
        <w:t xml:space="preserve"> </w:t>
      </w:r>
      <w:r>
        <w:t xml:space="preserve">routes, which range-read only the part of the COG a tile needs.</w:t>
      </w:r>
    </w:p>
    <w:p>
      <w:pPr>
        <w:pStyle w:val="Compact"/>
        <w:numPr>
          <w:ilvl w:val="0"/>
          <w:numId w:val="1031"/>
        </w:numPr>
      </w:pPr>
      <w:r>
        <w:rPr>
          <w:b/>
          <w:bCs/>
        </w:rPr>
        <w:t xml:space="preserve">Vector polygons</w:t>
      </w:r>
      <w:r>
        <w:t xml:space="preserve"> </w:t>
      </w:r>
      <w:r>
        <w:t xml:space="preserve">(Program Areas, Ecoregions, Planning Areas, …) are served as static</w:t>
      </w:r>
      <w:r>
        <w:t xml:space="preserve"> </w:t>
      </w:r>
      <w:hyperlink r:id="rId306">
        <w:r>
          <w:rPr>
            <w:rStyle w:val="Hyperlink"/>
          </w:rPr>
          <w:t xml:space="preserve">PMTiles</w:t>
        </w:r>
      </w:hyperlink>
      <w:r>
        <w:t xml:space="preserve"> </w:t>
      </w:r>
      <w:r>
        <w:t xml:space="preserve">archives by the Caddy file server — a single archive per layer, range-read by the browser.</w:t>
      </w:r>
    </w:p>
    <w:p>
      <w:pPr>
        <w:pStyle w:val="Compact"/>
        <w:numPr>
          <w:ilvl w:val="0"/>
          <w:numId w:val="1031"/>
        </w:numPr>
      </w:pPr>
      <w:r>
        <w:rPr>
          <w:b/>
          <w:bCs/>
        </w:rPr>
        <w:t xml:space="preserve">Choropleth values</w:t>
      </w:r>
      <w:r>
        <w:t xml:space="preserve"> </w:t>
      </w:r>
      <w:r>
        <w:t xml:space="preserve">(per-Program-Area scores) are pushed live from DuckDB into the PMTiles paint spec via a</w:t>
      </w:r>
      <w:r>
        <w:t xml:space="preserve"> </w:t>
      </w:r>
      <w:r>
        <w:rPr>
          <w:rStyle w:val="VerbatimChar"/>
        </w:rPr>
        <w:t xml:space="preserve">mapbox-gl</w:t>
      </w:r>
      <w:r>
        <w:t xml:space="preserve"> </w:t>
      </w:r>
      <w:r>
        <w:rPr>
          <w:rStyle w:val="VerbatimChar"/>
        </w:rPr>
        <w:t xml:space="preserve">match</w:t>
      </w:r>
      <w:r>
        <w:t xml:space="preserve"> </w:t>
      </w:r>
      <w:r>
        <w:t xml:space="preserve">expression, so geometry stays static but color updates as the user changes metric / subregion.</w:t>
      </w:r>
    </w:p>
    <w:p>
      <w:pPr>
        <w:pStyle w:val="FirstParagraph"/>
      </w:pPr>
      <w:r>
        <w:t xml:space="preserve">Let’s take a closer look at each.</w:t>
      </w:r>
    </w:p>
    <w:bookmarkStart w:id="319" w:name="raster-pre-rendered-cogs"/>
    <w:p>
      <w:pPr>
        <w:pStyle w:val="Heading4"/>
      </w:pPr>
      <w:r>
        <w:t xml:space="preserve">13.1.2.1 Raster: pre-rendered COGs</w:t>
      </w:r>
    </w:p>
    <w:p>
      <w:pPr>
        <w:pStyle w:val="FirstParagraph"/>
      </w:pPr>
      <w:r>
        <w:t xml:space="preserve">Each metric (e.g. </w:t>
      </w:r>
      <w:r>
        <w:rPr>
          <w:rStyle w:val="VerbatimChar"/>
        </w:rPr>
        <w:t xml:space="preserve">extrisk_mammal</w:t>
      </w:r>
      <w:r>
        <w:t xml:space="preserve">) resolves, in DuckDB’s</w:t>
      </w:r>
      <w:r>
        <w:t xml:space="preserve"> </w:t>
      </w:r>
      <w:r>
        <w:rPr>
          <w:rStyle w:val="VerbatimChar"/>
        </w:rPr>
        <w:t xml:space="preserve">cell_metric</w:t>
      </w:r>
      <w:r>
        <w:t xml:space="preserve"> </w:t>
      </w:r>
      <w:r>
        <w:t xml:space="preserve">table, to a list of</w:t>
      </w:r>
      <w:r>
        <w:t xml:space="preserve"> </w:t>
      </w:r>
      <w:r>
        <w:rPr>
          <w:rStyle w:val="VerbatimChar"/>
        </w:rPr>
        <w:t xml:space="preserve">(cell_id, val)</w:t>
      </w:r>
      <w:r>
        <w:t xml:space="preserve"> </w:t>
      </w:r>
      <w:r>
        <w:t xml:space="preserve">rows — one per grid cell. Materializing the full raster and shipping it to the browser is not viable (several GiB), so only the tiles in view are transferred.</w:t>
      </w:r>
    </w:p>
    <w:p>
      <w:pPr>
        <w:pStyle w:val="BodyText"/>
      </w:pPr>
      <w:r>
        <w:t xml:space="preserve">Scores are published as</w:t>
      </w:r>
      <w:r>
        <w:t xml:space="preserve"> </w:t>
      </w:r>
      <w:r>
        <w:rPr>
          <w:b/>
          <w:bCs/>
        </w:rPr>
        <w:t xml:space="preserve">one COG per metric × subregion</w:t>
      </w:r>
      <w:r>
        <w:t xml:space="preserve">, written by a publishing workflow into a content-addressed store. Each release’s manifest carries the href and the build-time rescale range, so the application reads them and hands the URL to TiTiler’s stock</w:t>
      </w:r>
      <w:r>
        <w:t xml:space="preserve"> </w:t>
      </w:r>
      <w:r>
        <w:rPr>
          <w:rStyle w:val="VerbatimChar"/>
        </w:rPr>
        <w:t xml:space="preserve">/cog</w:t>
      </w:r>
      <w:r>
        <w:t xml:space="preserve"> </w:t>
      </w:r>
      <w:r>
        <w:t xml:space="preserve">endpoints — no custom endpoint, and no database query in the tile path (</w:t>
      </w:r>
      <w:hyperlink w:anchor="fig-raster">
        <w:r>
          <w:rPr>
            <w:rStyle w:val="Hyperlink"/>
          </w:rPr>
          <w:t xml:space="preserve">Figure 13.2</w:t>
        </w:r>
      </w:hyperlink>
      <w:r>
        <w:t xml:space="preserve">).</w:t>
      </w:r>
    </w:p>
    <w:p>
      <w:pPr>
        <w:pStyle w:val="BodyText"/>
      </w:pPr>
      <w:r>
        <w:t xml:space="preserve">Two details are load-bearing:</w:t>
      </w:r>
    </w:p>
    <w:p>
      <w:pPr>
        <w:pStyle w:val="Compact"/>
        <w:numPr>
          <w:ilvl w:val="0"/>
          <w:numId w:val="1032"/>
        </w:numPr>
      </w:pPr>
      <w:r>
        <w:rPr>
          <w:b/>
          <w:bCs/>
        </w:rPr>
        <w:t xml:space="preserve">No overviews.</w:t>
      </w:r>
      <w:r>
        <w:t xml:space="preserve"> </w:t>
      </w:r>
      <w:r>
        <w:t xml:space="preserve">The renderer decimates from full resolution on each request, so a pre-built pyramid would disagree with it at low zoom.</w:t>
      </w:r>
    </w:p>
    <w:p>
      <w:pPr>
        <w:pStyle w:val="Compact"/>
        <w:numPr>
          <w:ilvl w:val="0"/>
          <w:numId w:val="1032"/>
        </w:numPr>
      </w:pPr>
      <w:r>
        <w:rPr>
          <w:b/>
          <w:bCs/>
        </w:rPr>
        <w:t xml:space="preserve">The object key includes the encoding, not just the payload.</w:t>
      </w:r>
      <w:r>
        <w:t xml:space="preserve"> </w:t>
      </w:r>
      <w:r>
        <w:t xml:space="preserve">Rewriting an object at a stable URL once left GDAL’s</w:t>
      </w:r>
      <w:r>
        <w:t xml:space="preserve"> </w:t>
      </w:r>
      <w:r>
        <w:rPr>
          <w:rStyle w:val="VerbatimChar"/>
        </w:rPr>
        <w:t xml:space="preserve">/vsicurl</w:t>
      </w:r>
      <w:r>
        <w:t xml:space="preserve"> </w:t>
      </w:r>
      <w:r>
        <w:t xml:space="preserve">serving a cached header describing bytes that no longer existed: fine at z5+, HTTP 500 at z2–z4.</w:t>
      </w:r>
    </w:p>
    <w:p>
      <w:pPr>
        <w:pStyle w:val="FirstParagraph"/>
      </w:pPr>
      <w:r>
        <w:t xml:space="preserve">This replaced a</w:t>
      </w:r>
      <w:r>
        <w:t xml:space="preserve"> </w:t>
      </w:r>
      <w:r>
        <w:rPr>
          <w:b/>
          <w:bCs/>
        </w:rPr>
        <w:t xml:space="preserve">custom TiTiler factory</w:t>
      </w:r>
      <w:r>
        <w:t xml:space="preserve"> </w:t>
      </w:r>
      <w:r>
        <w:t xml:space="preserve">that rendered each tile by executing a validated SELECT against DuckDB and looking the result up against a pre-baked cell-id COG, with Varnish caching each tile URL for seven days. That path is retired but kept behind a flag (see</w:t>
      </w:r>
      <w:r>
        <w:t xml:space="preserve"> </w:t>
      </w:r>
      <w:hyperlink w:anchor="sec-apis">
        <w:r>
          <w:rPr>
            <w:rStyle w:val="Hyperlink"/>
          </w:rPr>
          <w:t xml:space="preserve">Chapter 17</w:t>
        </w:r>
      </w:hyperlink>
      <w:r>
        <w:t xml:space="preserve">); the two were verified to produce the same picture before the switch.</w:t>
      </w:r>
    </w:p>
    <w:tbl>
      <w:tblPr>
        <w:tblStyle w:val="Table"/>
        <w:tblW w:type="pct" w:w="5000"/>
        <w:tblLayout w:type="fixed"/>
        <w:tblLook w:firstRow="0" w:lastRow="0" w:firstColumn="0" w:lastColumn="0" w:noHBand="0" w:noVBand="0" w:val="0000"/>
      </w:tblPr>
      <w:tblGrid>
        <w:gridCol w:w="7920"/>
      </w:tblGrid>
      <w:tr>
        <w:tc>
          <w:tcPr/>
          <w:bookmarkStart w:id="318" w:name="fig-raster"/>
          <w:p>
            <w:pPr>
              <w:jc w:val="center"/>
            </w:pPr>
            <w:r>
              <w:drawing>
                <wp:inline>
                  <wp:extent cx="5334000" cy="2895599"/>
                  <wp:effectExtent b="0" l="0" r="0" t="0"/>
                  <wp:docPr descr="" title="" id="316" name="Picture"/>
                  <a:graphic>
                    <a:graphicData uri="http://schemas.openxmlformats.org/drawingml/2006/picture">
                      <pic:pic>
                        <pic:nvPicPr>
                          <pic:cNvPr descr="software_files/figure-docx/mermaid-figure-10.png" id="317" name="Picture"/>
                          <pic:cNvPicPr>
                            <a:picLocks noChangeArrowheads="1" noChangeAspect="1"/>
                          </pic:cNvPicPr>
                        </pic:nvPicPr>
                        <pic:blipFill>
                          <a:blip r:embed="rId315"/>
                          <a:stretch>
                            <a:fillRect/>
                          </a:stretch>
                        </pic:blipFill>
                        <pic:spPr bwMode="auto">
                          <a:xfrm>
                            <a:off x="0" y="0"/>
                            <a:ext cx="5334000" cy="2895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Sequence diagram: a cell-values raster layer is rendered on-the-fly by the custom msens TiTiler factory from the DuckDB source of truth. Varnish caches identical tile URLs for 7 days.</w:t>
            </w:r>
          </w:p>
          <w:bookmarkEnd w:id="318"/>
        </w:tc>
      </w:tr>
    </w:tbl>
    <w:p>
      <w:pPr>
        <w:pStyle w:val="BodyText"/>
      </w:pPr>
      <w:r>
        <w:t xml:space="preserve">Binary overlays — the</w:t>
      </w:r>
      <w:r>
        <w:t xml:space="preserve"> </w:t>
      </w:r>
      <w:r>
        <w:t xml:space="preserve">“cells outside Program Areas”</w:t>
      </w:r>
      <w:r>
        <w:t xml:space="preserve"> </w:t>
      </w:r>
      <w:r>
        <w:t xml:space="preserve">mask — are published the same way, as their own single-color rasters rather than as a query.</w:t>
      </w:r>
    </w:p>
    <w:bookmarkEnd w:id="319"/>
    <w:bookmarkStart w:id="326" w:name="vector-static-pmtiles-served-by-caddy"/>
    <w:p>
      <w:pPr>
        <w:pStyle w:val="Heading4"/>
      </w:pPr>
      <w:r>
        <w:t xml:space="preserve">13.1.2.2 Vector: static PMTiles served by Caddy</w:t>
      </w:r>
    </w:p>
    <w:p>
      <w:pPr>
        <w:pStyle w:val="FirstParagraph"/>
      </w:pPr>
      <w:r>
        <w:t xml:space="preserve">For polygon layers (Program Areas, Ecoregions, Planning Areas, protractions, blocks, aliquots) we build</w:t>
      </w:r>
      <w:r>
        <w:t xml:space="preserve"> </w:t>
      </w:r>
      <w:hyperlink r:id="rId306">
        <w:r>
          <w:rPr>
            <w:rStyle w:val="Hyperlink"/>
          </w:rPr>
          <w:t xml:space="preserve">PMTiles</w:t>
        </w:r>
      </w:hyperlink>
      <w:r>
        <w:t xml:space="preserve"> </w:t>
      </w:r>
      <w:r>
        <w:t xml:space="preserve">archives offline via</w:t>
      </w:r>
      <w:r>
        <w:t xml:space="preserve"> </w:t>
      </w:r>
      <w:hyperlink r:id="rId320">
        <w:r>
          <w:rPr>
            <w:rStyle w:val="Hyperlink"/>
          </w:rPr>
          <w:t xml:space="preserve">tippecanoe</w:t>
        </w:r>
      </w:hyperlink>
      <w:r>
        <w:t xml:space="preserve"> </w:t>
      </w:r>
      <w:r>
        <w:t xml:space="preserve">and publish them as static files on the server. A PMTiles archive is a single file with an internal directory structure that lets any HTTP client issue small range requests for individual tiles; no tile server process is required — Caddy’s static file handler is all we need (</w:t>
      </w:r>
      <w:hyperlink w:anchor="fig-pmtiles">
        <w:r>
          <w:rPr>
            <w:rStyle w:val="Hyperlink"/>
          </w:rPr>
          <w:t xml:space="preserve">Figure 13.3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4" w:name="fig-pmtiles"/>
          <w:p>
            <w:pPr>
              <w:jc w:val="center"/>
            </w:pPr>
            <w:r>
              <w:drawing>
                <wp:inline>
                  <wp:extent cx="5334000" cy="1866900"/>
                  <wp:effectExtent b="0" l="0" r="0" t="0"/>
                  <wp:docPr descr="" title="" id="322" name="Picture"/>
                  <a:graphic>
                    <a:graphicData uri="http://schemas.openxmlformats.org/drawingml/2006/picture">
                      <pic:pic>
                        <pic:nvPicPr>
                          <pic:cNvPr descr="software_files/figure-docx/mermaid-figure-9.png" id="323" name="Picture"/>
                          <pic:cNvPicPr>
                            <a:picLocks noChangeArrowheads="1" noChangeAspect="1"/>
                          </pic:cNvPicPr>
                        </pic:nvPicPr>
                        <pic:blipFill>
                          <a:blip r:embed="rId321"/>
                          <a:stretch>
                            <a:fillRect/>
                          </a:stretch>
                        </pic:blipFill>
                        <pic:spPr bwMode="auto">
                          <a:xfrm>
                            <a:off x="0" y="0"/>
                            <a:ext cx="5334000" cy="18669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13.3: Sequence diagram: vector layers are served as static PMTiles archives through Caddy. Each tile is a byte-range read of the archive — no tile server process is in the path.</w:t>
            </w:r>
          </w:p>
          <w:bookmarkEnd w:id="324"/>
        </w:tc>
      </w:tr>
    </w:tbl>
    <w:p>
      <w:pPr>
        <w:pStyle w:val="BodyText"/>
      </w:pPr>
      <w:r>
        <w:t xml:space="preserve">This is a deliberate simplification from the prior architecture which used PostgreSQL + PostGIS +</w:t>
      </w:r>
      <w:r>
        <w:t xml:space="preserve"> </w:t>
      </w:r>
      <w:hyperlink r:id="rId325">
        <w:r>
          <w:rPr>
            <w:rStyle w:val="Hyperlink"/>
          </w:rPr>
          <w:t xml:space="preserve">pg_tileserv</w:t>
        </w:r>
      </w:hyperlink>
      <w:r>
        <w:t xml:space="preserve">. For our workload — polygon layers that change only when the data is rebuilt — a compiled tile server and live database query engine add latency and operational complexity for no benefit over byte-range reads of a pre-baked archive. (PostgreSQL and</w:t>
      </w:r>
      <w:r>
        <w:t xml:space="preserve"> </w:t>
      </w:r>
      <w:r>
        <w:rPr>
          <w:rStyle w:val="VerbatimChar"/>
        </w:rPr>
        <w:t xml:space="preserve">pg_tileserv</w:t>
      </w:r>
      <w:r>
        <w:t xml:space="preserve"> </w:t>
      </w:r>
      <w:r>
        <w:t xml:space="preserve">are now commented out of</w:t>
      </w:r>
      <w:r>
        <w:t xml:space="preserve"> </w:t>
      </w:r>
      <w:r>
        <w:rPr>
          <w:rStyle w:val="VerbatimChar"/>
        </w:rPr>
        <w:t xml:space="preserve">docker-compose.yml</w:t>
      </w:r>
      <w:r>
        <w:t xml:space="preserve"> </w:t>
      </w:r>
      <w:r>
        <w:t xml:space="preserve">entirely and are not running; see</w:t>
      </w:r>
      <w:r>
        <w:t xml:space="preserve"> </w:t>
      </w:r>
      <w:hyperlink w:anchor="sec-server">
        <w:r>
          <w:rPr>
            <w:rStyle w:val="Hyperlink"/>
          </w:rPr>
          <w:t xml:space="preserve">Chapter 14</w:t>
        </w:r>
      </w:hyperlink>
      <w:r>
        <w:t xml:space="preserve">.)</w:t>
      </w:r>
    </w:p>
    <w:bookmarkEnd w:id="326"/>
    <w:bookmarkStart w:id="331" w:name="Xe084660585d230a14a0d8fdd97faa0fee4dc6ad"/>
    <w:p>
      <w:pPr>
        <w:pStyle w:val="Heading4"/>
      </w:pPr>
      <w:r>
        <w:t xml:space="preserve">13.1.2.3 Choropleth: live DuckDB values + static PMTiles geometry</w:t>
      </w:r>
    </w:p>
    <w:p>
      <w:pPr>
        <w:pStyle w:val="FirstParagraph"/>
      </w:pPr>
      <w:r>
        <w:t xml:space="preserve">The Program Area choropleth is the interesting hybrid case. The</w:t>
      </w:r>
      <w:r>
        <w:t xml:space="preserve"> </w:t>
      </w:r>
      <w:r>
        <w:rPr>
          <w:i/>
          <w:iCs/>
        </w:rPr>
        <w:t xml:space="preserve">geometry</w:t>
      </w:r>
      <w:r>
        <w:t xml:space="preserve"> </w:t>
      </w:r>
      <w:r>
        <w:t xml:space="preserve">(Program Area polygons keyed by</w:t>
      </w:r>
      <w:r>
        <w:t xml:space="preserve"> </w:t>
      </w:r>
      <w:r>
        <w:rPr>
          <w:rStyle w:val="VerbatimChar"/>
        </w:rPr>
        <w:t xml:space="preserve">programarea_key</w:t>
      </w:r>
      <w:r>
        <w:t xml:space="preserve">) is static — it comes from the same PMTiles file as the polygon outlines. But the</w:t>
      </w:r>
      <w:r>
        <w:t xml:space="preserve"> </w:t>
      </w:r>
      <w:r>
        <w:rPr>
          <w:i/>
          <w:iCs/>
        </w:rPr>
        <w:t xml:space="preserve">fill color</w:t>
      </w:r>
      <w:r>
        <w:t xml:space="preserve"> </w:t>
      </w:r>
      <w:r>
        <w:t xml:space="preserve">depends on the currently-selected metric + subregion, which means the per-Program-Area score has to come live from DuckDB.</w:t>
      </w:r>
    </w:p>
    <w:p>
      <w:pPr>
        <w:pStyle w:val="BodyText"/>
      </w:pPr>
      <w:r>
        <w:t xml:space="preserve">(This describes the retired Shiny design; the Atlas applies the same idea in the browser, coloring the static PMTiles geometry from per-zone scores it reads for the release.) The Shiny server handled this by querying</w:t>
      </w:r>
      <w:r>
        <w:t xml:space="preserve"> </w:t>
      </w:r>
      <w:r>
        <w:rPr>
          <w:rStyle w:val="VerbatimChar"/>
        </w:rPr>
        <w:t xml:space="preserve">zone_metric</w:t>
      </w:r>
      <w:r>
        <w:t xml:space="preserve"> </w:t>
      </w:r>
      <w:r>
        <w:t xml:space="preserve">(pre-aggregated per-zone values), building a</w:t>
      </w:r>
      <w:r>
        <w:t xml:space="preserve"> </w:t>
      </w:r>
      <w:r>
        <w:rPr>
          <w:rStyle w:val="VerbatimChar"/>
        </w:rPr>
        <w:t xml:space="preserve">mapbox-gl</w:t>
      </w:r>
      <w:r>
        <w:t xml:space="preserve"> </w:t>
      </w:r>
      <w:r>
        <w:rPr>
          <w:rStyle w:val="VerbatimChar"/>
        </w:rPr>
        <w:t xml:space="preserve">match</w:t>
      </w:r>
      <w:r>
        <w:t xml:space="preserve"> </w:t>
      </w:r>
      <w:r>
        <w:t xml:space="preserve">expression that mapped</w:t>
      </w:r>
      <w:r>
        <w:t xml:space="preserve"> </w:t>
      </w:r>
      <w:r>
        <w:rPr>
          <w:rStyle w:val="VerbatimChar"/>
        </w:rPr>
        <w:t xml:space="preserve">programarea_key → fill_color</w:t>
      </w:r>
      <w:r>
        <w:t xml:space="preserve">, and pushing that paint rule to the map through</w:t>
      </w:r>
      <w:r>
        <w:t xml:space="preserve"> </w:t>
      </w:r>
      <w:r>
        <w:rPr>
          <w:rStyle w:val="VerbatimChar"/>
        </w:rPr>
        <w:t xml:space="preserve">mapgl</w:t>
      </w:r>
      <w:r>
        <w:t xml:space="preserve">’s Shiny proxy. No tiles are re-rendered; only the paint specification changes (</w:t>
      </w:r>
      <w:hyperlink w:anchor="fig-choropleth">
        <w:r>
          <w:rPr>
            <w:rStyle w:val="Hyperlink"/>
          </w:rPr>
          <w:t xml:space="preserve">Figure 13.4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0" w:name="fig-choropleth"/>
          <w:p>
            <w:pPr>
              <w:jc w:val="center"/>
            </w:pPr>
            <w:r>
              <w:drawing>
                <wp:inline>
                  <wp:extent cx="5334000" cy="2339340"/>
                  <wp:effectExtent b="0" l="0" r="0" t="0"/>
                  <wp:docPr descr="" title="" id="328" name="Picture"/>
                  <a:graphic>
                    <a:graphicData uri="http://schemas.openxmlformats.org/drawingml/2006/picture">
                      <pic:pic>
                        <pic:nvPicPr>
                          <pic:cNvPr descr="software_files/figure-docx/mermaid-figure-8.png" id="329" name="Picture"/>
                          <pic:cNvPicPr>
                            <a:picLocks noChangeArrowheads="1" noChangeAspect="1"/>
                          </pic:cNvPicPr>
                        </pic:nvPicPr>
                        <pic:blipFill>
                          <a:blip r:embed="rId327"/>
                          <a:stretch>
                            <a:fillRect/>
                          </a:stretch>
                        </pic:blipFill>
                        <pic:spPr bwMode="auto">
                          <a:xfrm>
                            <a:off x="0" y="0"/>
                            <a:ext cx="5334000" cy="233934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13.4: Sequence diagram: the Program Area choropleth. Polygon geometry is static (PMTiles from Caddy file server); per-area fill values come live from DuckDB’s zone_metric table and are pushed into mapbox-gl’s paint spec via a match expression. Switching metrics updates only the paint rule, not the tiles.</w:t>
            </w:r>
          </w:p>
          <w:bookmarkEnd w:id="330"/>
        </w:tc>
      </w:tr>
    </w:tbl>
    <w:bookmarkEnd w:id="331"/>
    <w:bookmarkStart w:id="336" w:name="Xb5e1d11fe62ead71164ba2d6822323356ceae27"/>
    <w:p>
      <w:pPr>
        <w:pStyle w:val="Heading4"/>
      </w:pPr>
      <w:r>
        <w:t xml:space="preserve">13.1.2.4 Data pipeline — how the source of truth is built</w:t>
      </w:r>
    </w:p>
    <w:p>
      <w:pPr>
        <w:pStyle w:val="FirstParagraph"/>
      </w:pPr>
      <w:r>
        <w:t xml:space="preserve">The serving paths above all sit downstream of one pipeline: ingest workflows write per-dataset distributions, the merge workflows combine them into one surface per taxon, the scoring workflows compute</w:t>
      </w:r>
      <w:r>
        <w:t xml:space="preserve"> </w:t>
      </w:r>
      <w:r>
        <w:rPr>
          <w:rStyle w:val="VerbatimChar"/>
        </w:rPr>
        <w:t xml:space="preserve">cell_metric</w:t>
      </w:r>
      <w:r>
        <w:t xml:space="preserve"> </w:t>
      </w:r>
      <w:r>
        <w:t xml:space="preserve">and</w:t>
      </w:r>
      <w:r>
        <w:t xml:space="preserve"> </w:t>
      </w:r>
      <w:r>
        <w:rPr>
          <w:rStyle w:val="VerbatimChar"/>
        </w:rPr>
        <w:t xml:space="preserve">zone_metric</w:t>
      </w:r>
      <w:r>
        <w:t xml:space="preserve">, and the release workflow publishes the result as partitioned Parquet plus COGs, PMTiles and a STAC catalog. The whole thing is a</w:t>
      </w:r>
      <w:r>
        <w:t xml:space="preserve"> </w:t>
      </w:r>
      <w:r>
        <w:rPr>
          <w:rStyle w:val="VerbatimChar"/>
        </w:rPr>
        <w:t xml:space="preserve">targets</w:t>
      </w:r>
      <w:r>
        <w:t xml:space="preserve"> </w:t>
      </w:r>
      <w:r>
        <w:t xml:space="preserve">graph generated from each notebook’s own metadata, so adding a dataset means adding a notebook (</w:t>
      </w:r>
      <w:hyperlink w:anchor="fig-data-pipeline">
        <w:r>
          <w:rPr>
            <w:rStyle w:val="Hyperlink"/>
          </w:rPr>
          <w:t xml:space="preserve">Figure 13.5</w:t>
        </w:r>
      </w:hyperlink>
      <w:r>
        <w:t xml:space="preserve">). See</w:t>
      </w:r>
      <w:r>
        <w:t xml:space="preserve"> </w:t>
      </w:r>
      <w:hyperlink w:anchor="sec-workflows">
        <w:r>
          <w:rPr>
            <w:rStyle w:val="Hyperlink"/>
          </w:rPr>
          <w:t xml:space="preserve">Chapter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5" w:name="fig-data-pipeline"/>
          <w:p>
            <w:pPr>
              <w:jc w:val="center"/>
            </w:pPr>
            <w:r>
              <w:drawing>
                <wp:inline>
                  <wp:extent cx="5334000" cy="3055619"/>
                  <wp:effectExtent b="0" l="0" r="0" t="0"/>
                  <wp:docPr descr="" title="" id="333" name="Picture"/>
                  <a:graphic>
                    <a:graphicData uri="http://schemas.openxmlformats.org/drawingml/2006/picture">
                      <pic:pic>
                        <pic:nvPicPr>
                          <pic:cNvPr descr="software_files/figure-docx/mermaid-figure-7.png" id="334" name="Picture"/>
                          <pic:cNvPicPr>
                            <a:picLocks noChangeArrowheads="1" noChangeAspect="1"/>
                          </pic:cNvPicPr>
                        </pic:nvPicPr>
                        <pic:blipFill>
                          <a:blip r:embed="rId332"/>
                          <a:stretch>
                            <a:fillRect/>
                          </a:stretch>
                        </pic:blipFill>
                        <pic:spPr bwMode="auto">
                          <a:xfrm>
                            <a:off x="0" y="0"/>
                            <a:ext cx="5334000" cy="305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13.5: Data pipeline: ingest workflows populate DuckDB; scoring workflows compute cell_metric and zone_metric back into DuckDB; a one-shot COG regen and offline PMTiles build produce the derived artifacts the serving tier reads.</w:t>
            </w:r>
          </w:p>
          <w:bookmarkEnd w:id="335"/>
        </w:tc>
      </w:tr>
    </w:tbl>
    <w:bookmarkEnd w:id="336"/>
    <w:bookmarkEnd w:id="337"/>
    <w:bookmarkStart w:id="352" w:name="github-repositories"/>
    <w:p>
      <w:pPr>
        <w:pStyle w:val="Heading3"/>
      </w:pPr>
      <w:r>
        <w:t xml:space="preserve">13.1.3 Github Repositories</w:t>
      </w:r>
    </w:p>
    <w:tbl>
      <w:tblPr>
        <w:tblStyle w:val="Table"/>
        <w:tblW w:type="pct" w:w="5000"/>
        <w:tblLayout w:type="fixed"/>
        <w:tblLook w:firstRow="1" w:lastRow="0" w:firstColumn="0" w:lastColumn="0" w:noHBand="0" w:noVBand="0" w:val="0020"/>
      </w:tblPr>
      <w:tblGrid>
        <w:gridCol w:w="1377"/>
        <w:gridCol w:w="6542"/>
      </w:tblGrid>
      <w:tr>
        <w:trPr>
          <w:tblHeader w:val="on"/>
        </w:trPr>
        <w:tc>
          <w:tcPr/>
          <w:p>
            <w:pPr>
              <w:pStyle w:val="Compact"/>
              <w:jc w:val="left"/>
            </w:pPr>
            <w:r>
              <w:t xml:space="preserve">repo</w:t>
            </w:r>
          </w:p>
        </w:tc>
        <w:tc>
          <w:tcPr/>
          <w:p>
            <w:pPr>
              <w:pStyle w:val="Compact"/>
              <w:jc w:val="left"/>
            </w:pPr>
            <w:r>
              <w:t xml:space="preserve">description</w:t>
            </w:r>
          </w:p>
        </w:tc>
      </w:tr>
      <w:tr>
        <w:tc>
          <w:tcPr/>
          <w:p>
            <w:pPr>
              <w:pStyle w:val="Compact"/>
              <w:jc w:val="left"/>
            </w:pPr>
            <w:hyperlink r:id="rId338">
              <w:r>
                <w:rPr>
                  <w:rStyle w:val="Hyperlink"/>
                </w:rPr>
                <w:t xml:space="preserve">.github</w:t>
              </w:r>
            </w:hyperlink>
          </w:p>
        </w:tc>
        <w:tc>
          <w:tcPr/>
          <w:p>
            <w:pPr>
              <w:pStyle w:val="Compact"/>
              <w:jc w:val="left"/>
            </w:pPr>
            <w:r>
              <w:t xml:space="preserve">organization README</w:t>
            </w:r>
          </w:p>
        </w:tc>
      </w:tr>
      <w:tr>
        <w:tc>
          <w:tcPr/>
          <w:p>
            <w:pPr>
              <w:pStyle w:val="Compact"/>
              <w:jc w:val="left"/>
            </w:pPr>
            <w:hyperlink r:id="rId339">
              <w:r>
                <w:rPr>
                  <w:rStyle w:val="Hyperlink"/>
                </w:rPr>
                <w:t xml:space="preserve">analytics</w:t>
              </w:r>
            </w:hyperlink>
          </w:p>
        </w:tc>
        <w:tc>
          <w:tcPr/>
          <w:p>
            <w:pPr>
              <w:pStyle w:val="Compact"/>
              <w:jc w:val="left"/>
            </w:pPr>
            <w:r>
              <w:t xml:space="preserve">NA</w:t>
            </w:r>
          </w:p>
        </w:tc>
      </w:tr>
      <w:tr>
        <w:tc>
          <w:tcPr/>
          <w:p>
            <w:pPr>
              <w:pStyle w:val="Compact"/>
              <w:jc w:val="left"/>
            </w:pPr>
            <w:hyperlink r:id="rId340">
              <w:r>
                <w:rPr>
                  <w:rStyle w:val="Hyperlink"/>
                </w:rPr>
                <w:t xml:space="preserve">api</w:t>
              </w:r>
            </w:hyperlink>
          </w:p>
        </w:tc>
        <w:tc>
          <w:tcPr/>
          <w:p>
            <w:pPr>
              <w:pStyle w:val="Compact"/>
              <w:jc w:val="left"/>
            </w:pPr>
            <w:r>
              <w:t xml:space="preserve">application programming interface (API) using R Plumber package</w:t>
            </w:r>
          </w:p>
        </w:tc>
      </w:tr>
      <w:tr>
        <w:tc>
          <w:tcPr/>
          <w:p>
            <w:pPr>
              <w:pStyle w:val="Compact"/>
              <w:jc w:val="left"/>
            </w:pPr>
            <w:hyperlink r:id="rId341">
              <w:r>
                <w:rPr>
                  <w:rStyle w:val="Hyperlink"/>
                </w:rPr>
                <w:t xml:space="preserve">app</w:t>
              </w:r>
            </w:hyperlink>
          </w:p>
        </w:tc>
        <w:tc>
          <w:tcPr/>
          <w:p>
            <w:pPr>
              <w:pStyle w:val="Compact"/>
              <w:jc w:val="left"/>
            </w:pPr>
            <w:r>
              <w:t xml:space="preserve">app for viewing and summarizing MST composite scores and individual species distributions</w:t>
            </w:r>
          </w:p>
        </w:tc>
      </w:tr>
      <w:tr>
        <w:tc>
          <w:tcPr/>
          <w:p>
            <w:pPr>
              <w:pStyle w:val="Compact"/>
              <w:jc w:val="left"/>
            </w:pPr>
            <w:hyperlink r:id="rId342">
              <w:r>
                <w:rPr>
                  <w:rStyle w:val="Hyperlink"/>
                </w:rPr>
                <w:t xml:space="preserve">apps</w:t>
              </w:r>
            </w:hyperlink>
          </w:p>
        </w:tc>
        <w:tc>
          <w:tcPr/>
          <w:p>
            <w:pPr>
              <w:pStyle w:val="Compact"/>
              <w:jc w:val="left"/>
            </w:pPr>
            <w:r>
              <w:t xml:space="preserve">Shiny applications</w:t>
            </w:r>
          </w:p>
        </w:tc>
      </w:tr>
      <w:tr>
        <w:tc>
          <w:tcPr/>
          <w:p>
            <w:pPr>
              <w:pStyle w:val="Compact"/>
              <w:jc w:val="left"/>
            </w:pPr>
            <w:hyperlink r:id="rId343">
              <w:r>
                <w:rPr>
                  <w:rStyle w:val="Hyperlink"/>
                </w:rPr>
                <w:t xml:space="preserve">atlas</w:t>
              </w:r>
            </w:hyperlink>
          </w:p>
        </w:tc>
        <w:tc>
          <w:tcPr/>
          <w:p>
            <w:pPr>
              <w:pStyle w:val="Compact"/>
              <w:jc w:val="left"/>
            </w:pPr>
            <w:r>
              <w:t xml:space="preserve">Marine Sensitivity Atlas: one static browser app for scores, species, places and reports, reading the published marine-atlas release</w:t>
            </w:r>
          </w:p>
        </w:tc>
      </w:tr>
      <w:tr>
        <w:tc>
          <w:tcPr/>
          <w:p>
            <w:pPr>
              <w:pStyle w:val="Compact"/>
              <w:jc w:val="left"/>
            </w:pPr>
            <w:hyperlink r:id="rId344">
              <w:r>
                <w:rPr>
                  <w:rStyle w:val="Hyperlink"/>
                </w:rPr>
                <w:t xml:space="preserve">docs</w:t>
              </w:r>
            </w:hyperlink>
          </w:p>
        </w:tc>
        <w:tc>
          <w:tcPr/>
          <w:p>
            <w:pPr>
              <w:pStyle w:val="Compact"/>
              <w:jc w:val="left"/>
            </w:pPr>
            <w:r>
              <w:t xml:space="preserve">documentation for BOEM’s offshore environmental sensitivity index products</w:t>
            </w:r>
          </w:p>
        </w:tc>
      </w:tr>
      <w:tr>
        <w:tc>
          <w:tcPr/>
          <w:p>
            <w:pPr>
              <w:pStyle w:val="Compact"/>
              <w:jc w:val="left"/>
            </w:pPr>
            <w:hyperlink r:id="rId345">
              <w:r>
                <w:rPr>
                  <w:rStyle w:val="Hyperlink"/>
                </w:rPr>
                <w:t xml:space="preserve">manuscripts</w:t>
              </w:r>
            </w:hyperlink>
          </w:p>
        </w:tc>
        <w:tc>
          <w:tcPr/>
          <w:p>
            <w:pPr>
              <w:pStyle w:val="Compact"/>
              <w:jc w:val="left"/>
            </w:pPr>
            <w:r>
              <w:t xml:space="preserve">Manuscripts with review of sensitivities by industry and receptors (species, habitats, human uses)</w:t>
            </w:r>
          </w:p>
        </w:tc>
      </w:tr>
      <w:tr>
        <w:tc>
          <w:tcPr/>
          <w:p>
            <w:pPr>
              <w:pStyle w:val="Compact"/>
              <w:jc w:val="left"/>
            </w:pPr>
            <w:hyperlink r:id="rId346">
              <w:r>
                <w:rPr>
                  <w:rStyle w:val="Hyperlink"/>
                </w:rPr>
                <w:t xml:space="preserve">MarineSensitivity.github.io</w:t>
              </w:r>
            </w:hyperlink>
          </w:p>
        </w:tc>
        <w:tc>
          <w:tcPr/>
          <w:p>
            <w:pPr>
              <w:pStyle w:val="Compact"/>
              <w:jc w:val="left"/>
            </w:pPr>
            <w:r>
              <w:t xml:space="preserve">default website</w:t>
            </w:r>
          </w:p>
        </w:tc>
      </w:tr>
      <w:tr>
        <w:tc>
          <w:tcPr/>
          <w:p>
            <w:pPr>
              <w:pStyle w:val="Compact"/>
              <w:jc w:val="left"/>
            </w:pPr>
            <w:hyperlink r:id="rId347">
              <w:r>
                <w:rPr>
                  <w:rStyle w:val="Hyperlink"/>
                </w:rPr>
                <w:t xml:space="preserve">msens</w:t>
              </w:r>
            </w:hyperlink>
          </w:p>
        </w:tc>
        <w:tc>
          <w:tcPr/>
          <w:p>
            <w:pPr>
              <w:pStyle w:val="Compact"/>
              <w:jc w:val="left"/>
            </w:pPr>
            <w:r>
              <w:t xml:space="preserve">R library of functions for mapping marine sensitivities, sponsored by BOEM</w:t>
            </w:r>
          </w:p>
        </w:tc>
      </w:tr>
      <w:tr>
        <w:tc>
          <w:tcPr/>
          <w:p>
            <w:pPr>
              <w:pStyle w:val="Compact"/>
              <w:jc w:val="left"/>
            </w:pPr>
            <w:hyperlink r:id="rId348">
              <w:r>
                <w:rPr>
                  <w:rStyle w:val="Hyperlink"/>
                </w:rPr>
                <w:t xml:space="preserve">objectives</w:t>
              </w:r>
            </w:hyperlink>
          </w:p>
        </w:tc>
        <w:tc>
          <w:tcPr/>
          <w:p>
            <w:pPr>
              <w:pStyle w:val="Compact"/>
              <w:jc w:val="left"/>
            </w:pPr>
            <w:r>
              <w:t xml:space="preserve">repository for issues spanning multiple repositories and doing big picture roadmapping</w:t>
            </w:r>
          </w:p>
        </w:tc>
      </w:tr>
      <w:tr>
        <w:tc>
          <w:tcPr/>
          <w:p>
            <w:pPr>
              <w:pStyle w:val="Compact"/>
              <w:jc w:val="left"/>
            </w:pPr>
            <w:hyperlink r:id="rId349">
              <w:r>
                <w:rPr>
                  <w:rStyle w:val="Hyperlink"/>
                </w:rPr>
                <w:t xml:space="preserve">server</w:t>
              </w:r>
            </w:hyperlink>
          </w:p>
        </w:tc>
        <w:tc>
          <w:tcPr/>
          <w:p>
            <w:pPr>
              <w:pStyle w:val="Compact"/>
              <w:jc w:val="left"/>
            </w:pPr>
            <w:r>
              <w:t xml:space="preserve">server setup for R Shiny apps, RStudio IDE, Caddy web server, h3 TiTiler service and Varnish cache</w:t>
            </w:r>
          </w:p>
        </w:tc>
      </w:tr>
      <w:tr>
        <w:tc>
          <w:tcPr/>
          <w:p>
            <w:pPr>
              <w:pStyle w:val="Compact"/>
              <w:jc w:val="left"/>
            </w:pPr>
            <w:hyperlink r:id="rId350">
              <w:r>
                <w:rPr>
                  <w:rStyle w:val="Hyperlink"/>
                </w:rPr>
                <w:t xml:space="preserve">stac-sdm</w:t>
              </w:r>
            </w:hyperlink>
          </w:p>
        </w:tc>
        <w:tc>
          <w:tcPr/>
          <w:p>
            <w:pPr>
              <w:pStyle w:val="Compact"/>
              <w:jc w:val="left"/>
            </w:pPr>
            <w:r>
              <w:t xml:space="preserve">STAC extension for Species Distribution Models (SDMs)</w:t>
            </w:r>
          </w:p>
        </w:tc>
      </w:tr>
      <w:tr>
        <w:tc>
          <w:tcPr/>
          <w:p>
            <w:pPr>
              <w:pStyle w:val="Compact"/>
              <w:jc w:val="left"/>
            </w:pPr>
            <w:hyperlink r:id="rId351">
              <w:r>
                <w:rPr>
                  <w:rStyle w:val="Hyperlink"/>
                </w:rPr>
                <w:t xml:space="preserve">workflows</w:t>
              </w:r>
            </w:hyperlink>
          </w:p>
        </w:tc>
        <w:tc>
          <w:tcPr/>
          <w:p>
            <w:pPr>
              <w:pStyle w:val="Compact"/>
              <w:jc w:val="left"/>
            </w:pPr>
            <w:r>
              <w:t xml:space="preserve">scripts for testing data analytics and visualization as well as production workflows</w:t>
            </w:r>
          </w:p>
        </w:tc>
      </w:tr>
    </w:tbl>
    <w:bookmarkEnd w:id="352"/>
    <w:bookmarkStart w:id="357" w:name="software-components"/>
    <w:p>
      <w:pPr>
        <w:pStyle w:val="Heading3"/>
      </w:pPr>
      <w:r>
        <w:t xml:space="preserve">13.1.4 Software Components</w:t>
      </w:r>
    </w:p>
    <w:bookmarkStart w:id="353" w:name="list-components"/>
    <w:bookmarkEnd w:id="353"/>
    <w:p>
      <w:pPr>
        <w:pStyle w:val="FirstParagraph"/>
      </w:pPr>
      <w:r>
        <w:drawing>
          <wp:inline>
            <wp:extent cx="5334000" cy="5215816"/>
            <wp:effectExtent b="0" l="0" r="0" t="0"/>
            <wp:docPr descr="" title="" id="355" name="Picture"/>
            <a:graphic>
              <a:graphicData uri="http://schemas.openxmlformats.org/drawingml/2006/picture">
                <pic:pic>
                  <pic:nvPicPr>
                    <pic:cNvPr descr="figures/listing-software.png" id="356" name="Picture"/>
                    <pic:cNvPicPr>
                      <a:picLocks noChangeArrowheads="1" noChangeAspect="1"/>
                    </pic:cNvPicPr>
                  </pic:nvPicPr>
                  <pic:blipFill>
                    <a:blip r:embed="rId354"/>
                    <a:stretch>
                      <a:fillRect/>
                    </a:stretch>
                  </pic:blipFill>
                  <pic:spPr bwMode="auto">
                    <a:xfrm>
                      <a:off x="0" y="0"/>
                      <a:ext cx="5334000" cy="5215816"/>
                    </a:xfrm>
                    <a:prstGeom prst="rect">
                      <a:avLst/>
                    </a:prstGeom>
                    <a:noFill/>
                    <a:ln w="9525">
                      <a:noFill/>
                      <a:headEnd/>
                      <a:tailEnd/>
                    </a:ln>
                  </pic:spPr>
                </pic:pic>
              </a:graphicData>
            </a:graphic>
          </wp:inline>
        </w:drawing>
      </w:r>
    </w:p>
    <w:bookmarkEnd w:id="357"/>
    <w:bookmarkEnd w:id="358"/>
    <w:bookmarkEnd w:id="359"/>
    <w:bookmarkStart w:id="408" w:name="sec-server"/>
    <w:p>
      <w:pPr>
        <w:pStyle w:val="Heading1"/>
      </w:pPr>
      <w:r>
        <w:t xml:space="preserve">14. Server</w:t>
      </w:r>
    </w:p>
    <w:p>
      <w:pPr>
        <w:pStyle w:val="FirstParagraph"/>
      </w:pPr>
      <w:r>
        <w:t xml:space="preserve">The server is for serving up any web services outside those of Github (e.g.,</w:t>
      </w:r>
      <w:r>
        <w:t xml:space="preserve"> </w:t>
      </w:r>
      <w:hyperlink r:id="rId360">
        <w:r>
          <w:rPr>
            <w:rStyle w:val="Hyperlink"/>
          </w:rPr>
          <w:t xml:space="preserve">website</w:t>
        </w:r>
      </w:hyperlink>
      <w:r>
        <w:t xml:space="preserve">,</w:t>
      </w:r>
      <w:r>
        <w:t xml:space="preserve"> </w:t>
      </w:r>
      <w:hyperlink r:id="rId361">
        <w:r>
          <w:rPr>
            <w:rStyle w:val="Hyperlink"/>
          </w:rPr>
          <w:t xml:space="preserve">docs</w:t>
        </w:r>
      </w:hyperlink>
      <w:r>
        <w:t xml:space="preserve"> </w:t>
      </w:r>
      <w:r>
        <w:t xml:space="preserve">and R package</w:t>
      </w:r>
      <w:r>
        <w:t xml:space="preserve"> </w:t>
      </w:r>
      <w:hyperlink r:id="rId362">
        <w:r>
          <w:rPr>
            <w:rStyle w:val="Hyperlink"/>
          </w:rPr>
          <w:t xml:space="preserve">msens</w:t>
        </w:r>
      </w:hyperlink>
      <w:r>
        <w:t xml:space="preserve">) using</w:t>
      </w:r>
      <w:r>
        <w:t xml:space="preserve"> </w:t>
      </w:r>
      <w:hyperlink r:id="rId363">
        <w:r>
          <w:rPr>
            <w:rStyle w:val="Hyperlink"/>
          </w:rPr>
          <w:t xml:space="preserve">Docker</w:t>
        </w:r>
      </w:hyperlink>
      <w:r>
        <w:t xml:space="preserve"> </w:t>
      </w:r>
      <w:r>
        <w:t xml:space="preserve">(see the</w:t>
      </w:r>
      <w:r>
        <w:t xml:space="preserve"> </w:t>
      </w:r>
      <w:hyperlink r:id="rId364">
        <w:r>
          <w:rPr>
            <w:rStyle w:val="Hyperlink"/>
          </w:rPr>
          <w:t xml:space="preserve">docker-compose.yml</w:t>
        </w:r>
      </w:hyperlink>
      <w:r>
        <w:t xml:space="preserve">; with reverse proxying from subdomains to ports by</w:t>
      </w:r>
      <w:r>
        <w:t xml:space="preserve"> </w:t>
      </w:r>
      <w:hyperlink r:id="rId365">
        <w:r>
          <w:rPr>
            <w:rStyle w:val="Hyperlink"/>
          </w:rPr>
          <w:t xml:space="preserve">Caddy</w:t>
        </w:r>
      </w:hyperlink>
      <w:r>
        <w:t xml:space="preserve">).</w:t>
      </w:r>
    </w:p>
    <w:p>
      <w:pPr>
        <w:pStyle w:val="BodyText"/>
      </w:pPr>
      <w:r>
        <w:t xml:space="preserve">The full architecture is summarized in the</w:t>
      </w:r>
      <w:r>
        <w:t xml:space="preserve"> </w:t>
      </w:r>
      <w:hyperlink w:anchor="sec-software">
        <w:r>
          <w:rPr>
            <w:rStyle w:val="Hyperlink"/>
          </w:rPr>
          <w:t xml:space="preserve">Software overview</w:t>
        </w:r>
      </w:hyperlink>
      <w:r>
        <w:t xml:space="preserve">. This chapter documents the concrete services running on the host and how Caddy maps subdomains to container ports.</w:t>
      </w:r>
    </w:p>
    <w:bookmarkStart w:id="381" w:name="setup"/>
    <w:p>
      <w:pPr>
        <w:pStyle w:val="Heading2"/>
      </w:pPr>
      <w:r>
        <w:t xml:space="preserve">14.1 Setup</w:t>
      </w:r>
    </w:p>
    <w:p>
      <w:pPr>
        <w:pStyle w:val="FirstParagraph"/>
      </w:pPr>
      <w:r>
        <w:t xml:space="preserve">For the latest instructions on launching an Amazon instance and installing the server software, see</w:t>
      </w:r>
      <w:r>
        <w:t xml:space="preserve"> </w:t>
      </w:r>
      <w:hyperlink r:id="rId366">
        <w:r>
          <w:rPr>
            <w:rStyle w:val="Hyperlink"/>
          </w:rPr>
          <w:t xml:space="preserve">Server Setup · MarineSensitivity/server Wiki</w:t>
        </w:r>
      </w:hyperlink>
      <w:r>
        <w:t xml:space="preserve">, which is pasted below for convenience…</w:t>
      </w:r>
    </w:p>
    <w:p>
      <w:pPr>
        <w:pStyle w:val="BodyText"/>
      </w:pPr>
      <w:r>
        <w:rPr>
          <w:i/>
          <w:iCs/>
        </w:rPr>
        <w:t xml:space="preserve">on AWS as EC2 instance using Docker</w:t>
      </w:r>
    </w:p>
    <w:bookmarkStart w:id="369" w:name="launch-instance"/>
    <w:p>
      <w:pPr>
        <w:pStyle w:val="Heading3"/>
      </w:pPr>
      <w:r>
        <w:t xml:space="preserve">14.1.1 launch instance</w:t>
      </w:r>
    </w:p>
    <w:p>
      <w:pPr>
        <w:pStyle w:val="FirstParagraph"/>
      </w:pPr>
      <w:r>
        <w:t xml:space="preserve">name:</w:t>
      </w:r>
      <w:r>
        <w:t xml:space="preserve"> </w:t>
      </w:r>
      <w:r>
        <w:rPr>
          <w:b/>
          <w:bCs/>
        </w:rPr>
        <w:t xml:space="preserve">msens1</w:t>
      </w:r>
      <w:r>
        <w:t xml:space="preserve">:</w:t>
      </w:r>
    </w:p>
    <w:p>
      <w:pPr>
        <w:pStyle w:val="Compact"/>
        <w:numPr>
          <w:ilvl w:val="0"/>
          <w:numId w:val="1033"/>
        </w:numPr>
      </w:pPr>
      <w:r>
        <w:t xml:space="preserve">Software Image (AMI)</w:t>
      </w:r>
      <w:r>
        <w:br/>
      </w:r>
      <w:r>
        <w:t xml:space="preserve">Canonical,</w:t>
      </w:r>
      <w:r>
        <w:t xml:space="preserve"> </w:t>
      </w:r>
      <w:r>
        <w:rPr>
          <w:b/>
          <w:bCs/>
        </w:rPr>
        <w:t xml:space="preserve">Ubuntu</w:t>
      </w:r>
      <w:r>
        <w:t xml:space="preserve">, 22.04 LTS, amd64 jammy image build on 2023-09-19</w:t>
      </w:r>
      <w:r>
        <w:t xml:space="preserve"> </w:t>
      </w:r>
      <w:r>
        <w:t xml:space="preserve">ami-0fc5d935ebf8bc3bc</w:t>
      </w:r>
    </w:p>
    <w:p>
      <w:pPr>
        <w:pStyle w:val="Compact"/>
        <w:numPr>
          <w:ilvl w:val="0"/>
          <w:numId w:val="1033"/>
        </w:numPr>
      </w:pPr>
      <w:r>
        <w:t xml:space="preserve">Virtual server type (instance type)</w:t>
      </w:r>
      <w:r>
        <w:br/>
      </w:r>
      <w:r>
        <w:rPr>
          <w:b/>
          <w:bCs/>
        </w:rPr>
        <w:t xml:space="preserve">t2.xlarge</w:t>
      </w:r>
      <w:r>
        <w:t xml:space="preserve"> </w:t>
      </w:r>
      <w:r>
        <w:t xml:space="preserve">(4 vCPU, 16 GB memory)</w:t>
      </w:r>
      <w:r>
        <w:br/>
      </w:r>
    </w:p>
    <w:p>
      <w:pPr>
        <w:pStyle w:val="Compact"/>
        <w:numPr>
          <w:ilvl w:val="0"/>
          <w:numId w:val="1033"/>
        </w:numPr>
      </w:pPr>
      <w:r>
        <w:t xml:space="preserve">Firewall (security group)</w:t>
      </w:r>
      <w:r>
        <w:br/>
      </w:r>
      <w:r>
        <w:t xml:space="preserve">New security group</w:t>
      </w:r>
    </w:p>
    <w:p>
      <w:pPr>
        <w:pStyle w:val="Compact"/>
        <w:numPr>
          <w:ilvl w:val="0"/>
          <w:numId w:val="1033"/>
        </w:numPr>
      </w:pPr>
      <w:r>
        <w:t xml:space="preserve">Storage (volumes)</w:t>
      </w:r>
      <w:r>
        <w:br/>
      </w:r>
      <w:r>
        <w:t xml:space="preserve">2 volume(s)</w:t>
      </w:r>
    </w:p>
    <w:p>
      <w:pPr>
        <w:pStyle w:val="Compact"/>
        <w:numPr>
          <w:ilvl w:val="1"/>
          <w:numId w:val="1034"/>
        </w:numPr>
      </w:pPr>
      <w:r>
        <w:rPr>
          <w:b/>
          <w:bCs/>
        </w:rPr>
        <w:t xml:space="preserve">20 GB</w:t>
      </w:r>
      <w:r>
        <w:br/>
      </w:r>
      <w:r>
        <w:rPr>
          <w:rStyle w:val="VerbatimChar"/>
        </w:rPr>
        <w:t xml:space="preserve">/</w:t>
      </w:r>
      <w:r>
        <w:t xml:space="preserve"> </w:t>
      </w:r>
      <w:r>
        <w:t xml:space="preserve">server software, disposable</w:t>
      </w:r>
    </w:p>
    <w:p>
      <w:pPr>
        <w:pStyle w:val="Compact"/>
        <w:numPr>
          <w:ilvl w:val="1"/>
          <w:numId w:val="1034"/>
        </w:numPr>
      </w:pPr>
      <w:r>
        <w:rPr>
          <w:b/>
          <w:bCs/>
        </w:rPr>
        <w:t xml:space="preserve">60 GB</w:t>
      </w:r>
      <w:r>
        <w:br/>
      </w:r>
      <w:r>
        <w:rPr>
          <w:rStyle w:val="VerbatimChar"/>
        </w:rPr>
        <w:t xml:space="preserve">/share</w:t>
      </w:r>
      <w:r>
        <w:t xml:space="preserve"> </w:t>
      </w:r>
      <w:r>
        <w:t xml:space="preserve">for all data, persistent and to be backed up</w:t>
      </w:r>
    </w:p>
    <w:bookmarkStart w:id="368" w:name="allocate-ip-address"/>
    <w:p>
      <w:pPr>
        <w:pStyle w:val="Heading4"/>
      </w:pPr>
      <w:r>
        <w:t xml:space="preserve">14.1.1.1 allocate IP address</w:t>
      </w:r>
    </w:p>
    <w:p>
      <w:pPr>
        <w:numPr>
          <w:ilvl w:val="0"/>
          <w:numId w:val="1035"/>
        </w:numPr>
      </w:pPr>
      <w:hyperlink r:id="rId367">
        <w:r>
          <w:rPr>
            <w:rStyle w:val="Hyperlink"/>
          </w:rPr>
          <w:t xml:space="preserve">Elastic IP addresses | EC2 | us-east-1</w:t>
        </w:r>
      </w:hyperlink>
      <w:r>
        <w:t xml:space="preserve"> </w:t>
      </w:r>
      <w:r>
        <w:t xml:space="preserve">for persistent IP address</w:t>
      </w:r>
    </w:p>
    <w:p>
      <w:pPr>
        <w:numPr>
          <w:ilvl w:val="0"/>
          <w:numId w:val="1035"/>
        </w:numPr>
      </w:pPr>
      <w:r>
        <w:t xml:space="preserve">Allocated IPv4 address:</w:t>
      </w:r>
      <w:r>
        <w:t xml:space="preserve"> </w:t>
      </w:r>
      <w:r>
        <w:rPr>
          <w:rStyle w:val="VerbatimChar"/>
        </w:rPr>
        <w:t xml:space="preserve">100.25.173.0</w:t>
      </w:r>
    </w:p>
    <w:p>
      <w:pPr>
        <w:numPr>
          <w:ilvl w:val="0"/>
          <w:numId w:val="1035"/>
        </w:numPr>
      </w:pPr>
      <w:r>
        <w:t xml:space="preserve">Associate Elastic IP address</w:t>
      </w:r>
    </w:p>
    <w:bookmarkEnd w:id="368"/>
    <w:bookmarkEnd w:id="369"/>
    <w:bookmarkStart w:id="374" w:name="ssh-to-server"/>
    <w:p>
      <w:pPr>
        <w:pStyle w:val="Heading3"/>
      </w:pPr>
      <w:r>
        <w:t xml:space="preserve">14.1.2 ssh to server</w:t>
      </w:r>
    </w:p>
    <w:p>
      <w:pPr>
        <w:pStyle w:val="SourceCode"/>
      </w:pPr>
      <w:r>
        <w:rPr>
          <w:rStyle w:val="VariableTok"/>
        </w:rPr>
        <w:t xml:space="preserve">pem</w:t>
      </w:r>
      <w:r>
        <w:rPr>
          <w:rStyle w:val="OperatorTok"/>
        </w:rPr>
        <w:t xml:space="preserve">=</w:t>
      </w:r>
      <w:r>
        <w:rPr>
          <w:rStyle w:val="StringTok"/>
        </w:rPr>
        <w:t xml:space="preserve">'/Users/bbest/My Drive/private/msens_key_pair.pem'</w:t>
      </w:r>
      <w:r>
        <w:br/>
      </w:r>
      <w:r>
        <w:rPr>
          <w:rStyle w:val="FunctionTok"/>
        </w:rPr>
        <w:t xml:space="preserve">ssh</w:t>
      </w:r>
      <w:r>
        <w:rPr>
          <w:rStyle w:val="NormalTok"/>
        </w:rPr>
        <w:t xml:space="preserve"> </w:t>
      </w:r>
      <w:r>
        <w:rPr>
          <w:rStyle w:val="AttributeTok"/>
        </w:rPr>
        <w:t xml:space="preserve">-i</w:t>
      </w:r>
      <w:r>
        <w:rPr>
          <w:rStyle w:val="NormalTok"/>
        </w:rPr>
        <w:t xml:space="preserve"> </w:t>
      </w:r>
      <w:r>
        <w:rPr>
          <w:rStyle w:val="VariableTok"/>
        </w:rPr>
        <w:t xml:space="preserve">$pem</w:t>
      </w:r>
      <w:r>
        <w:rPr>
          <w:rStyle w:val="NormalTok"/>
        </w:rPr>
        <w:t xml:space="preserve"> ubuntu@msens1.marinesensitivity.org</w:t>
      </w:r>
    </w:p>
    <w:bookmarkStart w:id="371" w:name="set-hostname"/>
    <w:p>
      <w:pPr>
        <w:pStyle w:val="Heading4"/>
      </w:pPr>
      <w:r>
        <w:t xml:space="preserve">14.1.2.1 set hostname</w:t>
      </w:r>
    </w:p>
    <w:p>
      <w:pPr>
        <w:pStyle w:val="Compact"/>
        <w:numPr>
          <w:ilvl w:val="0"/>
          <w:numId w:val="1036"/>
        </w:numPr>
      </w:pPr>
      <w:hyperlink r:id="rId370">
        <w:r>
          <w:rPr>
            <w:rStyle w:val="Hyperlink"/>
          </w:rPr>
          <w:t xml:space="preserve">Change the hostname of your Amazon Linux instance - Amazon Elastic Compute Cloud</w:t>
        </w:r>
      </w:hyperlink>
    </w:p>
    <w:p>
      <w:pPr>
        <w:pStyle w:val="SourceCode"/>
      </w:pPr>
      <w:r>
        <w:rPr>
          <w:rStyle w:val="FunctionTok"/>
        </w:rPr>
        <w:t xml:space="preserve">sudo</w:t>
      </w:r>
      <w:r>
        <w:rPr>
          <w:rStyle w:val="NormalTok"/>
        </w:rPr>
        <w:t xml:space="preserve"> vi /etc/cloud/cloud.cfg</w:t>
      </w:r>
      <w:r>
        <w:br/>
      </w:r>
      <w:r>
        <w:rPr>
          <w:rStyle w:val="CommentTok"/>
        </w:rPr>
        <w:t xml:space="preserve"># preserve_hostname: true</w:t>
      </w:r>
      <w:r>
        <w:br/>
      </w:r>
      <w:r>
        <w:rPr>
          <w:rStyle w:val="FunctionTok"/>
        </w:rPr>
        <w:t xml:space="preserve">sudo</w:t>
      </w:r>
      <w:r>
        <w:rPr>
          <w:rStyle w:val="NormalTok"/>
        </w:rPr>
        <w:t xml:space="preserve"> hostnamectl set-hostname msens1.marinesensitivity.org</w:t>
      </w:r>
      <w:r>
        <w:br/>
      </w:r>
      <w:r>
        <w:rPr>
          <w:rStyle w:val="FunctionTok"/>
        </w:rPr>
        <w:t xml:space="preserve">sudo</w:t>
      </w:r>
      <w:r>
        <w:rPr>
          <w:rStyle w:val="NormalTok"/>
        </w:rPr>
        <w:t xml:space="preserve"> reboot</w:t>
      </w:r>
    </w:p>
    <w:bookmarkEnd w:id="371"/>
    <w:bookmarkStart w:id="373" w:name="mount-volume"/>
    <w:p>
      <w:pPr>
        <w:pStyle w:val="Heading4"/>
      </w:pPr>
      <w:r>
        <w:t xml:space="preserve">14.1.2.2 mount volume</w:t>
      </w:r>
    </w:p>
    <w:p>
      <w:pPr>
        <w:pStyle w:val="FirstParagraph"/>
      </w:pPr>
      <w:r>
        <w:t xml:space="preserve">The extra volume (60 GB for</w:t>
      </w:r>
      <w:r>
        <w:t xml:space="preserve"> </w:t>
      </w:r>
      <w:r>
        <w:rPr>
          <w:rStyle w:val="VerbatimChar"/>
        </w:rPr>
        <w:t xml:space="preserve">/share</w:t>
      </w:r>
      <w:r>
        <w:t xml:space="preserve">) was added during EC2 launch instance wizard, but needs to be mounted before available for use.</w:t>
      </w:r>
    </w:p>
    <w:p>
      <w:pPr>
        <w:pStyle w:val="Compact"/>
        <w:numPr>
          <w:ilvl w:val="0"/>
          <w:numId w:val="1037"/>
        </w:numPr>
      </w:pPr>
      <w:hyperlink r:id="rId372">
        <w:r>
          <w:rPr>
            <w:rStyle w:val="Hyperlink"/>
          </w:rPr>
          <w:t xml:space="preserve">Make an Amazon EBS volume available for use on Linux - Amazon Elastic Compute Cloud</w:t>
        </w:r>
      </w:hyperlink>
    </w:p>
    <w:p>
      <w:pPr>
        <w:pStyle w:val="SourceCode"/>
      </w:pPr>
      <w:r>
        <w:rPr>
          <w:rStyle w:val="FunctionTok"/>
        </w:rPr>
        <w:t xml:space="preserve">df</w:t>
      </w:r>
      <w:r>
        <w:rPr>
          <w:rStyle w:val="NormalTok"/>
        </w:rPr>
        <w:t xml:space="preserve"> </w:t>
      </w:r>
      <w:r>
        <w:rPr>
          <w:rStyle w:val="AttributeTok"/>
        </w:rPr>
        <w:t xml:space="preserve">-H</w:t>
      </w:r>
    </w:p>
    <w:p>
      <w:pPr>
        <w:pStyle w:val="SourceCode"/>
      </w:pPr>
      <w:r>
        <w:rPr>
          <w:rStyle w:val="VerbatimChar"/>
        </w:rPr>
        <w:t xml:space="preserve">Filesystem      Size  Used Avail Use% Mounted on</w:t>
      </w:r>
      <w:r>
        <w:br/>
      </w:r>
      <w:r>
        <w:rPr>
          <w:rStyle w:val="VerbatimChar"/>
        </w:rPr>
        <w:t xml:space="preserve">/dev/root        21G  2.3G   19G  11% /</w:t>
      </w:r>
      <w:r>
        <w:br/>
      </w:r>
      <w:r>
        <w:rPr>
          <w:rStyle w:val="VerbatimChar"/>
        </w:rPr>
        <w:t xml:space="preserve">tmpfs           8.4G     0  8.4G   0% /dev/shm</w:t>
      </w:r>
      <w:r>
        <w:br/>
      </w:r>
      <w:r>
        <w:rPr>
          <w:rStyle w:val="VerbatimChar"/>
        </w:rPr>
        <w:t xml:space="preserve">tmpfs           3.4G  898k  3.4G   1% /run</w:t>
      </w:r>
      <w:r>
        <w:br/>
      </w:r>
      <w:r>
        <w:rPr>
          <w:rStyle w:val="VerbatimChar"/>
        </w:rPr>
        <w:t xml:space="preserve">tmpfs           5.3M     0  5.3M   0% /run/lock</w:t>
      </w:r>
      <w:r>
        <w:br/>
      </w:r>
      <w:r>
        <w:rPr>
          <w:rStyle w:val="VerbatimChar"/>
        </w:rPr>
        <w:t xml:space="preserve">/dev/xvda15     110M  6.4M  104M   6% /boot/efi</w:t>
      </w:r>
      <w:r>
        <w:br/>
      </w:r>
      <w:r>
        <w:rPr>
          <w:rStyle w:val="VerbatimChar"/>
        </w:rPr>
        <w:t xml:space="preserve">tmpfs           1.7G  4.1k  1.7G   1% /run/user/1000</w:t>
      </w:r>
    </w:p>
    <w:p>
      <w:pPr>
        <w:pStyle w:val="SourceCode"/>
      </w:pPr>
      <w:r>
        <w:rPr>
          <w:rStyle w:val="ExtensionTok"/>
        </w:rPr>
        <w:t xml:space="preserve">lsblk</w:t>
      </w:r>
    </w:p>
    <w:p>
      <w:pPr>
        <w:pStyle w:val="SourceCode"/>
      </w:pPr>
      <w:r>
        <w:rPr>
          <w:rStyle w:val="VerbatimChar"/>
        </w:rPr>
        <w:t xml:space="preserve">NAME     MAJ:MIN RM   SIZE RO TYPE MOUNTPOINTS</w:t>
      </w:r>
      <w:r>
        <w:br/>
      </w:r>
      <w:r>
        <w:rPr>
          <w:rStyle w:val="VerbatimChar"/>
        </w:rPr>
        <w:t xml:space="preserve">loop0      7:0    0  24.6M  1 loop /snap/amazon-ssm-agent/7528</w:t>
      </w:r>
      <w:r>
        <w:br/>
      </w:r>
      <w:r>
        <w:rPr>
          <w:rStyle w:val="VerbatimChar"/>
        </w:rPr>
        <w:t xml:space="preserve">loop1      7:1    0  55.7M  1 loop /snap/core18/2790</w:t>
      </w:r>
      <w:r>
        <w:br/>
      </w:r>
      <w:r>
        <w:rPr>
          <w:rStyle w:val="VerbatimChar"/>
        </w:rPr>
        <w:t xml:space="preserve">loop2      7:2    0  63.5M  1 loop /snap/core20/2015</w:t>
      </w:r>
      <w:r>
        <w:br/>
      </w:r>
      <w:r>
        <w:rPr>
          <w:rStyle w:val="VerbatimChar"/>
        </w:rPr>
        <w:t xml:space="preserve">loop3      7:3    0 111.9M  1 loop /snap/lxd/24322</w:t>
      </w:r>
      <w:r>
        <w:br/>
      </w:r>
      <w:r>
        <w:rPr>
          <w:rStyle w:val="VerbatimChar"/>
        </w:rPr>
        <w:t xml:space="preserve">loop4      7:4    0  40.8M  1 loop /snap/snapd/20092</w:t>
      </w:r>
      <w:r>
        <w:br/>
      </w:r>
      <w:r>
        <w:rPr>
          <w:rStyle w:val="VerbatimChar"/>
        </w:rPr>
        <w:t xml:space="preserve">xvda     202:0    0    20G  0 disk </w:t>
      </w:r>
      <w:r>
        <w:br/>
      </w:r>
      <w:r>
        <w:rPr>
          <w:rStyle w:val="VerbatimChar"/>
        </w:rPr>
        <w:t xml:space="preserve">├─xvda1  202:1    0  19.9G  0 part /</w:t>
      </w:r>
      <w:r>
        <w:br/>
      </w:r>
      <w:r>
        <w:rPr>
          <w:rStyle w:val="VerbatimChar"/>
        </w:rPr>
        <w:t xml:space="preserve">├─xvda14 202:14   0     4M  0 part </w:t>
      </w:r>
      <w:r>
        <w:br/>
      </w:r>
      <w:r>
        <w:rPr>
          <w:rStyle w:val="VerbatimChar"/>
        </w:rPr>
        <w:t xml:space="preserve">└─xvda15 202:15   0   106M  0 part /boot/efi</w:t>
      </w:r>
      <w:r>
        <w:br/>
      </w:r>
      <w:r>
        <w:rPr>
          <w:rStyle w:val="VerbatimChar"/>
        </w:rPr>
        <w:t xml:space="preserve">xvdb     202:16   0    60G  0 disk</w:t>
      </w:r>
    </w:p>
    <w:p>
      <w:pPr>
        <w:pStyle w:val="SourceCode"/>
      </w:pPr>
      <w:r>
        <w:rPr>
          <w:rStyle w:val="FunctionTok"/>
        </w:rPr>
        <w:t xml:space="preserve">sudo</w:t>
      </w:r>
      <w:r>
        <w:rPr>
          <w:rStyle w:val="NormalTok"/>
        </w:rPr>
        <w:t xml:space="preserve"> file </w:t>
      </w:r>
      <w:r>
        <w:rPr>
          <w:rStyle w:val="AttributeTok"/>
        </w:rPr>
        <w:t xml:space="preserve">-s</w:t>
      </w:r>
      <w:r>
        <w:rPr>
          <w:rStyle w:val="NormalTok"/>
        </w:rPr>
        <w:t xml:space="preserve"> /dev/xvdb</w:t>
      </w:r>
      <w:r>
        <w:br/>
      </w:r>
      <w:r>
        <w:rPr>
          <w:rStyle w:val="CommentTok"/>
        </w:rPr>
        <w:t xml:space="preserve"># /dev/xvdb: data</w:t>
      </w:r>
    </w:p>
    <w:p>
      <w:pPr>
        <w:pStyle w:val="FirstParagraph"/>
      </w:pPr>
      <w:r>
        <w:t xml:space="preserve">So no file system on</w:t>
      </w:r>
      <w:r>
        <w:t xml:space="preserve"> </w:t>
      </w:r>
      <w:r>
        <w:rPr>
          <w:rStyle w:val="VerbatimChar"/>
        </w:rPr>
        <w:t xml:space="preserve">/dev/xvdb</w:t>
      </w:r>
      <w:r>
        <w:t xml:space="preserve"> </w:t>
      </w:r>
      <w:r>
        <w:t xml:space="preserve">yet.</w:t>
      </w:r>
    </w:p>
    <w:p>
      <w:pPr>
        <w:pStyle w:val="SourceCode"/>
      </w:pPr>
      <w:r>
        <w:rPr>
          <w:rStyle w:val="FunctionTok"/>
        </w:rPr>
        <w:t xml:space="preserve">sudo</w:t>
      </w:r>
      <w:r>
        <w:rPr>
          <w:rStyle w:val="NormalTok"/>
        </w:rPr>
        <w:t xml:space="preserve"> mkfs </w:t>
      </w:r>
      <w:r>
        <w:rPr>
          <w:rStyle w:val="AttributeTok"/>
        </w:rPr>
        <w:t xml:space="preserve">-t</w:t>
      </w:r>
      <w:r>
        <w:rPr>
          <w:rStyle w:val="NormalTok"/>
        </w:rPr>
        <w:t xml:space="preserve"> xfs /dev/xvdb</w:t>
      </w:r>
      <w:r>
        <w:br/>
      </w:r>
      <w:r>
        <w:rPr>
          <w:rStyle w:val="FunctionTok"/>
        </w:rPr>
        <w:t xml:space="preserve">sudo</w:t>
      </w:r>
      <w:r>
        <w:rPr>
          <w:rStyle w:val="NormalTok"/>
        </w:rPr>
        <w:t xml:space="preserve"> mkdir /share</w:t>
      </w:r>
      <w:r>
        <w:br/>
      </w:r>
      <w:r>
        <w:rPr>
          <w:rStyle w:val="FunctionTok"/>
        </w:rPr>
        <w:t xml:space="preserve">sudo</w:t>
      </w:r>
      <w:r>
        <w:rPr>
          <w:rStyle w:val="NormalTok"/>
        </w:rPr>
        <w:t xml:space="preserve"> mount /dev/xvdb /share</w:t>
      </w:r>
    </w:p>
    <w:p>
      <w:pPr>
        <w:pStyle w:val="SourceCode"/>
      </w:pPr>
      <w:r>
        <w:rPr>
          <w:rStyle w:val="FunctionTok"/>
        </w:rPr>
        <w:t xml:space="preserve">sudo</w:t>
      </w:r>
      <w:r>
        <w:rPr>
          <w:rStyle w:val="NormalTok"/>
        </w:rPr>
        <w:t xml:space="preserve"> cp /etc/fstab /etc/fstab.orig</w:t>
      </w:r>
      <w:r>
        <w:br/>
      </w:r>
      <w:r>
        <w:rPr>
          <w:rStyle w:val="FunctionTok"/>
        </w:rPr>
        <w:t xml:space="preserve">sudo</w:t>
      </w:r>
      <w:r>
        <w:rPr>
          <w:rStyle w:val="NormalTok"/>
        </w:rPr>
        <w:t xml:space="preserve"> blkid</w:t>
      </w:r>
      <w:r>
        <w:br/>
      </w:r>
      <w:r>
        <w:rPr>
          <w:rStyle w:val="CommentTok"/>
        </w:rPr>
        <w:t xml:space="preserve"># /dev/xvdb: UUID="bc766dfb-1c42-49cf-9320-2242a2d48a2e" BLOCK_SIZE="512" TYPE="xfs"</w:t>
      </w:r>
      <w:r>
        <w:br/>
      </w:r>
      <w:r>
        <w:rPr>
          <w:rStyle w:val="FunctionTok"/>
        </w:rPr>
        <w:t xml:space="preserve">sudo</w:t>
      </w:r>
      <w:r>
        <w:rPr>
          <w:rStyle w:val="NormalTok"/>
        </w:rPr>
        <w:t xml:space="preserve"> vim /etc/fstab</w:t>
      </w:r>
      <w:r>
        <w:br/>
      </w:r>
      <w:r>
        <w:rPr>
          <w:rStyle w:val="CommentTok"/>
        </w:rPr>
        <w:t xml:space="preserve"># UUID=bc766dfb-1c42-49cf-9320-2242a2d48a2e  /share  xfs  defaults,nofail  0  2</w:t>
      </w:r>
      <w:r>
        <w:br/>
      </w:r>
      <w:r>
        <w:br/>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umount /share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mount </w:t>
      </w:r>
      <w:r>
        <w:rPr>
          <w:rStyle w:val="AttributeTok"/>
        </w:rPr>
        <w:t xml:space="preserve">-a</w:t>
      </w:r>
      <w:r>
        <w:rPr>
          <w:rStyle w:val="NormalTok"/>
        </w:rPr>
        <w:t xml:space="preserv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p>
    <w:bookmarkEnd w:id="373"/>
    <w:bookmarkEnd w:id="374"/>
    <w:bookmarkStart w:id="378" w:name="install-docker"/>
    <w:p>
      <w:pPr>
        <w:pStyle w:val="Heading3"/>
      </w:pPr>
      <w:r>
        <w:t xml:space="preserve">14.1.3 install docker</w:t>
      </w:r>
    </w:p>
    <w:p>
      <w:pPr>
        <w:pStyle w:val="FirstParagraph"/>
      </w:pPr>
      <w:r>
        <w:t xml:space="preserve">Following:</w:t>
      </w:r>
    </w:p>
    <w:p>
      <w:pPr>
        <w:pStyle w:val="Compact"/>
        <w:numPr>
          <w:ilvl w:val="0"/>
          <w:numId w:val="1038"/>
        </w:numPr>
      </w:pPr>
      <w:hyperlink r:id="rId375">
        <w:r>
          <w:rPr>
            <w:rStyle w:val="Hyperlink"/>
          </w:rPr>
          <w:t xml:space="preserve">Step-by-Step Guide to Install Docker on Ubuntu in AWS | by Srija Anaparthy | Medium</w:t>
        </w:r>
      </w:hyperlink>
    </w:p>
    <w:p>
      <w:pPr>
        <w:pStyle w:val="SourceCode"/>
      </w:pPr>
      <w:r>
        <w:rPr>
          <w:rStyle w:val="FunctionTok"/>
        </w:rPr>
        <w:t xml:space="preserve">sudo</w:t>
      </w:r>
      <w:r>
        <w:rPr>
          <w:rStyle w:val="NormalTok"/>
        </w:rPr>
        <w:t xml:space="preserve"> apt-get update</w:t>
      </w:r>
      <w:r>
        <w:br/>
      </w:r>
      <w:r>
        <w:rPr>
          <w:rStyle w:val="CommentTok"/>
        </w:rPr>
        <w:t xml:space="preserve">#OLD: sudo apt-get install docker.io -y</w:t>
      </w:r>
    </w:p>
    <w:p>
      <w:pPr>
        <w:pStyle w:val="FirstParagraph"/>
      </w:pPr>
      <w:r>
        <w:t xml:space="preserve">NEW: [[Migrate to</w:t>
      </w:r>
      <w:r>
        <w:t xml:space="preserve"> </w:t>
      </w:r>
      <w:r>
        <w:rPr>
          <w:rStyle w:val="VerbatimChar"/>
        </w:rPr>
        <w:t xml:space="preserve">docker compose</w:t>
      </w:r>
      <w:r>
        <w:t xml:space="preserve">]]</w:t>
      </w:r>
    </w:p>
    <w:p>
      <w:pPr>
        <w:pStyle w:val="SourceCode"/>
      </w:pPr>
      <w:r>
        <w:rPr>
          <w:rStyle w:val="FunctionTok"/>
        </w:rPr>
        <w:t xml:space="preserve">sudo</w:t>
      </w:r>
      <w:r>
        <w:rPr>
          <w:rStyle w:val="NormalTok"/>
        </w:rPr>
        <w:t xml:space="preserve"> systemctl start docker</w:t>
      </w:r>
      <w:r>
        <w:br/>
      </w:r>
      <w:r>
        <w:rPr>
          <w:rStyle w:val="FunctionTok"/>
        </w:rPr>
        <w:t xml:space="preserve">sudo</w:t>
      </w:r>
      <w:r>
        <w:rPr>
          <w:rStyle w:val="NormalTok"/>
        </w:rPr>
        <w:t xml:space="preserve"> docker run hello-world</w:t>
      </w:r>
      <w:r>
        <w:br/>
      </w:r>
      <w:r>
        <w:rPr>
          <w:rStyle w:val="FunctionTok"/>
        </w:rPr>
        <w:t xml:space="preserve">sudo</w:t>
      </w:r>
      <w:r>
        <w:rPr>
          <w:rStyle w:val="NormalTok"/>
        </w:rPr>
        <w:t xml:space="preserve"> systemctl enable docker</w:t>
      </w:r>
      <w:r>
        <w:br/>
      </w:r>
      <w:r>
        <w:rPr>
          <w:rStyle w:val="ExtensionTok"/>
        </w:rPr>
        <w:t xml:space="preserve">docker</w:t>
      </w:r>
      <w:r>
        <w:rPr>
          <w:rStyle w:val="NormalTok"/>
        </w:rPr>
        <w:t xml:space="preserve"> </w:t>
      </w:r>
      <w:r>
        <w:rPr>
          <w:rStyle w:val="AttributeTok"/>
        </w:rPr>
        <w:t xml:space="preserve">--version</w:t>
      </w:r>
      <w:r>
        <w:br/>
      </w:r>
      <w:r>
        <w:rPr>
          <w:rStyle w:val="CommentTok"/>
        </w:rPr>
        <w:t xml:space="preserve"># Docker version 24.0.6, build ed223bc</w:t>
      </w:r>
      <w:r>
        <w:br/>
      </w:r>
      <w:r>
        <w:rPr>
          <w:rStyle w:val="FunctionTok"/>
        </w:rPr>
        <w:t xml:space="preserve">sudo</w:t>
      </w:r>
      <w:r>
        <w:rPr>
          <w:rStyle w:val="NormalTok"/>
        </w:rPr>
        <w:t xml:space="preserve"> usermod </w:t>
      </w:r>
      <w:r>
        <w:rPr>
          <w:rStyle w:val="AttributeTok"/>
        </w:rPr>
        <w:t xml:space="preserve">-a</w:t>
      </w:r>
      <w:r>
        <w:rPr>
          <w:rStyle w:val="NormalTok"/>
        </w:rPr>
        <w:t xml:space="preserve"> </w:t>
      </w:r>
      <w:r>
        <w:rPr>
          <w:rStyle w:val="AttributeTok"/>
        </w:rPr>
        <w:t xml:space="preserve">-G</w:t>
      </w:r>
      <w:r>
        <w:rPr>
          <w:rStyle w:val="NormalTok"/>
        </w:rPr>
        <w:t xml:space="preserve"> docker </w:t>
      </w:r>
      <w:r>
        <w:rPr>
          <w:rStyle w:val="VariableTok"/>
        </w:rPr>
        <w:t xml:space="preserve">$(</w:t>
      </w:r>
      <w:r>
        <w:rPr>
          <w:rStyle w:val="FunctionTok"/>
        </w:rPr>
        <w:t xml:space="preserve">whoami</w:t>
      </w:r>
      <w:r>
        <w:rPr>
          <w:rStyle w:val="VariableTok"/>
        </w:rPr>
        <w:t xml:space="preserve">)</w:t>
      </w:r>
    </w:p>
    <w:bookmarkStart w:id="377" w:name="run-docker-compose"/>
    <w:p>
      <w:pPr>
        <w:pStyle w:val="Heading4"/>
      </w:pPr>
      <w:r>
        <w:t xml:space="preserve">14.1.3.1 run docker compose</w:t>
      </w:r>
    </w:p>
    <w:p>
      <w:pPr>
        <w:pStyle w:val="Compact"/>
        <w:numPr>
          <w:ilvl w:val="0"/>
          <w:numId w:val="1039"/>
        </w:numPr>
      </w:pPr>
      <w:r>
        <w:t xml:space="preserve">/Users/bbest/My Drive/private/</w:t>
      </w:r>
      <w:hyperlink r:id="rId376">
        <w:r>
          <w:rPr>
            <w:rStyle w:val="VerbatimChar"/>
          </w:rPr>
          <w:t xml:space="preserve">msens_server_env-password.txt</w:t>
        </w:r>
      </w:hyperlink>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ubuntu:ubuntu /share</w:t>
      </w:r>
      <w:r>
        <w:br/>
      </w:r>
      <w:r>
        <w:rPr>
          <w:rStyle w:val="FunctionTok"/>
        </w:rPr>
        <w:t xml:space="preserve">mkdir</w:t>
      </w:r>
      <w:r>
        <w:rPr>
          <w:rStyle w:val="NormalTok"/>
        </w:rPr>
        <w:t xml:space="preserve"> </w:t>
      </w:r>
      <w:r>
        <w:rPr>
          <w:rStyle w:val="AttributeTok"/>
        </w:rPr>
        <w:t xml:space="preserve">-p</w:t>
      </w:r>
      <w:r>
        <w:rPr>
          <w:rStyle w:val="NormalTok"/>
        </w:rPr>
        <w:t xml:space="preserve"> /share/github/MarineSensitivity</w:t>
      </w:r>
      <w:r>
        <w:br/>
      </w:r>
      <w:r>
        <w:rPr>
          <w:rStyle w:val="BuiltInTok"/>
        </w:rPr>
        <w:t xml:space="preserve">cd</w:t>
      </w:r>
      <w:r>
        <w:rPr>
          <w:rStyle w:val="NormalTok"/>
        </w:rPr>
        <w:t xml:space="preserve"> /share/github/MarineSensitivity</w:t>
      </w:r>
      <w:r>
        <w:br/>
      </w:r>
      <w:r>
        <w:rPr>
          <w:rStyle w:val="CommentTok"/>
        </w:rPr>
        <w:t xml:space="preserve"># clone server repo</w:t>
      </w:r>
      <w:r>
        <w:br/>
      </w:r>
      <w:r>
        <w:rPr>
          <w:rStyle w:val="FunctionTok"/>
        </w:rPr>
        <w:t xml:space="preserve">git</w:t>
      </w:r>
      <w:r>
        <w:rPr>
          <w:rStyle w:val="NormalTok"/>
        </w:rPr>
        <w:t xml:space="preserve"> clone https://github.com/MarineSensitivity/server.git</w:t>
      </w:r>
      <w:r>
        <w:br/>
      </w:r>
      <w:r>
        <w:rPr>
          <w:rStyle w:val="BuiltInTok"/>
        </w:rPr>
        <w:t xml:space="preserve">cd</w:t>
      </w:r>
      <w:r>
        <w:rPr>
          <w:rStyle w:val="NormalTok"/>
        </w:rPr>
        <w:t xml:space="preserve"> server</w:t>
      </w:r>
      <w:r>
        <w:br/>
      </w:r>
      <w:r>
        <w:br/>
      </w:r>
      <w:r>
        <w:rPr>
          <w:rStyle w:val="CommentTok"/>
        </w:rPr>
        <w:t xml:space="preserve"># add password, used as $PASSWORD in docker-compose.yml</w:t>
      </w:r>
      <w:r>
        <w:br/>
      </w:r>
      <w:r>
        <w:rPr>
          <w:rStyle w:val="BuiltInTok"/>
        </w:rPr>
        <w:t xml:space="preserve">echo</w:t>
      </w:r>
      <w:r>
        <w:rPr>
          <w:rStyle w:val="NormalTok"/>
        </w:rPr>
        <w:t xml:space="preserve"> </w:t>
      </w:r>
      <w:r>
        <w:rPr>
          <w:rStyle w:val="StringTok"/>
        </w:rPr>
        <w:t xml:space="preserve">'PASSWORD=******'</w:t>
      </w:r>
      <w:r>
        <w:rPr>
          <w:rStyle w:val="NormalTok"/>
        </w:rPr>
        <w:t xml:space="preserve"> </w:t>
      </w:r>
      <w:r>
        <w:rPr>
          <w:rStyle w:val="OperatorTok"/>
        </w:rPr>
        <w:t xml:space="preserve">&gt;</w:t>
      </w:r>
      <w:r>
        <w:rPr>
          <w:rStyle w:val="NormalTok"/>
        </w:rPr>
        <w:t xml:space="preserve"> .env</w:t>
      </w:r>
      <w:r>
        <w:br/>
      </w:r>
      <w:r>
        <w:br/>
      </w:r>
      <w:r>
        <w:rPr>
          <w:rStyle w:val="CommentTok"/>
        </w:rPr>
        <w:t xml:space="preserve"># launch docker instances</w:t>
      </w:r>
      <w:r>
        <w:br/>
      </w:r>
      <w:r>
        <w:rPr>
          <w:rStyle w:val="FunctionTok"/>
        </w:rPr>
        <w:t xml:space="preserve">sudo</w:t>
      </w:r>
      <w:r>
        <w:rPr>
          <w:rStyle w:val="NormalTok"/>
        </w:rPr>
        <w:t xml:space="preserve"> docker-compose up </w:t>
      </w:r>
      <w:r>
        <w:rPr>
          <w:rStyle w:val="AttributeTok"/>
        </w:rPr>
        <w:t xml:space="preserve">-d</w:t>
      </w:r>
    </w:p>
    <w:bookmarkEnd w:id="377"/>
    <w:bookmarkEnd w:id="378"/>
    <w:bookmarkStart w:id="380" w:name="backup-share-with-snapshots"/>
    <w:p>
      <w:pPr>
        <w:pStyle w:val="Heading3"/>
      </w:pPr>
      <w:r>
        <w:t xml:space="preserve">14.1.4 Backup</w:t>
      </w:r>
      <w:r>
        <w:t xml:space="preserve"> </w:t>
      </w:r>
      <w:r>
        <w:rPr>
          <w:rStyle w:val="VerbatimChar"/>
        </w:rPr>
        <w:t xml:space="preserve">/share</w:t>
      </w:r>
      <w:r>
        <w:t xml:space="preserve"> </w:t>
      </w:r>
      <w:r>
        <w:t xml:space="preserve">with snapshots</w:t>
      </w:r>
    </w:p>
    <w:p>
      <w:pPr>
        <w:pStyle w:val="FirstParagraph"/>
      </w:pPr>
      <w:r>
        <w:t xml:space="preserve">Per</w:t>
      </w:r>
      <w:r>
        <w:t xml:space="preserve"> </w:t>
      </w:r>
      <w:hyperlink r:id="rId379">
        <w:r>
          <w:rPr>
            <w:rStyle w:val="Hyperlink"/>
          </w:rPr>
          <w:t xml:space="preserve">Automate snapshot lifecycles - Amazon Elastic Compute Cloud</w:t>
        </w:r>
      </w:hyperlink>
      <w:r>
        <w:t xml:space="preserve">, created two policies:</w:t>
      </w:r>
    </w:p>
    <w:p>
      <w:pPr>
        <w:pStyle w:val="Compact"/>
        <w:numPr>
          <w:ilvl w:val="0"/>
          <w:numId w:val="1040"/>
        </w:numPr>
      </w:pPr>
      <w:r>
        <w:rPr>
          <w:b/>
          <w:bCs/>
        </w:rPr>
        <w:t xml:space="preserve">bkup_msens-share_daily</w:t>
      </w:r>
      <w:r>
        <w:t xml:space="preserve"> </w:t>
      </w:r>
      <w:r>
        <w:t xml:space="preserve">every 24 hrs at 09:00 UTC, max of 7</w:t>
      </w:r>
    </w:p>
    <w:p>
      <w:pPr>
        <w:pStyle w:val="Compact"/>
        <w:numPr>
          <w:ilvl w:val="0"/>
          <w:numId w:val="1040"/>
        </w:numPr>
      </w:pPr>
      <w:r>
        <w:rPr>
          <w:b/>
          <w:bCs/>
        </w:rPr>
        <w:t xml:space="preserve">bkup_msens-share_weekly</w:t>
      </w:r>
      <w:r>
        <w:t xml:space="preserve"> </w:t>
      </w:r>
      <w:r>
        <w:t xml:space="preserve">every Monday 09:00 UTC, max of 8</w:t>
      </w:r>
    </w:p>
    <w:bookmarkEnd w:id="380"/>
    <w:bookmarkEnd w:id="381"/>
    <w:bookmarkStart w:id="382" w:name="docker-compose"/>
    <w:p>
      <w:pPr>
        <w:pStyle w:val="Heading2"/>
      </w:pPr>
      <w:r>
        <w:t xml:space="preserve">14.2 Docker compose</w:t>
      </w:r>
    </w:p>
    <w:p>
      <w:pPr>
        <w:pStyle w:val="FirstParagraph"/>
      </w:pPr>
      <w:r>
        <w:t xml:space="preserve">The Docker compose file is used to define and run multi-container Docker applications. Here is the</w:t>
      </w:r>
      <w:r>
        <w:t xml:space="preserve"> </w:t>
      </w:r>
      <w:hyperlink r:id="rId364">
        <w:r>
          <w:rPr>
            <w:rStyle w:val="VerbatimChar"/>
          </w:rPr>
          <w:t xml:space="preserve">docker-compose.yml</w:t>
        </w:r>
      </w:hyperlink>
      <w:r>
        <w:t xml:space="preserve"> </w:t>
      </w:r>
      <w:r>
        <w:t xml:space="preserve">file for the server pasted for convenience …</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"3.9"</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caddy</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caddy</w:t>
      </w:r>
      <w:r>
        <w:br/>
      </w:r>
      <w:r>
        <w:rPr>
          <w:rStyle w:val="AttributeTok"/>
        </w:rPr>
        <w:t xml:space="preserve">    </w:t>
      </w:r>
      <w:r>
        <w:rPr>
          <w:rStyle w:val="FunctionTok"/>
        </w:rPr>
        <w:t xml:space="preserve">build</w:t>
      </w:r>
      <w:r>
        <w:rPr>
          <w:rStyle w:val="KeywordTok"/>
        </w:rPr>
        <w:t xml:space="preserve">:</w:t>
      </w:r>
      <w:r>
        <w:rPr>
          <w:rStyle w:val="AttributeTok"/>
        </w:rPr>
        <w:t xml:space="preserve"> ./caddy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80:80</w:t>
      </w:r>
      <w:r>
        <w:br/>
      </w:r>
      <w:r>
        <w:rPr>
          <w:rStyle w:val="AttributeTok"/>
        </w:rPr>
        <w:t xml:space="preserve">      </w:t>
      </w:r>
      <w:r>
        <w:rPr>
          <w:rStyle w:val="KeywordTok"/>
        </w:rPr>
        <w:t xml:space="preserve">-</w:t>
      </w:r>
      <w:r>
        <w:rPr>
          <w:rStyle w:val="AttributeTok"/>
        </w:rPr>
        <w:t xml:space="preserve"> 443:443</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CommentTok"/>
        </w:rPr>
        <w:t xml:space="preserve">      # Cloudflare Access team domain + application AUD tag for the signed-in</w:t>
      </w:r>
      <w:r>
        <w:br/>
      </w:r>
      <w:r>
        <w:rPr>
          <w:rStyle w:val="CommentTok"/>
        </w:rPr>
        <w:t xml:space="preserve">      # preview.marinesensitivity.org vhost (caddy/Caddyfile jwtauth). Set both</w:t>
      </w:r>
      <w:r>
        <w:br/>
      </w:r>
      <w:r>
        <w:rPr>
          <w:rStyle w:val="CommentTok"/>
        </w:rPr>
        <w:t xml:space="preserve">      # in the server .env once the Access application exists</w:t>
      </w:r>
      <w:r>
        <w:br/>
      </w:r>
      <w:r>
        <w:rPr>
          <w:rStyle w:val="CommentTok"/>
        </w:rPr>
        <w:t xml:space="preserve">      # (server/cloudflare/). Unset, the vhost fails CLOSED: the defaults match</w:t>
      </w:r>
      <w:r>
        <w:br/>
      </w:r>
      <w:r>
        <w:rPr>
          <w:rStyle w:val="CommentTok"/>
        </w:rPr>
        <w:t xml:space="preserve">      # no real JWT, so every request there gets 401 rather than the app.</w:t>
      </w:r>
      <w:r>
        <w:br/>
      </w:r>
      <w:r>
        <w:rPr>
          <w:rStyle w:val="AttributeTok"/>
        </w:rPr>
        <w:t xml:space="preserve">      </w:t>
      </w:r>
      <w:r>
        <w:rPr>
          <w:rStyle w:val="FunctionTok"/>
        </w:rPr>
        <w:t xml:space="preserve">CF_ACCESS_TEAM</w:t>
      </w:r>
      <w:r>
        <w:rPr>
          <w:rStyle w:val="KeywordTok"/>
        </w:rPr>
        <w:t xml:space="preserve">:</w:t>
      </w:r>
      <w:r>
        <w:rPr>
          <w:rStyle w:val="AttributeTok"/>
        </w:rPr>
        <w:t xml:space="preserve"> ${CF_ACCESS_TEAM:-unconfigured}</w:t>
      </w:r>
      <w:r>
        <w:br/>
      </w:r>
      <w:r>
        <w:rPr>
          <w:rStyle w:val="AttributeTok"/>
        </w:rPr>
        <w:t xml:space="preserve">      </w:t>
      </w:r>
      <w:r>
        <w:rPr>
          <w:rStyle w:val="FunctionTok"/>
        </w:rPr>
        <w:t xml:space="preserve">CF_ACCESS_AUD</w:t>
      </w:r>
      <w:r>
        <w:rPr>
          <w:rStyle w:val="KeywordTok"/>
        </w:rPr>
        <w:t xml:space="preserve">:</w:t>
      </w:r>
      <w:r>
        <w:rPr>
          <w:rStyle w:val="AttributeTok"/>
        </w:rPr>
        <w:t xml:space="preserve"> ${CF_ACCESS_AUD:-unconfigured}</w:t>
      </w:r>
      <w:r>
        <w:br/>
      </w:r>
      <w:r>
        <w:rPr>
          <w:rStyle w:val="CommentTok"/>
        </w:rPr>
        <w:t xml:space="preserve">      # the restricted releases, as a regex alternation ("v8|v9"): the PUBLIC app</w:t>
      </w:r>
      <w:r>
        <w:br/>
      </w:r>
      <w:r>
        <w:rPr>
          <w:rStyle w:val="CommentTok"/>
        </w:rPr>
        <w:t xml:space="preserve">      # vhost 302s /{ver}/scores|species|atlas (and the retired aliases / ?ver=</w:t>
      </w:r>
      <w:r>
        <w:br/>
      </w:r>
      <w:r>
        <w:rPr>
          <w:rStyle w:val="CommentTok"/>
        </w:rPr>
        <w:t xml:space="preserve">      # spellings) for these straight to the review host's Atlas, ONE hop (Atlas</w:t>
      </w:r>
      <w:r>
        <w:br/>
      </w:r>
      <w:r>
        <w:rPr>
          <w:rStyle w:val="CommentTok"/>
        </w:rPr>
        <w:t xml:space="preserve">      # cutover B2, caddy/atlas_cutover_public.caddy), instead of the public Atlas.</w:t>
      </w:r>
      <w:r>
        <w:br/>
      </w:r>
      <w:r>
        <w:rPr>
          <w:rStyle w:val="CommentTok"/>
        </w:rPr>
        <w:t xml:space="preserve">      # Kept in the server .env beside PREVIEW_REVIEWERS_&lt;VER&gt;; DEPLOY_CADDY asserts</w:t>
      </w:r>
      <w:r>
        <w:br/>
      </w:r>
      <w:r>
        <w:rPr>
          <w:rStyle w:val="CommentTok"/>
        </w:rPr>
        <w:t xml:space="preserve">      # it against versions.json BEFORE it restarts anything. UNSET (or empty) it</w:t>
      </w:r>
      <w:r>
        <w:br/>
      </w:r>
      <w:r>
        <w:rPr>
          <w:rStyle w:val="CommentTok"/>
        </w:rPr>
        <w:t xml:space="preserve">      # defaults to the no-match value `__none__`, and then restricted versions are</w:t>
      </w:r>
      <w:r>
        <w:br/>
      </w:r>
      <w:r>
        <w:rPr>
          <w:rStyle w:val="CommentTok"/>
        </w:rPr>
        <w:t xml:space="preserve">      # sent to the PUBLIC Atlas instead of the review host: that fails closed (the</w:t>
      </w:r>
      <w:r>
        <w:br/>
      </w:r>
      <w:r>
        <w:rPr>
          <w:rStyle w:val="CommentTok"/>
        </w:rPr>
        <w:t xml:space="preserve">      # app says "under review") but is the wrong door, and the deploy check refuses</w:t>
      </w:r>
      <w:r>
        <w:br/>
      </w:r>
      <w:r>
        <w:rPr>
          <w:rStyle w:val="CommentTok"/>
        </w:rPr>
        <w:t xml:space="preserve">      # it. Use `__none__` explicitly only while no release is restricted.</w:t>
      </w:r>
      <w:r>
        <w:br/>
      </w:r>
      <w:r>
        <w:rPr>
          <w:rStyle w:val="AttributeTok"/>
        </w:rPr>
        <w:t xml:space="preserve">      </w:t>
      </w:r>
      <w:r>
        <w:rPr>
          <w:rStyle w:val="FunctionTok"/>
        </w:rPr>
        <w:t xml:space="preserve">PREVIEW_RESTRICTED_VERSIONS</w:t>
      </w:r>
      <w:r>
        <w:rPr>
          <w:rStyle w:val="KeywordTok"/>
        </w:rPr>
        <w:t xml:space="preserve">:</w:t>
      </w:r>
      <w:r>
        <w:rPr>
          <w:rStyle w:val="AttributeTok"/>
        </w:rPr>
        <w:t xml:space="preserve"> ${PREVIEW_RESTRICTED_VERSIONS:-__none__}</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./caddy/Caddyfile:/etc/caddy/Caddyfile</w:t>
      </w:r>
      <w:r>
        <w:br/>
      </w:r>
      <w:r>
        <w:rPr>
          <w:rStyle w:val="CommentTok"/>
        </w:rPr>
        <w:t xml:space="preserve">      # the preview host's routes, in their own file so caddy/test/run.sh can</w:t>
      </w:r>
      <w:r>
        <w:br/>
      </w:r>
      <w:r>
        <w:rPr>
          <w:rStyle w:val="CommentTok"/>
        </w:rPr>
        <w:t xml:space="preserve">      # exercise the very same file behind a test jwtauth (single-file bind</w:t>
      </w:r>
      <w:r>
        <w:br/>
      </w:r>
      <w:r>
        <w:rPr>
          <w:rStyle w:val="CommentTok"/>
        </w:rPr>
        <w:t xml:space="preserve">      # mount, same restart rule as the Caddyfile)</w:t>
      </w:r>
      <w:r>
        <w:br/>
      </w:r>
      <w:r>
        <w:rPr>
          <w:rStyle w:val="AttributeTok"/>
        </w:rPr>
        <w:t xml:space="preserve">      </w:t>
      </w:r>
      <w:r>
        <w:rPr>
          <w:rStyle w:val="KeywordTok"/>
        </w:rPr>
        <w:t xml:space="preserve">-</w:t>
      </w:r>
      <w:r>
        <w:rPr>
          <w:rStyle w:val="AttributeTok"/>
        </w:rPr>
        <w:t xml:space="preserve"> ./caddy/preview_routes.caddy:/etc/caddy/preview_routes.caddy</w:t>
      </w:r>
      <w:r>
        <w:br/>
      </w:r>
      <w:r>
        <w:rPr>
          <w:rStyle w:val="CommentTok"/>
        </w:rPr>
        <w:t xml:space="preserve">      # the version-path routes, shared by BOTH app vhosts (see the Caddyfile)</w:t>
      </w:r>
      <w:r>
        <w:br/>
      </w:r>
      <w:r>
        <w:rPr>
          <w:rStyle w:val="AttributeTok"/>
        </w:rPr>
        <w:t xml:space="preserve">      </w:t>
      </w:r>
      <w:r>
        <w:rPr>
          <w:rStyle w:val="KeywordTok"/>
        </w:rPr>
        <w:t xml:space="preserve">-</w:t>
      </w:r>
      <w:r>
        <w:rPr>
          <w:rStyle w:val="AttributeTok"/>
        </w:rPr>
        <w:t xml:space="preserve"> ./caddy/app_version_routes.caddy:/etc/caddy/app_version_routes.caddy</w:t>
      </w:r>
      <w:r>
        <w:br/>
      </w:r>
      <w:r>
        <w:rPr>
          <w:rStyle w:val="CommentTok"/>
        </w:rPr>
        <w:t xml:space="preserve">      # the PUBLIC app host's Atlas cutover redirects (B2, 2026-10-16), imported by</w:t>
      </w:r>
      <w:r>
        <w:br/>
      </w:r>
      <w:r>
        <w:rPr>
          <w:rStyle w:val="CommentTok"/>
        </w:rPr>
        <w:t xml:space="preserve">      # the app.marinesensitivity.org vhost (single-file bind mount, same restart</w:t>
      </w:r>
      <w:r>
        <w:br/>
      </w:r>
      <w:r>
        <w:rPr>
          <w:rStyle w:val="CommentTok"/>
        </w:rPr>
        <w:t xml:space="preserve">      # rule). A NEW mount: `up -d --no-deps caddy` recreates the container for it.</w:t>
      </w:r>
      <w:r>
        <w:br/>
      </w:r>
      <w:r>
        <w:rPr>
          <w:rStyle w:val="AttributeTok"/>
        </w:rPr>
        <w:t xml:space="preserve">      </w:t>
      </w:r>
      <w:r>
        <w:rPr>
          <w:rStyle w:val="KeywordTok"/>
        </w:rPr>
        <w:t xml:space="preserve">-</w:t>
      </w:r>
      <w:r>
        <w:rPr>
          <w:rStyle w:val="AttributeTok"/>
        </w:rPr>
        <w:t xml:space="preserve"> ./caddy/atlas_cutover_public.caddy:/etc/caddy/atlas_cutover_public.caddy</w:t>
      </w:r>
      <w:r>
        <w:br/>
      </w:r>
      <w:r>
        <w:rPr>
          <w:rStyle w:val="CommentTok"/>
        </w:rPr>
        <w:t xml:space="preserve">      # the atlas app's routes on the preview host, imported from</w:t>
      </w:r>
      <w:r>
        <w:br/>
      </w:r>
      <w:r>
        <w:rPr>
          <w:rStyle w:val="CommentTok"/>
        </w:rPr>
        <w:t xml:space="preserve">      # preview_routes.caddy (single-file bind mount, same restart rule)</w:t>
      </w:r>
      <w:r>
        <w:br/>
      </w:r>
      <w:r>
        <w:rPr>
          <w:rStyle w:val="AttributeTok"/>
        </w:rPr>
        <w:t xml:space="preserve">      </w:t>
      </w:r>
      <w:r>
        <w:rPr>
          <w:rStyle w:val="KeywordTok"/>
        </w:rPr>
        <w:t xml:space="preserve">-</w:t>
      </w:r>
      <w:r>
        <w:rPr>
          <w:rStyle w:val="AttributeTok"/>
        </w:rPr>
        <w:t xml:space="preserve"> ./caddy/atlas_preview_routes.caddy:/etc/caddy/atlas_preview_routes.caddy</w:t>
      </w:r>
      <w:r>
        <w:br/>
      </w:r>
      <w:r>
        <w:rPr>
          <w:rStyle w:val="AttributeTok"/>
        </w:rPr>
        <w:t xml:space="preserve">      </w:t>
      </w:r>
      <w:r>
        <w:rPr>
          <w:rStyle w:val="KeywordTok"/>
        </w:rPr>
        <w:t xml:space="preserve">-</w:t>
      </w:r>
      <w:r>
        <w:rPr>
          <w:rStyle w:val="AttributeTok"/>
        </w:rPr>
        <w:t xml:space="preserve"> /share:/share</w:t>
      </w:r>
      <w:r>
        <w:br/>
      </w:r>
      <w:r>
        <w:rPr>
          <w:rStyle w:val="CommentTok"/>
        </w:rPr>
        <w:t xml:space="preserve">      # the atlas-preview clone, explicitly read-only: caddy only ever serves</w:t>
      </w:r>
      <w:r>
        <w:br/>
      </w:r>
      <w:r>
        <w:rPr>
          <w:rStyle w:val="CommentTok"/>
        </w:rPr>
        <w:t xml:space="preserve">      # from it, atlas-preview (below) is the only writer</w:t>
      </w:r>
      <w:r>
        <w:br/>
      </w:r>
      <w:r>
        <w:rPr>
          <w:rStyle w:val="AttributeTok"/>
        </w:rPr>
        <w:t xml:space="preserve">      </w:t>
      </w:r>
      <w:r>
        <w:rPr>
          <w:rStyle w:val="KeywordTok"/>
        </w:rPr>
        <w:t xml:space="preserve">-</w:t>
      </w:r>
      <w:r>
        <w:rPr>
          <w:rStyle w:val="AttributeTok"/>
        </w:rPr>
        <w:t xml:space="preserve"> /share/atlas_preview:/share/atlas_preview:ro</w:t>
      </w:r>
      <w:r>
        <w:br/>
      </w:r>
      <w:r>
        <w:rPr>
          <w:rStyle w:val="AttributeTok"/>
        </w:rPr>
        <w:t xml:space="preserve">      </w:t>
      </w:r>
      <w:r>
        <w:rPr>
          <w:rStyle w:val="KeywordTok"/>
        </w:rPr>
        <w:t xml:space="preserve">-</w:t>
      </w:r>
      <w:r>
        <w:rPr>
          <w:rStyle w:val="AttributeTok"/>
        </w:rPr>
        <w:t xml:space="preserve"> /share/caddy/data:/data</w:t>
      </w:r>
      <w:r>
        <w:br/>
      </w:r>
      <w:r>
        <w:rPr>
          <w:rStyle w:val="AttributeTok"/>
        </w:rPr>
        <w:t xml:space="preserve">      </w:t>
      </w:r>
      <w:r>
        <w:rPr>
          <w:rStyle w:val="KeywordTok"/>
        </w:rPr>
        <w:t xml:space="preserve">-</w:t>
      </w:r>
      <w:r>
        <w:rPr>
          <w:rStyle w:val="AttributeTok"/>
        </w:rPr>
        <w:t xml:space="preserve"> /share/caddy/config:/config</w:t>
      </w:r>
      <w:r>
        <w:br/>
      </w:r>
      <w:r>
        <w:br/>
      </w:r>
      <w:r>
        <w:rPr>
          <w:rStyle w:val="AttributeTok"/>
        </w:rPr>
        <w:t xml:space="preserve">  </w:t>
      </w:r>
      <w:r>
        <w:rPr>
          <w:rStyle w:val="FunctionTok"/>
        </w:rPr>
        <w:t xml:space="preserve">rstudio</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rstudio</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./rstudio</w:t>
      </w:r>
      <w:r>
        <w:br/>
      </w:r>
      <w:r>
        <w:rPr>
          <w:rStyle w:val="AttributeTok"/>
        </w:rPr>
        <w:t xml:space="preserve">      </w:t>
      </w:r>
      <w:r>
        <w:rPr>
          <w:rStyle w:val="FunctionTok"/>
        </w:rPr>
        <w:t xml:space="preserve">args</w:t>
      </w:r>
      <w:r>
        <w:rPr>
          <w:rStyle w:val="KeywordTok"/>
        </w:rPr>
        <w:t xml:space="preserve">:</w:t>
      </w:r>
      <w:r>
        <w:br/>
      </w:r>
      <w:r>
        <w:rPr>
          <w:rStyle w:val="CommentTok"/>
        </w:rPr>
        <w:t xml:space="preserve">        # which msens the IMAGE carries. Default `main` = never stale; the deploy</w:t>
      </w:r>
      <w:r>
        <w:br/>
      </w:r>
      <w:r>
        <w:rPr>
          <w:rStyle w:val="CommentTok"/>
        </w:rPr>
        <w:t xml:space="preserve">        # (rstudio/build.sh) passes the resolved commit instead, which both</w:t>
      </w:r>
      <w:r>
        <w:br/>
      </w:r>
      <w:r>
        <w:rPr>
          <w:rStyle w:val="CommentTok"/>
        </w:rPr>
        <w:t xml:space="preserve">        # records what was built and busts Docker's layer cache. The running</w:t>
      </w:r>
      <w:r>
        <w:br/>
      </w:r>
      <w:r>
        <w:rPr>
          <w:rStyle w:val="CommentTok"/>
        </w:rPr>
        <w:t xml:space="preserve">        # container additionally reconciles with the /share checkout at start</w:t>
      </w:r>
      <w:r>
        <w:br/>
      </w:r>
      <w:r>
        <w:rPr>
          <w:rStyle w:val="CommentTok"/>
        </w:rPr>
        <w:t xml:space="preserve">        # (rstudio/cont-init/03_msens_from_share).</w:t>
      </w:r>
      <w:r>
        <w:br/>
      </w:r>
      <w:r>
        <w:rPr>
          <w:rStyle w:val="AttributeTok"/>
        </w:rPr>
        <w:t xml:space="preserve">        </w:t>
      </w:r>
      <w:r>
        <w:rPr>
          <w:rStyle w:val="FunctionTok"/>
        </w:rPr>
        <w:t xml:space="preserve">MSENS_REF</w:t>
      </w:r>
      <w:r>
        <w:rPr>
          <w:rStyle w:val="KeywordTok"/>
        </w:rPr>
        <w:t xml:space="preserve">:</w:t>
      </w:r>
      <w:r>
        <w:rPr>
          <w:rStyle w:val="AttributeTok"/>
        </w:rPr>
        <w:t xml:space="preserve"> ${MSENS_REF:-main}</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ROOT</w:t>
      </w:r>
      <w:r>
        <w:rPr>
          <w:rStyle w:val="KeywordTok"/>
        </w:rPr>
        <w:t xml:space="preserve">:</w:t>
      </w:r>
      <w:r>
        <w:rPr>
          <w:rStyle w:val="AttributeTok"/>
        </w:rPr>
        <w:t xml:space="preserve"> </w:t>
      </w:r>
      <w:r>
        <w:rPr>
          <w:rStyle w:val="StringTok"/>
        </w:rPr>
        <w:t xml:space="preserve">'true'</w:t>
      </w:r>
      <w:r>
        <w:br/>
      </w:r>
      <w:r>
        <w:rPr>
          <w:rStyle w:val="CommentTok"/>
        </w:rPr>
        <w:t xml:space="preserve">      # The login is `rstudio`, and DEFAULT_USER must say so.</w:t>
      </w:r>
      <w:r>
        <w:br/>
      </w:r>
      <w:r>
        <w:rPr>
          <w:rStyle w:val="CommentTok"/>
        </w:rPr>
        <w:t xml:space="preserve">      #</w:t>
      </w:r>
      <w:r>
        <w:br/>
      </w:r>
      <w:r>
        <w:rPr>
          <w:rStyle w:val="CommentTok"/>
        </w:rPr>
        <w:t xml:space="preserve">      # rocker's /rocker_scripts/init_userconf.sh sets USER=${DEFAULT_USER}, but it</w:t>
      </w:r>
      <w:r>
        <w:br/>
      </w:r>
      <w:r>
        <w:rPr>
          <w:rStyle w:val="CommentTok"/>
        </w:rPr>
        <w:t xml:space="preserve">      # only ever CREATES that account inside `if [ "$USERID" -ne 1000 ]` (or the</w:t>
      </w:r>
      <w:r>
        <w:br/>
      </w:r>
      <w:r>
        <w:rPr>
          <w:rStyle w:val="CommentTok"/>
        </w:rPr>
        <w:t xml:space="preserve">      # rootless branch). At the default USERID=1000 neither runs, so the image's</w:t>
      </w:r>
      <w:r>
        <w:br/>
      </w:r>
      <w:r>
        <w:rPr>
          <w:rStyle w:val="CommentTok"/>
        </w:rPr>
        <w:t xml:space="preserve">      # built-in `rstudio` user is all that exists — and line 167,</w:t>
      </w:r>
      <w:r>
        <w:br/>
      </w:r>
      <w:r>
        <w:rPr>
          <w:rStyle w:val="CommentTok"/>
        </w:rPr>
        <w:t xml:space="preserve">      #   echo "$USER:$PASSWORD" | chpasswd</w:t>
      </w:r>
      <w:r>
        <w:br/>
      </w:r>
      <w:r>
        <w:rPr>
          <w:rStyle w:val="CommentTok"/>
        </w:rPr>
        <w:t xml:space="preserve">      # then targets an account that was never created.</w:t>
      </w:r>
      <w:r>
        <w:br/>
      </w:r>
      <w:r>
        <w:rPr>
          <w:rStyle w:val="CommentTok"/>
        </w:rPr>
        <w:t xml:space="preserve">      #</w:t>
      </w:r>
      <w:r>
        <w:br/>
      </w:r>
      <w:r>
        <w:rPr>
          <w:rStyle w:val="CommentTok"/>
        </w:rPr>
        <w:t xml:space="preserve">      # With DEFAULT_USER: admin that failed silently on every recreate: no `admin`</w:t>
      </w:r>
      <w:r>
        <w:br/>
      </w:r>
      <w:r>
        <w:rPr>
          <w:rStyle w:val="CommentTok"/>
        </w:rPr>
        <w:t xml:space="preserve">      # to log in as, and `rstudio` still carrying whatever password the image was</w:t>
      </w:r>
      <w:r>
        <w:br/>
      </w:r>
      <w:r>
        <w:rPr>
          <w:rStyle w:val="CommentTok"/>
        </w:rPr>
        <w:t xml:space="preserve">      # built with, so BOTH logins were rejected while .env looked perfectly</w:t>
      </w:r>
      <w:r>
        <w:br/>
      </w:r>
      <w:r>
        <w:rPr>
          <w:rStyle w:val="CommentTok"/>
        </w:rPr>
        <w:t xml:space="preserve">      # correct. Verified by comparing the .env value against the shadow hash: NO</w:t>
      </w:r>
      <w:r>
        <w:br/>
      </w:r>
      <w:r>
        <w:rPr>
          <w:rStyle w:val="CommentTok"/>
        </w:rPr>
        <w:t xml:space="preserve">      # MATCH.</w:t>
      </w:r>
      <w:r>
        <w:br/>
      </w:r>
      <w:r>
        <w:rPr>
          <w:rStyle w:val="CommentTok"/>
        </w:rPr>
        <w:t xml:space="preserve">      #</w:t>
      </w:r>
      <w:r>
        <w:br/>
      </w:r>
      <w:r>
        <w:rPr>
          <w:rStyle w:val="CommentTok"/>
        </w:rPr>
        <w:t xml:space="preserve">      # Do NOT "fix" this by setting USERID to force the rename — uid 1000 is what</w:t>
      </w:r>
      <w:r>
        <w:br/>
      </w:r>
      <w:r>
        <w:rPr>
          <w:rStyle w:val="CommentTok"/>
        </w:rPr>
        <w:t xml:space="preserve">      # matches host `ubuntu`, and scripts/srv_render.sh renders as `-u 1000:1000`</w:t>
      </w:r>
      <w:r>
        <w:br/>
      </w:r>
      <w:r>
        <w:rPr>
          <w:rStyle w:val="CommentTok"/>
        </w:rPr>
        <w:t xml:space="preserve">      # precisely because of it.</w:t>
      </w:r>
      <w:r>
        <w:br/>
      </w:r>
      <w:r>
        <w:rPr>
          <w:rStyle w:val="AttributeTok"/>
        </w:rPr>
        <w:t xml:space="preserve">      </w:t>
      </w:r>
      <w:r>
        <w:rPr>
          <w:rStyle w:val="FunctionTok"/>
        </w:rPr>
        <w:t xml:space="preserve">DEFAULT_USER</w:t>
      </w:r>
      <w:r>
        <w:rPr>
          <w:rStyle w:val="KeywordTok"/>
        </w:rPr>
        <w:t xml:space="preserve">:</w:t>
      </w:r>
      <w:r>
        <w:rPr>
          <w:rStyle w:val="AttributeTok"/>
        </w:rPr>
        <w:t xml:space="preserve"> rstudio</w:t>
      </w:r>
      <w:r>
        <w:br/>
      </w:r>
      <w:r>
        <w:rPr>
          <w:rStyle w:val="AttributeTok"/>
        </w:rPr>
        <w:t xml:space="preserve">      </w:t>
      </w:r>
      <w:r>
        <w:rPr>
          <w:rStyle w:val="FunctionTok"/>
        </w:rPr>
        <w:t xml:space="preserve">PASSWORD</w:t>
      </w:r>
      <w:r>
        <w:rPr>
          <w:rStyle w:val="KeywordTok"/>
        </w:rPr>
        <w:t xml:space="preserve">:</w:t>
      </w:r>
      <w:r>
        <w:rPr>
          <w:rStyle w:val="AttributeTok"/>
        </w:rPr>
        <w:t xml:space="preserve"> ${PASSWORD}</w:t>
      </w:r>
      <w:r>
        <w:br/>
      </w:r>
      <w:r>
        <w:rPr>
          <w:rStyle w:val="AttributeTok"/>
        </w:rPr>
        <w:t xml:space="preserve">      </w:t>
      </w:r>
      <w:r>
        <w:rPr>
          <w:rStyle w:val="FunctionTok"/>
        </w:rPr>
        <w:t xml:space="preserve">ADD</w:t>
      </w:r>
      <w:r>
        <w:rPr>
          <w:rStyle w:val="KeywordTok"/>
        </w:rPr>
        <w:t xml:space="preserve">:</w:t>
      </w:r>
      <w:r>
        <w:rPr>
          <w:rStyle w:val="AttributeTok"/>
        </w:rPr>
        <w:t xml:space="preserve"> shiny</w:t>
      </w:r>
      <w:r>
        <w:br/>
      </w:r>
      <w:r>
        <w:rPr>
          <w:rStyle w:val="CommentTok"/>
        </w:rPr>
        <w:t xml:space="preserve">      # usage-log Sheet endpoint (Apps Script /exec) for the Shiny apps'</w:t>
      </w:r>
      <w:r>
        <w:br/>
      </w:r>
      <w:r>
        <w:rPr>
          <w:rStyle w:val="CommentTok"/>
        </w:rPr>
        <w:t xml:space="preserve">      # msens::ga_js() beacon. Set MSENS_LOG_URL in the server .env alongside</w:t>
      </w:r>
      <w:r>
        <w:br/>
      </w:r>
      <w:r>
        <w:rPr>
          <w:rStyle w:val="CommentTok"/>
        </w:rPr>
        <w:t xml:space="preserve">      # PASSWORD; if unset the Sheet leg is a silent no-op and only GA4 receives</w:t>
      </w:r>
      <w:r>
        <w:br/>
      </w:r>
      <w:r>
        <w:rPr>
          <w:rStyle w:val="CommentTok"/>
        </w:rPr>
        <w:t xml:space="preserve">      # events. The apps hold no credential — the endpoint is the whole secret,</w:t>
      </w:r>
      <w:r>
        <w:br/>
      </w:r>
      <w:r>
        <w:rPr>
          <w:rStyle w:val="CommentTok"/>
        </w:rPr>
        <w:t xml:space="preserve">      # so it belongs in .env (untracked), never in the app source.</w:t>
      </w:r>
      <w:r>
        <w:br/>
      </w:r>
      <w:r>
        <w:rPr>
          <w:rStyle w:val="AttributeTok"/>
        </w:rPr>
        <w:t xml:space="preserve">      </w:t>
      </w:r>
      <w:r>
        <w:rPr>
          <w:rStyle w:val="FunctionTok"/>
        </w:rPr>
        <w:t xml:space="preserve">MSENS_LOG_URL</w:t>
      </w:r>
      <w:r>
        <w:rPr>
          <w:rStyle w:val="KeywordTok"/>
        </w:rPr>
        <w:t xml:space="preserve">:</w:t>
      </w:r>
      <w:r>
        <w:rPr>
          <w:rStyle w:val="AttributeTok"/>
        </w:rPr>
        <w:t xml:space="preserve"> ${MSENS_LOG_URL:-}</w:t>
      </w:r>
      <w:r>
        <w:br/>
      </w:r>
      <w:r>
        <w:rPr>
          <w:rStyle w:val="CommentTok"/>
        </w:rPr>
        <w:t xml:space="preserve">      # signs the version token a Shiny page embeds so the session renders the</w:t>
      </w:r>
      <w:r>
        <w:br/>
      </w:r>
      <w:r>
        <w:rPr>
          <w:rStyle w:val="CommentTok"/>
        </w:rPr>
        <w:t xml:space="preserve">      # version its page was served for (msens::ver_token_*). Set in .env</w:t>
      </w:r>
      <w:r>
        <w:br/>
      </w:r>
      <w:r>
        <w:rPr>
          <w:rStyle w:val="CommentTok"/>
        </w:rPr>
        <w:t xml:space="preserve">      # (`openssl rand -hex 32`); reaches the app processes via rocker's</w:t>
      </w:r>
      <w:r>
        <w:br/>
      </w:r>
      <w:r>
        <w:rPr>
          <w:rStyle w:val="CommentTok"/>
        </w:rPr>
        <w:t xml:space="preserve">      # Renviron.site. Unset, msens uses a per-process random secret, which is</w:t>
      </w:r>
      <w:r>
        <w:br/>
      </w:r>
      <w:r>
        <w:rPr>
          <w:rStyle w:val="CommentTok"/>
        </w:rPr>
        <w:t xml:space="preserve">      # still correct -- only a session straddling a process restart is asked</w:t>
      </w:r>
      <w:r>
        <w:br/>
      </w:r>
      <w:r>
        <w:rPr>
          <w:rStyle w:val="CommentTok"/>
        </w:rPr>
        <w:t xml:space="preserve">      # to reload.</w:t>
      </w:r>
      <w:r>
        <w:br/>
      </w:r>
      <w:r>
        <w:rPr>
          <w:rStyle w:val="AttributeTok"/>
        </w:rPr>
        <w:t xml:space="preserve">      </w:t>
      </w:r>
      <w:r>
        <w:rPr>
          <w:rStyle w:val="FunctionTok"/>
        </w:rPr>
        <w:t xml:space="preserve">MS_TOKEN_SECRET</w:t>
      </w:r>
      <w:r>
        <w:rPr>
          <w:rStyle w:val="KeywordTok"/>
        </w:rPr>
        <w:t xml:space="preserve">:</w:t>
      </w:r>
      <w:r>
        <w:rPr>
          <w:rStyle w:val="AttributeTok"/>
        </w:rPr>
        <w:t xml:space="preserve"> ${MS_TOKEN_SECRET:-}</w:t>
      </w:r>
      <w:r>
        <w:br/>
      </w:r>
      <w:r>
        <w:rPr>
          <w:rStyle w:val="CommentTok"/>
        </w:rPr>
        <w:t xml:space="preserve">      # shared secret the PREVIEW app instance sends to the API as</w:t>
      </w:r>
      <w:r>
        <w:br/>
      </w:r>
      <w:r>
        <w:rPr>
          <w:rStyle w:val="CommentTok"/>
        </w:rPr>
        <w:t xml:space="preserve">      # X-MS-Preview-Token, so /report will render a restricted (under-review)</w:t>
      </w:r>
      <w:r>
        <w:br/>
      </w:r>
      <w:r>
        <w:rPr>
          <w:rStyle w:val="CommentTok"/>
        </w:rPr>
        <w:t xml:space="preserve">      # release for a signed-in reviewer and for nobody else. Same value in the</w:t>
      </w:r>
      <w:r>
        <w:br/>
      </w:r>
      <w:r>
        <w:rPr>
          <w:rStyle w:val="CommentTok"/>
        </w:rPr>
        <w:t xml:space="preserve">      # plumber service below; unset = restricted reports refused everywhere.</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8787:8787</w:t>
      </w:r>
      <w:r>
        <w:rPr>
          <w:rStyle w:val="CommentTok"/>
        </w:rPr>
        <w:t xml:space="preserve">  # rstudio</w:t>
      </w:r>
      <w:r>
        <w:br/>
      </w:r>
      <w:r>
        <w:rPr>
          <w:rStyle w:val="AttributeTok"/>
        </w:rPr>
        <w:t xml:space="preserve">      </w:t>
      </w:r>
      <w:r>
        <w:rPr>
          <w:rStyle w:val="KeywordTok"/>
        </w:rPr>
        <w:t xml:space="preserve">-</w:t>
      </w:r>
      <w:r>
        <w:rPr>
          <w:rStyle w:val="AttributeTok"/>
        </w:rPr>
        <w:t xml:space="preserve"> 3838:3838</w:t>
      </w:r>
      <w:r>
        <w:rPr>
          <w:rStyle w:val="CommentTok"/>
        </w:rPr>
        <w:t xml:space="preserve">  # shiny</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CommentTok"/>
        </w:rPr>
        <w:t xml:space="preserve">    # MEMORY CEILING (2026-09-24 outage): a Shiny Server app worker (uid 996 `shiny`) grew to</w:t>
      </w:r>
      <w:r>
        <w:br/>
      </w:r>
      <w:r>
        <w:rPr>
          <w:rStyle w:val="CommentTok"/>
        </w:rPr>
        <w:t xml:space="preserve">    # 7.8 GB resident inside this container; with no cgroup limit and no swap the host spent an</w:t>
      </w:r>
      <w:r>
        <w:br/>
      </w:r>
      <w:r>
        <w:rPr>
          <w:rStyle w:val="CommentTok"/>
        </w:rPr>
        <w:t xml:space="preserve">    # hour reclaiming page cache (ssh, apps, STAC, API all unreachable) before the OOM killer</w:t>
      </w:r>
      <w:r>
        <w:br/>
      </w:r>
      <w:r>
        <w:rPr>
          <w:rStyle w:val="CommentTok"/>
        </w:rPr>
        <w:t xml:space="preserve">    # fired, and only an EC2 reboot ended it. With a ceiling, a runaway worker is killed INSIDE</w:t>
      </w:r>
      <w:r>
        <w:br/>
      </w:r>
      <w:r>
        <w:rPr>
          <w:rStyle w:val="CommentTok"/>
        </w:rPr>
        <w:t xml:space="preserve">    # this container (its Shiny session errors; everything else keeps serving). 9 GB leaves</w:t>
      </w:r>
      <w:r>
        <w:br/>
      </w:r>
      <w:r>
        <w:rPr>
          <w:rStyle w:val="CommentTok"/>
        </w:rPr>
        <w:t xml:space="preserve">    # ~6 GB for erddap/titiler/plumber/stac-api/caddy on the 16 GB host at their measured idle</w:t>
      </w:r>
      <w:r>
        <w:br/>
      </w:r>
      <w:r>
        <w:rPr>
          <w:rStyle w:val="CommentTok"/>
        </w:rPr>
        <w:t xml:space="preserve">    # (~3.2 GB). memswap_limit == mem_limit: this container never spills into the host swap</w:t>
      </w:r>
      <w:r>
        <w:br/>
      </w:r>
      <w:r>
        <w:rPr>
          <w:rStyle w:val="CommentTok"/>
        </w:rPr>
        <w:t xml:space="preserve">    # (host/swap.sh); swap exists so the REST of the host degrades instead of wedging.</w:t>
      </w:r>
      <w:r>
        <w:br/>
      </w:r>
      <w:r>
        <w:rPr>
          <w:rStyle w:val="AttributeTok"/>
        </w:rPr>
        <w:t xml:space="preserve">    </w:t>
      </w:r>
      <w:r>
        <w:rPr>
          <w:rStyle w:val="FunctionTok"/>
        </w:rPr>
        <w:t xml:space="preserve">mem_limit</w:t>
      </w:r>
      <w:r>
        <w:rPr>
          <w:rStyle w:val="KeywordTok"/>
        </w:rPr>
        <w:t xml:space="preserve">:</w:t>
      </w:r>
      <w:r>
        <w:rPr>
          <w:rStyle w:val="AttributeTok"/>
        </w:rPr>
        <w:t xml:space="preserve"> 9g</w:t>
      </w:r>
      <w:r>
        <w:br/>
      </w:r>
      <w:r>
        <w:rPr>
          <w:rStyle w:val="AttributeTok"/>
        </w:rPr>
        <w:t xml:space="preserve">    </w:t>
      </w:r>
      <w:r>
        <w:rPr>
          <w:rStyle w:val="FunctionTok"/>
        </w:rPr>
        <w:t xml:space="preserve">memswap_limit</w:t>
      </w:r>
      <w:r>
        <w:rPr>
          <w:rStyle w:val="KeywordTok"/>
        </w:rPr>
        <w:t xml:space="preserve">:</w:t>
      </w:r>
      <w:r>
        <w:rPr>
          <w:rStyle w:val="AttributeTok"/>
        </w:rPr>
        <w:t xml:space="preserve"> 9g</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/share/shiny_apps:/srv/shiny-server</w:t>
      </w:r>
      <w:r>
        <w:br/>
      </w:r>
      <w:r>
        <w:rPr>
          <w:rStyle w:val="CommentTok"/>
        </w:rPr>
        <w:t xml:space="preserve">      # Shiny Server config with a SECOND server block (:3839) for the preview</w:t>
      </w:r>
      <w:r>
        <w:br/>
      </w:r>
      <w:r>
        <w:rPr>
          <w:rStyle w:val="CommentTok"/>
        </w:rPr>
        <w:t xml:space="preserve">      # instance -- same app code, MS_PREVIEW=1 -- that only Caddy's signed-in</w:t>
      </w:r>
      <w:r>
        <w:br/>
      </w:r>
      <w:r>
        <w:rPr>
          <w:rStyle w:val="CommentTok"/>
        </w:rPr>
        <w:t xml:space="preserve">      # preview.marinesensitivity.org vhost proxies to. Single-file bind mount:</w:t>
      </w:r>
      <w:r>
        <w:br/>
      </w:r>
      <w:r>
        <w:rPr>
          <w:rStyle w:val="CommentTok"/>
        </w:rPr>
        <w:t xml:space="preserve">      # a change needs `docker compose restart rstudio` (inode rule, as Caddyfile).</w:t>
      </w:r>
      <w:r>
        <w:br/>
      </w:r>
      <w:r>
        <w:rPr>
          <w:rStyle w:val="AttributeTok"/>
        </w:rPr>
        <w:t xml:space="preserve">      </w:t>
      </w:r>
      <w:r>
        <w:rPr>
          <w:rStyle w:val="KeywordTok"/>
        </w:rPr>
        <w:t xml:space="preserve">-</w:t>
      </w:r>
      <w:r>
        <w:rPr>
          <w:rStyle w:val="AttributeTok"/>
        </w:rPr>
        <w:t xml:space="preserve"> ./rstudio/shiny-server.conf:/etc/shiny-server/shiny-server.conf:ro</w:t>
      </w:r>
      <w:r>
        <w:br/>
      </w:r>
      <w:r>
        <w:rPr>
          <w:rStyle w:val="CommentTok"/>
        </w:rPr>
        <w:t xml:space="preserve">      # the preview instance's site_dir: 3-line wrapper app.R per app that sets</w:t>
      </w:r>
      <w:r>
        <w:br/>
      </w:r>
      <w:r>
        <w:rPr>
          <w:rStyle w:val="CommentTok"/>
        </w:rPr>
        <w:t xml:space="preserve">      # MS_PREVIEW=1 and shinyAppDir()s the real app; `touch restart.txt` here</w:t>
      </w:r>
      <w:r>
        <w:br/>
      </w:r>
      <w:r>
        <w:rPr>
          <w:rStyle w:val="CommentTok"/>
        </w:rPr>
        <w:t xml:space="preserve">      # reloads it (DEPLOY_APPS does). Not published as a port on purpose.</w:t>
      </w:r>
      <w:r>
        <w:br/>
      </w:r>
      <w:r>
        <w:rPr>
          <w:rStyle w:val="AttributeTok"/>
        </w:rPr>
        <w:t xml:space="preserve">      </w:t>
      </w:r>
      <w:r>
        <w:rPr>
          <w:rStyle w:val="KeywordTok"/>
        </w:rPr>
        <w:t xml:space="preserve">-</w:t>
      </w:r>
      <w:r>
        <w:rPr>
          <w:rStyle w:val="AttributeTok"/>
        </w:rPr>
        <w:t xml:space="preserve"> ./rstudio/shiny_apps_preview:/srv/shiny-server-preview</w:t>
      </w:r>
      <w:r>
        <w:br/>
      </w:r>
      <w:r>
        <w:rPr>
          <w:rStyle w:val="CommentTok"/>
        </w:rPr>
        <w:t xml:space="preserve">      # Release notebooks rendered INSIDE this container publish to S3. The image</w:t>
      </w:r>
      <w:r>
        <w:br/>
      </w:r>
      <w:r>
        <w:rPr>
          <w:rStyle w:val="CommentTok"/>
        </w:rPr>
        <w:t xml:space="preserve">      # carries the AWS CLI, but a CLI with no credentials just fails later and</w:t>
      </w:r>
      <w:r>
        <w:br/>
      </w:r>
      <w:r>
        <w:rPr>
          <w:rStyle w:val="CommentTok"/>
        </w:rPr>
        <w:t xml:space="preserve">      # louder: `NoCredentials` at the publish step, after the build work is done.</w:t>
      </w:r>
      <w:r>
        <w:br/>
      </w:r>
      <w:r>
        <w:rPr>
          <w:rStyle w:val="CommentTok"/>
        </w:rPr>
        <w:t xml:space="preserve">      # Read-only, and the container already runs as uid 1000 = host `ubuntu`,</w:t>
      </w:r>
      <w:r>
        <w:br/>
      </w:r>
      <w:r>
        <w:rPr>
          <w:rStyle w:val="CommentTok"/>
        </w:rPr>
        <w:t xml:space="preserve">      # which owns these.</w:t>
      </w:r>
      <w:r>
        <w:br/>
      </w:r>
      <w:r>
        <w:rPr>
          <w:rStyle w:val="AttributeTok"/>
        </w:rPr>
        <w:t xml:space="preserve">      </w:t>
      </w:r>
      <w:r>
        <w:rPr>
          <w:rStyle w:val="KeywordTok"/>
        </w:rPr>
        <w:t xml:space="preserve">-</w:t>
      </w:r>
      <w:r>
        <w:rPr>
          <w:rStyle w:val="AttributeTok"/>
        </w:rPr>
        <w:t xml:space="preserve"> /home/ubuntu/.aws:/home/rstudio/.aws:ro</w:t>
      </w:r>
      <w:r>
        <w:br/>
      </w:r>
      <w:r>
        <w:br/>
      </w:r>
      <w:r>
        <w:rPr>
          <w:rStyle w:val="CommentTok"/>
        </w:rPr>
        <w:t xml:space="preserve">  # warm: keep the versions people actually open already built, so the first</w:t>
      </w:r>
      <w:r>
        <w:br/>
      </w:r>
      <w:r>
        <w:rPr>
          <w:rStyle w:val="CommentTok"/>
        </w:rPr>
        <w:t xml:space="preserve">  # visitor after a deploy or a quiet night does not pay the ~13-17 s cold start</w:t>
      </w:r>
      <w:r>
        <w:br/>
      </w:r>
      <w:r>
        <w:rPr>
          <w:rStyle w:val="CommentTok"/>
        </w:rPr>
        <w:t xml:space="preserve">  # (app_idle_timeout can only keep alive what someone already started). Reads</w:t>
      </w:r>
      <w:r>
        <w:br/>
      </w:r>
      <w:r>
        <w:rPr>
          <w:rStyle w:val="CommentTok"/>
        </w:rPr>
        <w:t xml:space="preserve">  # the registry for WHICH versions — promoted + restricted — and hits the</w:t>
      </w:r>
      <w:r>
        <w:br/>
      </w:r>
      <w:r>
        <w:rPr>
          <w:rStyle w:val="CommentTok"/>
        </w:rPr>
        <w:t xml:space="preserve">  # container ports directly, so no Cloudflare round trip and no Access token.</w:t>
      </w:r>
      <w:r>
        <w:br/>
      </w:r>
      <w:r>
        <w:rPr>
          <w:rStyle w:val="CommentTok"/>
        </w:rPr>
        <w:t xml:space="preserve">  # See warm/warm.sh.</w:t>
      </w:r>
      <w:r>
        <w:br/>
      </w:r>
      <w:r>
        <w:rPr>
          <w:rStyle w:val="AttributeTok"/>
        </w:rPr>
        <w:t xml:space="preserve">  </w:t>
      </w:r>
      <w:r>
        <w:rPr>
          <w:rStyle w:val="FunctionTok"/>
        </w:rPr>
        <w:t xml:space="preserve">warm</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warm</w:t>
      </w:r>
      <w:r>
        <w:br/>
      </w:r>
      <w:r>
        <w:rPr>
          <w:rStyle w:val="AttributeTok"/>
        </w:rPr>
        <w:t xml:space="preserve">    </w:t>
      </w:r>
      <w:r>
        <w:rPr>
          <w:rStyle w:val="FunctionTok"/>
        </w:rPr>
        <w:t xml:space="preserve">image</w:t>
      </w:r>
      <w:r>
        <w:rPr>
          <w:rStyle w:val="KeywordTok"/>
        </w:rPr>
        <w:t xml:space="preserve">:</w:t>
      </w:r>
      <w:r>
        <w:rPr>
          <w:rStyle w:val="AttributeTok"/>
        </w:rPr>
        <w:t xml:space="preserve"> alpine:3.22</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rstudio</w:t>
      </w:r>
      <w:r>
        <w:rPr>
          <w:rStyle w:val="KeywordTok"/>
        </w:rPr>
        <w:t xml:space="preserve">]</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"apk add --no-cache curl jq &gt;/dev/null &amp;&amp; exec /warm.sh"</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./warm/warm.sh:/warm.sh:ro</w:t>
      </w:r>
      <w:r>
        <w:br/>
      </w:r>
      <w:r>
        <w:br/>
      </w:r>
      <w:r>
        <w:rPr>
          <w:rStyle w:val="CommentTok"/>
        </w:rPr>
        <w:t xml:space="preserve">  # docs-preview: the rendered books of RESTRICTED docs releases. GitHub Pages</w:t>
      </w:r>
      <w:r>
        <w:br/>
      </w:r>
      <w:r>
        <w:rPr>
          <w:rStyle w:val="CommentTok"/>
        </w:rPr>
        <w:t xml:space="preserve">  # cannot be gated, so the docs CI publishes restricted versions to the</w:t>
      </w:r>
      <w:r>
        <w:br/>
      </w:r>
      <w:r>
        <w:rPr>
          <w:rStyle w:val="CommentTok"/>
        </w:rPr>
        <w:t xml:space="preserve">  # `gh-pages-preview` branch (public versions go to gh-pages as always) and</w:t>
      </w:r>
      <w:r>
        <w:br/>
      </w:r>
      <w:r>
        <w:rPr>
          <w:rStyle w:val="CommentTok"/>
        </w:rPr>
        <w:t xml:space="preserve">  # Caddy's signed-in preview vhost serves this clone at /docs/{ver}/. The</w:t>
      </w:r>
      <w:r>
        <w:br/>
      </w:r>
      <w:r>
        <w:rPr>
          <w:rStyle w:val="CommentTok"/>
        </w:rPr>
        <w:t xml:space="preserve">  # sidecar keeps the clone current by polling -- no inbound secret, no manual</w:t>
      </w:r>
      <w:r>
        <w:br/>
      </w:r>
      <w:r>
        <w:rPr>
          <w:rStyle w:val="CommentTok"/>
        </w:rPr>
        <w:t xml:space="preserve">  # step; a docs push shows up within 5 min. Runs as uid 1000 (= host `ubuntu`)</w:t>
      </w:r>
      <w:r>
        <w:br/>
      </w:r>
      <w:r>
        <w:rPr>
          <w:rStyle w:val="CommentTok"/>
        </w:rPr>
        <w:t xml:space="preserve">  # so nothing under /share ends up root-owned. The branch may not exist yet on</w:t>
      </w:r>
      <w:r>
        <w:br/>
      </w:r>
      <w:r>
        <w:rPr>
          <w:rStyle w:val="CommentTok"/>
        </w:rPr>
        <w:t xml:space="preserve">  # a fresh install: the loop just retries.</w:t>
      </w:r>
      <w:r>
        <w:br/>
      </w:r>
      <w:r>
        <w:rPr>
          <w:rStyle w:val="AttributeTok"/>
        </w:rPr>
        <w:t xml:space="preserve">  </w:t>
      </w:r>
      <w:r>
        <w:rPr>
          <w:rStyle w:val="FunctionTok"/>
        </w:rPr>
        <w:t xml:space="preserve">docs-preview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docs-preview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REPO=https://github.com/MarineSensitivity/docs.git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gh-pages-preview --single-branch "$$REPO" /repo \</w:t>
      </w:r>
      <w:r>
        <w:br/>
      </w:r>
      <w:r>
        <w:rPr>
          <w:rStyle w:val="NormalTok"/>
        </w:rPr>
        <w:t xml:space="preserve">              &amp;&amp; echo "cloned gh-pages-preview" \</w:t>
      </w:r>
      <w:r>
        <w:br/>
      </w:r>
      <w:r>
        <w:rPr>
          <w:rStyle w:val="NormalTok"/>
        </w:rPr>
        <w:t xml:space="preserve">              || echo "clone failed (gh-pages-preview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/share/docs_preview`). Docker auto-creates a missing bind-mount</w:t>
      </w:r>
      <w:r>
        <w:br/>
      </w:r>
      <w:r>
        <w:rPr>
          <w:rStyle w:val="CommentTok"/>
        </w:rPr>
        <w:t xml:space="preserve">      # source as root:root, and the sidecar then cannot write its clone.</w:t>
      </w:r>
      <w:r>
        <w:br/>
      </w:r>
      <w:r>
        <w:rPr>
          <w:rStyle w:val="AttributeTok"/>
        </w:rPr>
        <w:t xml:space="preserve">      </w:t>
      </w:r>
      <w:r>
        <w:rPr>
          <w:rStyle w:val="KeywordTok"/>
        </w:rPr>
        <w:t xml:space="preserve">-</w:t>
      </w:r>
      <w:r>
        <w:rPr>
          <w:rStyle w:val="AttributeTok"/>
        </w:rPr>
        <w:t xml:space="preserve"> /share/docs_preview:/repo</w:t>
      </w:r>
      <w:r>
        <w:br/>
      </w:r>
      <w:r>
        <w:br/>
      </w:r>
      <w:r>
        <w:rPr>
          <w:rStyle w:val="CommentTok"/>
        </w:rPr>
        <w:t xml:space="preserve">  # atlas-preview: the STATIC BUILD of the atlas app, for RESTRICTED releases.</w:t>
      </w:r>
      <w:r>
        <w:br/>
      </w:r>
      <w:r>
        <w:rPr>
          <w:rStyle w:val="CommentTok"/>
        </w:rPr>
        <w:t xml:space="preserve">  # GitHub Pages serves `gh-pages` publicly and cannot be gated, so the preview</w:t>
      </w:r>
      <w:r>
        <w:br/>
      </w:r>
      <w:r>
        <w:rPr>
          <w:rStyle w:val="CommentTok"/>
        </w:rPr>
        <w:t xml:space="preserve">  # host's Caddy vhost (caddy/atlas_preview_routes.caddy) serves this clone at</w:t>
      </w:r>
      <w:r>
        <w:br/>
      </w:r>
      <w:r>
        <w:rPr>
          <w:rStyle w:val="CommentTok"/>
        </w:rPr>
        <w:t xml:space="preserve">  # /{ver}/atlas/ instead -- the SAME dist/, the SAME commit, just a different</w:t>
      </w:r>
      <w:r>
        <w:br/>
      </w:r>
      <w:r>
        <w:rPr>
          <w:rStyle w:val="CommentTok"/>
        </w:rPr>
        <w:t xml:space="preserve">  # door (atlas/CLAUDE.md: the build is base-relative and router-free, so it</w:t>
      </w:r>
      <w:r>
        <w:br/>
      </w:r>
      <w:r>
        <w:rPr>
          <w:rStyle w:val="CommentTok"/>
        </w:rPr>
        <w:t xml:space="preserve">  # runs unmodified under either mount point). This sidecar keeps the clone</w:t>
      </w:r>
      <w:r>
        <w:br/>
      </w:r>
      <w:r>
        <w:rPr>
          <w:rStyle w:val="CommentTok"/>
        </w:rPr>
        <w:t xml:space="preserve">  # current by polling the same `gh-pages` branch the public host reads -- no</w:t>
      </w:r>
      <w:r>
        <w:br/>
      </w:r>
      <w:r>
        <w:rPr>
          <w:rStyle w:val="CommentTok"/>
        </w:rPr>
        <w:t xml:space="preserve">  # inbound secret, no manual step; an atlas push shows up within 5 min. Runs as</w:t>
      </w:r>
      <w:r>
        <w:br/>
      </w:r>
      <w:r>
        <w:rPr>
          <w:rStyle w:val="CommentTok"/>
        </w:rPr>
        <w:t xml:space="preserve">  # uid 1000 (= host `ubuntu`) so nothing under /share ends up root-owned. The</w:t>
      </w:r>
      <w:r>
        <w:br/>
      </w:r>
      <w:r>
        <w:rPr>
          <w:rStyle w:val="CommentTok"/>
        </w:rPr>
        <w:t xml:space="preserve">  # branch may not exist yet before atlas-0's first CI publish: the loop just</w:t>
      </w:r>
      <w:r>
        <w:br/>
      </w:r>
      <w:r>
        <w:rPr>
          <w:rStyle w:val="CommentTok"/>
        </w:rPr>
        <w:t xml:space="preserve">  # retries.</w:t>
      </w:r>
      <w:r>
        <w:br/>
      </w:r>
      <w:r>
        <w:rPr>
          <w:rStyle w:val="AttributeTok"/>
        </w:rPr>
        <w:t xml:space="preserve">  </w:t>
      </w:r>
      <w:r>
        <w:rPr>
          <w:rStyle w:val="FunctionTok"/>
        </w:rPr>
        <w:t xml:space="preserve">atlas-preview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atlas-preview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REPO=https://github.com/MarineSensitivity/atlas.git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 --single-branch "$$REPO" /repo \</w:t>
      </w:r>
      <w:r>
        <w:br/>
      </w:r>
      <w:r>
        <w:rPr>
          <w:rStyle w:val="NormalTok"/>
        </w:rPr>
        <w:t xml:space="preserve">              &amp;&amp; echo "cloned gh-pages" \</w:t>
      </w:r>
      <w:r>
        <w:br/>
      </w:r>
      <w:r>
        <w:rPr>
          <w:rStyle w:val="NormalTok"/>
        </w:rPr>
        <w:t xml:space="preserve">              || echo "clone failed (gh-pages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/share/atlas_preview`). Docker auto-creates a missing</w:t>
      </w:r>
      <w:r>
        <w:br/>
      </w:r>
      <w:r>
        <w:rPr>
          <w:rStyle w:val="CommentTok"/>
        </w:rPr>
        <w:t xml:space="preserve">      # bind-mount source as root:root, and the sidecar then cannot write its</w:t>
      </w:r>
      <w:r>
        <w:br/>
      </w:r>
      <w:r>
        <w:rPr>
          <w:rStyle w:val="CommentTok"/>
        </w:rPr>
        <w:t xml:space="preserve">      # clone.</w:t>
      </w:r>
      <w:r>
        <w:br/>
      </w:r>
      <w:r>
        <w:rPr>
          <w:rStyle w:val="AttributeTok"/>
        </w:rPr>
        <w:t xml:space="preserve">      </w:t>
      </w:r>
      <w:r>
        <w:rPr>
          <w:rStyle w:val="KeywordTok"/>
        </w:rPr>
        <w:t xml:space="preserve">-</w:t>
      </w:r>
      <w:r>
        <w:rPr>
          <w:rStyle w:val="AttributeTok"/>
        </w:rPr>
        <w:t xml:space="preserve"> /share/atlas_preview:/repo</w:t>
      </w:r>
      <w:r>
        <w:br/>
      </w:r>
      <w:r>
        <w:br/>
      </w:r>
      <w:r>
        <w:rPr>
          <w:rStyle w:val="CommentTok"/>
        </w:rPr>
        <w:t xml:space="preserve">  # plumber: DuckDB-backed custom API (postgres stack retired 2026-06). Serves</w:t>
      </w:r>
      <w:r>
        <w:br/>
      </w:r>
      <w:r>
        <w:rPr>
          <w:rStyle w:val="CommentTok"/>
        </w:rPr>
        <w:t xml:space="preserve">  # the OBIS H3 summary endpoint /h3 (obisindicators::obis_h3t_sql) from the same</w:t>
      </w:r>
      <w:r>
        <w:br/>
      </w:r>
      <w:r>
        <w:rPr>
          <w:rStyle w:val="CommentTok"/>
        </w:rPr>
        <w:t xml:space="preserve">  # store as the h3t tile service. Caddy already routes</w:t>
      </w:r>
      <w:r>
        <w:br/>
      </w:r>
      <w:r>
        <w:rPr>
          <w:rStyle w:val="CommentTok"/>
        </w:rPr>
        <w:t xml:space="preserve">  # api.marinesensitivity.org -&gt; plumber:8888. No postgis dependency: the</w:t>
      </w:r>
      <w:r>
        <w:br/>
      </w:r>
      <w:r>
        <w:rPr>
          <w:rStyle w:val="CommentTok"/>
        </w:rPr>
        <w:t xml:space="preserve">  # postgres-backed endpoints degrade (see api/plumber.R lazy `con`).</w:t>
      </w:r>
      <w:r>
        <w:br/>
      </w:r>
      <w:r>
        <w:rPr>
          <w:rStyle w:val="AttributeTok"/>
        </w:rPr>
        <w:t xml:space="preserve">  </w:t>
      </w:r>
      <w:r>
        <w:rPr>
          <w:rStyle w:val="FunctionTok"/>
        </w:rPr>
        <w:t xml:space="preserve">plumber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plumber</w:t>
      </w:r>
      <w:r>
        <w:br/>
      </w:r>
      <w:r>
        <w:rPr>
          <w:rStyle w:val="AttributeTok"/>
        </w:rPr>
        <w:t xml:space="preserve">    </w:t>
      </w:r>
      <w:r>
        <w:rPr>
          <w:rStyle w:val="FunctionTok"/>
        </w:rPr>
        <w:t xml:space="preserve">build</w:t>
      </w:r>
      <w:r>
        <w:rPr>
          <w:rStyle w:val="KeywordTok"/>
        </w:rPr>
        <w:t xml:space="preserve">:</w:t>
      </w:r>
      <w:r>
        <w:rPr>
          <w:rStyle w:val="AttributeTok"/>
        </w:rPr>
        <w:t xml:space="preserve"> ./plumber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MSENS_OBIS_DUCKDB</w:t>
      </w:r>
      <w:r>
        <w:rPr>
          <w:rStyle w:val="KeywordTok"/>
        </w:rPr>
        <w:t xml:space="preserve">:</w:t>
      </w:r>
      <w:r>
        <w:rPr>
          <w:rStyle w:val="AttributeTok"/>
        </w:rPr>
        <w:t xml:space="preserve"> /share/data/obis/obis_h3.duckdb</w:t>
      </w:r>
      <w:r>
        <w:br/>
      </w:r>
      <w:r>
        <w:rPr>
          <w:rStyle w:val="CommentTok"/>
        </w:rPr>
        <w:t xml:space="preserve">      # the other half of the review gate's report check: /report renders a</w:t>
      </w:r>
      <w:r>
        <w:br/>
      </w:r>
      <w:r>
        <w:rPr>
          <w:rStyle w:val="CommentTok"/>
        </w:rPr>
        <w:t xml:space="preserve">      # restricted (under-review) release only for a caller presenting this</w:t>
      </w:r>
      <w:r>
        <w:br/>
      </w:r>
      <w:r>
        <w:rPr>
          <w:rStyle w:val="CommentTok"/>
        </w:rPr>
        <w:t xml:space="preserve">      # secret in X-MS-Preview-Token -- i.e. the preview Shiny instance. Must</w:t>
      </w:r>
      <w:r>
        <w:br/>
      </w:r>
      <w:r>
        <w:rPr>
          <w:rStyle w:val="CommentTok"/>
        </w:rPr>
        <w:t xml:space="preserve">      # match the rstudio service's value; unset = restricted reports refused.</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8888:8888</w:t>
      </w:r>
      <w:r>
        <w:rPr>
          <w:rStyle w:val="CommentTok"/>
        </w:rPr>
        <w:t xml:space="preserve">  # api</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br/>
      </w:r>
      <w:r>
        <w:rPr>
          <w:rStyle w:val="CommentTok"/>
        </w:rPr>
        <w:t xml:space="preserve">  # --- postgres stack retired (2026-06) to free resources for OBIS h3 build ---</w:t>
      </w:r>
      <w:r>
        <w:br/>
      </w:r>
      <w:r>
        <w:rPr>
          <w:rStyle w:val="CommentTok"/>
        </w:rPr>
        <w:t xml:space="preserve">  # plumber:</w:t>
      </w:r>
      <w:r>
        <w:br/>
      </w:r>
      <w:r>
        <w:rPr>
          <w:rStyle w:val="CommentTok"/>
        </w:rPr>
        <w:t xml:space="preserve">  #   container_name: plumber</w:t>
      </w:r>
      <w:r>
        <w:br/>
      </w:r>
      <w:r>
        <w:rPr>
          <w:rStyle w:val="CommentTok"/>
        </w:rPr>
        <w:t xml:space="preserve">  #   build: ./plumber</w:t>
      </w:r>
      <w:r>
        <w:br/>
      </w:r>
      <w:r>
        <w:rPr>
          <w:rStyle w:val="CommentTok"/>
        </w:rPr>
        <w:t xml:space="preserve">  #   ports:</w:t>
      </w:r>
      <w:r>
        <w:br/>
      </w:r>
      <w:r>
        <w:rPr>
          <w:rStyle w:val="CommentTok"/>
        </w:rPr>
        <w:t xml:space="preserve">  #     - 8888:8888  # api</w:t>
      </w:r>
      <w:r>
        <w:br/>
      </w:r>
      <w:r>
        <w:rPr>
          <w:rStyle w:val="CommentTok"/>
        </w:rPr>
        <w:t xml:space="preserve">  #   restart: unless-stopped</w:t>
      </w:r>
      <w:r>
        <w:br/>
      </w:r>
      <w:r>
        <w:rPr>
          <w:rStyle w:val="CommentTok"/>
        </w:rPr>
        <w:t xml:space="preserve">  #   volumes:</w:t>
      </w:r>
      <w:r>
        <w:br/>
      </w:r>
      <w:r>
        <w:rPr>
          <w:rStyle w:val="CommentTok"/>
        </w:rPr>
        <w:t xml:space="preserve">  #     - /share:/share</w:t>
      </w:r>
      <w:r>
        <w:br/>
      </w:r>
      <w:r>
        <w:rPr>
          <w:rStyle w:val="CommentTok"/>
        </w:rPr>
        <w:t xml:space="preserve">  #   depends_on:</w:t>
      </w:r>
      <w:r>
        <w:br/>
      </w:r>
      <w:r>
        <w:rPr>
          <w:rStyle w:val="CommentTok"/>
        </w:rPr>
        <w:t xml:space="preserve">  #     - postgis</w:t>
      </w:r>
      <w:r>
        <w:br/>
      </w:r>
      <w:r>
        <w:br/>
      </w:r>
      <w:r>
        <w:rPr>
          <w:rStyle w:val="CommentTok"/>
        </w:rPr>
        <w:t xml:space="preserve">  # postgis:</w:t>
      </w:r>
      <w:r>
        <w:br/>
      </w:r>
      <w:r>
        <w:rPr>
          <w:rStyle w:val="CommentTok"/>
        </w:rPr>
        <w:t xml:space="preserve">  #   container_name: postgis</w:t>
      </w:r>
      <w:r>
        <w:br/>
      </w:r>
      <w:r>
        <w:rPr>
          <w:rStyle w:val="CommentTok"/>
        </w:rPr>
        <w:t xml:space="preserve">  #   image: postgis/postgis:latest</w:t>
      </w:r>
      <w:r>
        <w:br/>
      </w:r>
      <w:r>
        <w:rPr>
          <w:rStyle w:val="CommentTok"/>
        </w:rPr>
        <w:t xml:space="preserve">  #   environment:</w:t>
      </w:r>
      <w:r>
        <w:br/>
      </w:r>
      <w:r>
        <w:rPr>
          <w:rStyle w:val="CommentTok"/>
        </w:rPr>
        <w:t xml:space="preserve">  #     POSTGRES_DB: msens</w:t>
      </w:r>
      <w:r>
        <w:br/>
      </w:r>
      <w:r>
        <w:rPr>
          <w:rStyle w:val="CommentTok"/>
        </w:rPr>
        <w:t xml:space="preserve">  #     POSTGRES_USER: admin</w:t>
      </w:r>
      <w:r>
        <w:br/>
      </w:r>
      <w:r>
        <w:rPr>
          <w:rStyle w:val="CommentTok"/>
        </w:rPr>
        <w:t xml:space="preserve">  #     POSTGRES_PASSWORD: ${PASSWORD}</w:t>
      </w:r>
      <w:r>
        <w:br/>
      </w:r>
      <w:r>
        <w:rPr>
          <w:rStyle w:val="CommentTok"/>
        </w:rPr>
        <w:t xml:space="preserve">  #     ANON_PASSWORD: ${ANON_PASSWORD}</w:t>
      </w:r>
      <w:r>
        <w:br/>
      </w:r>
      <w:r>
        <w:rPr>
          <w:rStyle w:val="CommentTok"/>
        </w:rPr>
        <w:t xml:space="preserve">  #     PGDATA: /share/postgis/data</w:t>
      </w:r>
      <w:r>
        <w:br/>
      </w:r>
      <w:r>
        <w:rPr>
          <w:rStyle w:val="CommentTok"/>
        </w:rPr>
        <w:t xml:space="preserve">  #   volumes:</w:t>
      </w:r>
      <w:r>
        <w:br/>
      </w:r>
      <w:r>
        <w:rPr>
          <w:rStyle w:val="CommentTok"/>
        </w:rPr>
        <w:t xml:space="preserve">  #     - ./postgis/init.sh:/docker-entrypoint-initdb.d/init.sh</w:t>
      </w:r>
      <w:r>
        <w:br/>
      </w:r>
      <w:r>
        <w:rPr>
          <w:rStyle w:val="CommentTok"/>
        </w:rPr>
        <w:t xml:space="preserve">  #     - /share:/share</w:t>
      </w:r>
      <w:r>
        <w:br/>
      </w:r>
      <w:r>
        <w:rPr>
          <w:rStyle w:val="CommentTok"/>
        </w:rPr>
        <w:t xml:space="preserve">  #     - /share/postgis:/var/lib/postgresql</w:t>
      </w:r>
      <w:r>
        <w:br/>
      </w:r>
      <w:r>
        <w:rPr>
          <w:rStyle w:val="CommentTok"/>
        </w:rPr>
        <w:t xml:space="preserve">  #   restart: unless-stopped</w:t>
      </w:r>
      <w:r>
        <w:br/>
      </w:r>
      <w:r>
        <w:rPr>
          <w:rStyle w:val="CommentTok"/>
        </w:rPr>
        <w:t xml:space="preserve">  #   healthcheck:</w:t>
      </w:r>
      <w:r>
        <w:br/>
      </w:r>
      <w:r>
        <w:rPr>
          <w:rStyle w:val="CommentTok"/>
        </w:rPr>
        <w:t xml:space="preserve">  #     test: 'exit 0'</w:t>
      </w:r>
      <w:r>
        <w:br/>
      </w:r>
      <w:r>
        <w:rPr>
          <w:rStyle w:val="CommentTok"/>
        </w:rPr>
        <w:t xml:space="preserve">  #   ports:</w:t>
      </w:r>
      <w:r>
        <w:br/>
      </w:r>
      <w:r>
        <w:rPr>
          <w:rStyle w:val="CommentTok"/>
        </w:rPr>
        <w:t xml:space="preserve">  #     - 5432:5432</w:t>
      </w:r>
      <w:r>
        <w:br/>
      </w:r>
      <w:r>
        <w:br/>
      </w:r>
      <w:r>
        <w:rPr>
          <w:rStyle w:val="CommentTok"/>
        </w:rPr>
        <w:t xml:space="preserve">  # pgadmin:</w:t>
      </w:r>
      <w:r>
        <w:br/>
      </w:r>
      <w:r>
        <w:rPr>
          <w:rStyle w:val="CommentTok"/>
        </w:rPr>
        <w:t xml:space="preserve">  #   container_name: pgadmin</w:t>
      </w:r>
      <w:r>
        <w:br/>
      </w:r>
      <w:r>
        <w:rPr>
          <w:rStyle w:val="CommentTok"/>
        </w:rPr>
        <w:t xml:space="preserve">  #   image: dpage/pgadmin4:8.14</w:t>
      </w:r>
      <w:r>
        <w:br/>
      </w:r>
      <w:r>
        <w:rPr>
          <w:rStyle w:val="CommentTok"/>
        </w:rPr>
        <w:t xml:space="preserve">  #   restart: always</w:t>
      </w:r>
      <w:r>
        <w:br/>
      </w:r>
      <w:r>
        <w:rPr>
          <w:rStyle w:val="CommentTok"/>
        </w:rPr>
        <w:t xml:space="preserve">  #   environment:</w:t>
      </w:r>
      <w:r>
        <w:br/>
      </w:r>
      <w:r>
        <w:rPr>
          <w:rStyle w:val="CommentTok"/>
        </w:rPr>
        <w:t xml:space="preserve">  #     PGADMIN_DEFAULT_EMAIL: ben@ecoquants.com</w:t>
      </w:r>
      <w:r>
        <w:br/>
      </w:r>
      <w:r>
        <w:rPr>
          <w:rStyle w:val="CommentTok"/>
        </w:rPr>
        <w:t xml:space="preserve">  #     PGADMIN_DEFAULT_PASSWORD: ${PASSWORD}</w:t>
      </w:r>
      <w:r>
        <w:br/>
      </w:r>
      <w:r>
        <w:rPr>
          <w:rStyle w:val="CommentTok"/>
        </w:rPr>
        <w:t xml:space="preserve">  #     PGADMIN_LISTEN_PORT: 8088</w:t>
      </w:r>
      <w:r>
        <w:br/>
      </w:r>
      <w:r>
        <w:rPr>
          <w:rStyle w:val="CommentTok"/>
        </w:rPr>
        <w:t xml:space="preserve">  #   ports:</w:t>
      </w:r>
      <w:r>
        <w:br/>
      </w:r>
      <w:r>
        <w:rPr>
          <w:rStyle w:val="CommentTok"/>
        </w:rPr>
        <w:t xml:space="preserve">  #     - 8088:8088</w:t>
      </w:r>
      <w:r>
        <w:br/>
      </w:r>
      <w:r>
        <w:rPr>
          <w:rStyle w:val="CommentTok"/>
        </w:rPr>
        <w:t xml:space="preserve">  #   volumes:</w:t>
      </w:r>
      <w:r>
        <w:br/>
      </w:r>
      <w:r>
        <w:rPr>
          <w:rStyle w:val="CommentTok"/>
        </w:rPr>
        <w:t xml:space="preserve">  #     - /share/pgadmin:/var/lib/pgadmin</w:t>
      </w:r>
      <w:r>
        <w:br/>
      </w:r>
      <w:r>
        <w:rPr>
          <w:rStyle w:val="CommentTok"/>
        </w:rPr>
        <w:t xml:space="preserve">  #   depends_on:</w:t>
      </w:r>
      <w:r>
        <w:br/>
      </w:r>
      <w:r>
        <w:rPr>
          <w:rStyle w:val="CommentTok"/>
        </w:rPr>
        <w:t xml:space="preserve">  #     - postgis</w:t>
      </w:r>
      <w:r>
        <w:br/>
      </w:r>
      <w:r>
        <w:br/>
      </w:r>
      <w:r>
        <w:rPr>
          <w:rStyle w:val="CommentTok"/>
        </w:rPr>
        <w:t xml:space="preserve">  # pgbkups:</w:t>
      </w:r>
      <w:r>
        <w:br/>
      </w:r>
      <w:r>
        <w:rPr>
          <w:rStyle w:val="CommentTok"/>
        </w:rPr>
        <w:t xml:space="preserve">  #   container_name: pgbkups</w:t>
      </w:r>
      <w:r>
        <w:br/>
      </w:r>
      <w:r>
        <w:rPr>
          <w:rStyle w:val="CommentTok"/>
        </w:rPr>
        <w:t xml:space="preserve">  #   image: prodrigestivill/postgres-backup-local</w:t>
      </w:r>
      <w:r>
        <w:br/>
      </w:r>
      <w:r>
        <w:rPr>
          <w:rStyle w:val="CommentTok"/>
        </w:rPr>
        <w:t xml:space="preserve">  #   restart: always</w:t>
      </w:r>
      <w:r>
        <w:br/>
      </w:r>
      <w:r>
        <w:rPr>
          <w:rStyle w:val="CommentTok"/>
        </w:rPr>
        <w:t xml:space="preserve">  #   user: postgres:postgres</w:t>
      </w:r>
      <w:r>
        <w:br/>
      </w:r>
      <w:r>
        <w:rPr>
          <w:rStyle w:val="CommentTok"/>
        </w:rPr>
        <w:t xml:space="preserve">  #   volumes:</w:t>
      </w:r>
      <w:r>
        <w:br/>
      </w:r>
      <w:r>
        <w:rPr>
          <w:rStyle w:val="CommentTok"/>
        </w:rPr>
        <w:t xml:space="preserve">  #     - /share/postgis_backups:/backups</w:t>
      </w:r>
      <w:r>
        <w:br/>
      </w:r>
      <w:r>
        <w:rPr>
          <w:rStyle w:val="CommentTok"/>
        </w:rPr>
        <w:t xml:space="preserve">  #   links:</w:t>
      </w:r>
      <w:r>
        <w:br/>
      </w:r>
      <w:r>
        <w:rPr>
          <w:rStyle w:val="CommentTok"/>
        </w:rPr>
        <w:t xml:space="preserve">  #     - postgis</w:t>
      </w:r>
      <w:r>
        <w:br/>
      </w:r>
      <w:r>
        <w:rPr>
          <w:rStyle w:val="CommentTok"/>
        </w:rPr>
        <w:t xml:space="preserve">  #   depends_on:</w:t>
      </w:r>
      <w:r>
        <w:br/>
      </w:r>
      <w:r>
        <w:rPr>
          <w:rStyle w:val="CommentTok"/>
        </w:rPr>
        <w:t xml:space="preserve">  #     - postgis</w:t>
      </w:r>
      <w:r>
        <w:br/>
      </w:r>
      <w:r>
        <w:rPr>
          <w:rStyle w:val="CommentTok"/>
        </w:rPr>
        <w:t xml:space="preserve">  #   environment:</w:t>
      </w:r>
      <w:r>
        <w:br/>
      </w:r>
      <w:r>
        <w:rPr>
          <w:rStyle w:val="CommentTok"/>
        </w:rPr>
        <w:t xml:space="preserve">  #     - POSTGRES_HOST=postgis</w:t>
      </w:r>
      <w:r>
        <w:br/>
      </w:r>
      <w:r>
        <w:rPr>
          <w:rStyle w:val="CommentTok"/>
        </w:rPr>
        <w:t xml:space="preserve">  #     - POSTGRES_DB=msens</w:t>
      </w:r>
      <w:r>
        <w:br/>
      </w:r>
      <w:r>
        <w:rPr>
          <w:rStyle w:val="CommentTok"/>
        </w:rPr>
        <w:t xml:space="preserve">  #     - POSTGRES_USER=admin</w:t>
      </w:r>
      <w:r>
        <w:br/>
      </w:r>
      <w:r>
        <w:rPr>
          <w:rStyle w:val="CommentTok"/>
        </w:rPr>
        <w:t xml:space="preserve">  #     - POSTGRES_PASSWORD=${PASSWORD}</w:t>
      </w:r>
      <w:r>
        <w:br/>
      </w:r>
      <w:r>
        <w:rPr>
          <w:rStyle w:val="CommentTok"/>
        </w:rPr>
        <w:t xml:space="preserve">  #     - POSTGRES_EXTRA_OPTS=-Z6 --blobs</w:t>
      </w:r>
      <w:r>
        <w:br/>
      </w:r>
      <w:r>
        <w:rPr>
          <w:rStyle w:val="CommentTok"/>
        </w:rPr>
        <w:t xml:space="preserve">  #     - SCHEDULE=@daily</w:t>
      </w:r>
      <w:r>
        <w:br/>
      </w:r>
      <w:r>
        <w:rPr>
          <w:rStyle w:val="CommentTok"/>
        </w:rPr>
        <w:t xml:space="preserve">  #     - HEALTHCHECK_PORT=8088</w:t>
      </w:r>
      <w:r>
        <w:br/>
      </w:r>
      <w:r>
        <w:rPr>
          <w:rStyle w:val="CommentTok"/>
        </w:rPr>
        <w:t xml:space="preserve">  #     - BACKUP_KEEP_DAYS=2</w:t>
      </w:r>
      <w:r>
        <w:br/>
      </w:r>
      <w:r>
        <w:rPr>
          <w:rStyle w:val="CommentTok"/>
        </w:rPr>
        <w:t xml:space="preserve">  #     - BACKUP_KEEP_WEEKS=1</w:t>
      </w:r>
      <w:r>
        <w:br/>
      </w:r>
      <w:r>
        <w:rPr>
          <w:rStyle w:val="CommentTok"/>
        </w:rPr>
        <w:t xml:space="preserve">  #     - BACKUP_KEEP_MONTHS=2</w:t>
      </w:r>
      <w:r>
        <w:br/>
      </w:r>
      <w:r>
        <w:br/>
      </w:r>
      <w:r>
        <w:rPr>
          <w:rStyle w:val="CommentTok"/>
        </w:rPr>
        <w:t xml:space="preserve">  # tile:</w:t>
      </w:r>
      <w:r>
        <w:br/>
      </w:r>
      <w:r>
        <w:rPr>
          <w:rStyle w:val="CommentTok"/>
        </w:rPr>
        <w:t xml:space="preserve">  #   container_name: tile</w:t>
      </w:r>
      <w:r>
        <w:br/>
      </w:r>
      <w:r>
        <w:rPr>
          <w:rStyle w:val="CommentTok"/>
        </w:rPr>
        <w:t xml:space="preserve">  #   environment:</w:t>
      </w:r>
      <w:r>
        <w:br/>
      </w:r>
      <w:r>
        <w:rPr>
          <w:rStyle w:val="CommentTok"/>
        </w:rPr>
        <w:t xml:space="preserve">  #     DATABASE_URL: 'postgresql://admin:${PASSWORD}@postgis:5432/msens'</w:t>
      </w:r>
      <w:r>
        <w:br/>
      </w:r>
      <w:r>
        <w:rPr>
          <w:rStyle w:val="CommentTok"/>
        </w:rPr>
        <w:t xml:space="preserve">  #   image: pramsey/pg_tileserv:latest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- 7800:7800</w:t>
      </w:r>
      <w:r>
        <w:br/>
      </w:r>
      <w:r>
        <w:br/>
      </w:r>
      <w:r>
        <w:rPr>
          <w:rStyle w:val="CommentTok"/>
        </w:rPr>
        <w:t xml:space="preserve">  # tilecache:</w:t>
      </w:r>
      <w:r>
        <w:br/>
      </w:r>
      <w:r>
        <w:rPr>
          <w:rStyle w:val="CommentTok"/>
        </w:rPr>
        <w:t xml:space="preserve">  #   container_name: tilecache</w:t>
      </w:r>
      <w:r>
        <w:br/>
      </w:r>
      <w:r>
        <w:rPr>
          <w:rStyle w:val="CommentTok"/>
        </w:rPr>
        <w:t xml:space="preserve">  #   image: varnish:latest</w:t>
      </w:r>
      <w:r>
        <w:br/>
      </w:r>
      <w:r>
        <w:rPr>
          <w:rStyle w:val="CommentTok"/>
        </w:rPr>
        <w:t xml:space="preserve">  #   volumes:</w:t>
      </w:r>
      <w:r>
        <w:br/>
      </w:r>
      <w:r>
        <w:rPr>
          <w:rStyle w:val="CommentTok"/>
        </w:rPr>
        <w:t xml:space="preserve">  #     - /share:/share</w:t>
      </w:r>
      <w:r>
        <w:br/>
      </w:r>
      <w:r>
        <w:rPr>
          <w:rStyle w:val="CommentTok"/>
        </w:rPr>
        <w:t xml:space="preserve">  #   ports:</w:t>
      </w:r>
      <w:r>
        <w:br/>
      </w:r>
      <w:r>
        <w:rPr>
          <w:rStyle w:val="CommentTok"/>
        </w:rPr>
        <w:t xml:space="preserve">  #     - 6081:6081</w:t>
      </w:r>
      <w:r>
        <w:br/>
      </w:r>
      <w:r>
        <w:rPr>
          <w:rStyle w:val="CommentTok"/>
        </w:rPr>
        <w:t xml:space="preserve">  #   environment:</w:t>
      </w:r>
      <w:r>
        <w:br/>
      </w:r>
      <w:r>
        <w:rPr>
          <w:rStyle w:val="CommentTok"/>
        </w:rPr>
        <w:t xml:space="preserve">  #     VARNISH_BACKEND_HOST: tile</w:t>
      </w:r>
      <w:r>
        <w:br/>
      </w:r>
      <w:r>
        <w:rPr>
          <w:rStyle w:val="CommentTok"/>
        </w:rPr>
        <w:t xml:space="preserve">  #     VARNISH_BACKEND_PORT: 7800</w:t>
      </w:r>
      <w:r>
        <w:br/>
      </w:r>
      <w:r>
        <w:rPr>
          <w:rStyle w:val="CommentTok"/>
        </w:rPr>
        <w:t xml:space="preserve">  #     VARNISH_HTTP_PORT: 6081</w:t>
      </w:r>
      <w:r>
        <w:br/>
      </w:r>
      <w:r>
        <w:rPr>
          <w:rStyle w:val="CommentTok"/>
        </w:rPr>
        <w:t xml:space="preserve">  #   restart: always</w:t>
      </w:r>
      <w:r>
        <w:br/>
      </w:r>
      <w:r>
        <w:rPr>
          <w:rStyle w:val="CommentTok"/>
        </w:rPr>
        <w:t xml:space="preserve">  #   depends_on:</w:t>
      </w:r>
      <w:r>
        <w:br/>
      </w:r>
      <w:r>
        <w:rPr>
          <w:rStyle w:val="CommentTok"/>
        </w:rPr>
        <w:t xml:space="preserve">  #     - "tile"</w:t>
      </w:r>
      <w:r>
        <w:br/>
      </w:r>
      <w:r>
        <w:rPr>
          <w:rStyle w:val="CommentTok"/>
        </w:rPr>
        <w:t xml:space="preserve">  # --- end postgres stack ---</w:t>
      </w:r>
      <w:r>
        <w:br/>
      </w:r>
      <w:r>
        <w:br/>
      </w:r>
      <w:r>
        <w:rPr>
          <w:rStyle w:val="CommentTok"/>
        </w:rPr>
        <w:t xml:space="preserve">  # rest:</w:t>
      </w:r>
      <w:r>
        <w:br/>
      </w:r>
      <w:r>
        <w:rPr>
          <w:rStyle w:val="CommentTok"/>
        </w:rPr>
        <w:t xml:space="preserve">  #   container_name: rest</w:t>
      </w:r>
      <w:r>
        <w:br/>
      </w:r>
      <w:r>
        <w:rPr>
          <w:rStyle w:val="CommentTok"/>
        </w:rPr>
        <w:t xml:space="preserve">  #   environment:</w:t>
      </w:r>
      <w:r>
        <w:br/>
      </w:r>
      <w:r>
        <w:rPr>
          <w:rStyle w:val="CommentTok"/>
        </w:rPr>
        <w:t xml:space="preserve">  #     PGRST_DB_URI: 'postgresql://anon:${ANON_PASSWORD}@postgis:5432/msens'</w:t>
      </w:r>
      <w:r>
        <w:br/>
      </w:r>
      <w:r>
        <w:rPr>
          <w:rStyle w:val="CommentTok"/>
        </w:rPr>
        <w:t xml:space="preserve">  #     PGRST_OPENAPI_SERVER_PROXY_URI: http://127.0.0.1:3000</w:t>
      </w:r>
      <w:r>
        <w:br/>
      </w:r>
      <w:r>
        <w:rPr>
          <w:rStyle w:val="CommentTok"/>
        </w:rPr>
        <w:t xml:space="preserve">  #     PGRST_DB_ANON_ROLE: anon</w:t>
      </w:r>
      <w:r>
        <w:br/>
      </w:r>
      <w:r>
        <w:rPr>
          <w:rStyle w:val="CommentTok"/>
        </w:rPr>
        <w:t xml:space="preserve">  #   image: postgrest/postgrest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"3000:3000"</w:t>
      </w:r>
      <w:r>
        <w:br/>
      </w:r>
      <w:r>
        <w:br/>
      </w:r>
      <w:r>
        <w:rPr>
          <w:rStyle w:val="CommentTok"/>
        </w:rPr>
        <w:t xml:space="preserve">  # swagger:</w:t>
      </w:r>
      <w:r>
        <w:br/>
      </w:r>
      <w:r>
        <w:rPr>
          <w:rStyle w:val="CommentTok"/>
        </w:rPr>
        <w:t xml:space="preserve">  #   container_name: swagger</w:t>
      </w:r>
      <w:r>
        <w:br/>
      </w:r>
      <w:r>
        <w:rPr>
          <w:rStyle w:val="CommentTok"/>
        </w:rPr>
        <w:t xml:space="preserve">  #   image: swaggerapi/swagger-ui</w:t>
      </w:r>
      <w:r>
        <w:br/>
      </w:r>
      <w:r>
        <w:rPr>
          <w:rStyle w:val="CommentTok"/>
        </w:rPr>
        <w:t xml:space="preserve">  #   depends_on:</w:t>
      </w:r>
      <w:r>
        <w:br/>
      </w:r>
      <w:r>
        <w:rPr>
          <w:rStyle w:val="CommentTok"/>
        </w:rPr>
        <w:t xml:space="preserve">  #     - rest</w:t>
      </w:r>
      <w:r>
        <w:br/>
      </w:r>
      <w:r>
        <w:rPr>
          <w:rStyle w:val="CommentTok"/>
        </w:rPr>
        <w:t xml:space="preserve">  #   ports:</w:t>
      </w:r>
      <w:r>
        <w:br/>
      </w:r>
      <w:r>
        <w:rPr>
          <w:rStyle w:val="CommentTok"/>
        </w:rPr>
        <w:t xml:space="preserve">  #     - "8080:8080"</w:t>
      </w:r>
      <w:r>
        <w:br/>
      </w:r>
      <w:r>
        <w:rPr>
          <w:rStyle w:val="CommentTok"/>
        </w:rPr>
        <w:t xml:space="preserve">  #   expose:</w:t>
      </w:r>
      <w:r>
        <w:br/>
      </w:r>
      <w:r>
        <w:rPr>
          <w:rStyle w:val="CommentTok"/>
        </w:rPr>
        <w:t xml:space="preserve">  #     - "8080"</w:t>
      </w:r>
      <w:r>
        <w:br/>
      </w:r>
      <w:r>
        <w:rPr>
          <w:rStyle w:val="CommentTok"/>
        </w:rPr>
        <w:t xml:space="preserve">  #   environment:</w:t>
      </w:r>
      <w:r>
        <w:br/>
      </w:r>
      <w:r>
        <w:rPr>
          <w:rStyle w:val="CommentTok"/>
        </w:rPr>
        <w:t xml:space="preserve">  #     API_URL: https://rest.MarineSensitivity.org/</w:t>
      </w:r>
      <w:r>
        <w:br/>
      </w:r>
      <w:r>
        <w:br/>
      </w:r>
      <w:r>
        <w:rPr>
          <w:rStyle w:val="AttributeTok"/>
        </w:rPr>
        <w:t xml:space="preserve">  </w:t>
      </w:r>
      <w:r>
        <w:rPr>
          <w:rStyle w:val="FunctionTok"/>
        </w:rPr>
        <w:t xml:space="preserve">titiler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WORKERS_PER_CORE: 1</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/share/data/big/latest/sdm.duckdb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"8000:8000"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v8 parallel serving: a tiny view-only DuckDB whose model_cell is a VIEW over the</w:t>
      </w:r>
      <w:r>
        <w:br/>
      </w:r>
      <w:r>
        <w:rPr>
          <w:rStyle w:val="CommentTok"/>
        </w:rPr>
        <w:t xml:space="preserve">  # partitioned Parquet on S3 (marine-atlas/v8), rendered on the global [-180,180] cell COG.</w:t>
      </w:r>
      <w:r>
        <w:br/>
      </w:r>
      <w:r>
        <w:rPr>
          <w:rStyle w:val="CommentTok"/>
        </w:rPr>
        <w:t xml:space="preserve">  # v7 titiler above stays fully live (A/B). serve.duckdb is KB — no multi-GB rsync.</w:t>
      </w:r>
      <w:r>
        <w:br/>
      </w:r>
      <w:r>
        <w:rPr>
          <w:rStyle w:val="CommentTok"/>
        </w:rPr>
        <w:t xml:space="preserve">  # Stock titiler: /cog serves the precomputed COGs every app layer now uses.</w:t>
      </w:r>
      <w:r>
        <w:br/>
      </w:r>
      <w:r>
        <w:rPr>
          <w:rStyle w:val="CommentTok"/>
        </w:rPr>
        <w:t xml:space="preserve">  #</w:t>
      </w:r>
      <w:r>
        <w:br/>
      </w:r>
      <w:r>
        <w:rPr>
          <w:rStyle w:val="CommentTok"/>
        </w:rPr>
        <w:t xml:space="preserve">  # The custom /msens cells factory (DuckDB query -&gt; tile) is RETIRED but KEPT:</w:t>
      </w:r>
      <w:r>
        <w:br/>
      </w:r>
      <w:r>
        <w:rPr>
          <w:rStyle w:val="CommentTok"/>
        </w:rPr>
        <w:t xml:space="preserve">  # set MSENS_FACTORY=1 to mount it for exploratory on-the-fly queries. It is off</w:t>
      </w:r>
      <w:r>
        <w:br/>
      </w:r>
      <w:r>
        <w:rPr>
          <w:rStyle w:val="CommentTok"/>
        </w:rPr>
        <w:t xml:space="preserve">  # by default because nothing reaches it — the scores app's SQL fallback cannot</w:t>
      </w:r>
      <w:r>
        <w:br/>
      </w:r>
      <w:r>
        <w:rPr>
          <w:rStyle w:val="CommentTok"/>
        </w:rPr>
        <w:t xml:space="preserve">  # fire (every metric on v1-v8 has a COG) and the species app's needed only the</w:t>
      </w:r>
      <w:r>
        <w:br/>
      </w:r>
      <w:r>
        <w:rPr>
          <w:rStyle w:val="CommentTok"/>
        </w:rPr>
        <w:t xml:space="preserve">  # 192 taxa that now have merged COGs. Verified equivalent first: 100/105 tiles</w:t>
      </w:r>
      <w:r>
        <w:br/>
      </w:r>
      <w:r>
        <w:rPr>
          <w:rStyle w:val="CommentTok"/>
        </w:rPr>
        <w:t xml:space="preserve">  # byte-identical, the rest differing by 3-6 px of 262,144 from float32 storage.</w:t>
      </w:r>
      <w:r>
        <w:br/>
      </w:r>
      <w:r>
        <w:rPr>
          <w:rStyle w:val="CommentTok"/>
        </w:rPr>
        <w:t xml:space="preserve">  #</w:t>
      </w:r>
      <w:r>
        <w:br/>
      </w:r>
      <w:r>
        <w:rPr>
          <w:rStyle w:val="CommentTok"/>
        </w:rPr>
        <w:t xml:space="preserve">  # Deliberately NOT proxied through titilecache (Varnish): a query-driven tile</w:t>
      </w:r>
      <w:r>
        <w:br/>
      </w:r>
      <w:r>
        <w:rPr>
          <w:rStyle w:val="CommentTok"/>
        </w:rPr>
        <w:t xml:space="preserve">  # is not cache-friendly the way an immutable COG is, and caching an exploratory</w:t>
      </w:r>
      <w:r>
        <w:br/>
      </w:r>
      <w:r>
        <w:rPr>
          <w:rStyle w:val="CommentTok"/>
        </w:rPr>
        <w:t xml:space="preserve">  # endpoint mostly serves stale answers to whoever is iterating on the query.</w:t>
      </w:r>
      <w:r>
        <w:br/>
      </w:r>
      <w:r>
        <w:rPr>
          <w:rStyle w:val="CommentTok"/>
        </w:rPr>
        <w:t xml:space="preserve">  # The MSENS_* vars below stay so enabling the factory needs no other change.</w:t>
      </w:r>
      <w:r>
        <w:br/>
      </w:r>
      <w:r>
        <w:rPr>
          <w:rStyle w:val="AttributeTok"/>
        </w:rPr>
        <w:t xml:space="preserve">  </w:t>
      </w:r>
      <w:r>
        <w:rPr>
          <w:rStyle w:val="FunctionTok"/>
        </w:rPr>
        <w:t xml:space="preserve">titiler-v8</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titiler-v8</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/share/data/derived/r_cellid_global.tif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/share/data/big/v8/serve.duckdb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"8001:8000"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stac-api: a SEARCHABLE STAC API with one Item per model, complementing (not</w:t>
      </w:r>
      <w:r>
        <w:br/>
      </w:r>
      <w:r>
        <w:rPr>
          <w:rStyle w:val="CommentTok"/>
        </w:rPr>
        <w:t xml:space="preserve">  # replacing) the static catalog at file.marinesensitivity.org/stac.</w:t>
      </w:r>
      <w:r>
        <w:br/>
      </w:r>
      <w:r>
        <w:rPr>
          <w:rStyle w:val="CommentTok"/>
        </w:rPr>
        <w:t xml:space="preserve">  #</w:t>
      </w:r>
      <w:r>
        <w:br/>
      </w:r>
      <w:r>
        <w:rPr>
          <w:rStyle w:val="CommentTok"/>
        </w:rPr>
        <w:t xml:space="preserve">  # The static catalog is dataset-level: one Item per collection whose assets are</w:t>
      </w:r>
      <w:r>
        <w:br/>
      </w:r>
      <w:r>
        <w:rPr>
          <w:rStyle w:val="CommentTok"/>
        </w:rPr>
        <w:t xml:space="preserve">  # S3 PREFIXES (…/native/am_native/, which 403s) and whose bbox is the whole</w:t>
      </w:r>
      <w:r>
        <w:br/>
      </w:r>
      <w:r>
        <w:rPr>
          <w:rStyle w:val="CommentTok"/>
        </w:rPr>
        <w:t xml:space="preserve">  # dataset envelope — so it can answer neither "the asset for this model" nor</w:t>
      </w:r>
      <w:r>
        <w:br/>
      </w:r>
      <w:r>
        <w:rPr>
          <w:rStyle w:val="CommentTok"/>
        </w:rPr>
        <w:t xml:space="preserve">  # "which models cover this area". This serves 25,643 per-model Items with real</w:t>
      </w:r>
      <w:r>
        <w:br/>
      </w:r>
      <w:r>
        <w:rPr>
          <w:rStyle w:val="CommentTok"/>
        </w:rPr>
        <w:t xml:space="preserve">  # asset hrefs and real footprints.</w:t>
      </w:r>
      <w:r>
        <w:br/>
      </w:r>
      <w:r>
        <w:rPr>
          <w:rStyle w:val="CommentTok"/>
        </w:rPr>
        <w:t xml:space="preserve">  #</w:t>
      </w:r>
      <w:r>
        <w:br/>
      </w:r>
      <w:r>
        <w:rPr>
          <w:rStyle w:val="CommentTok"/>
        </w:rPr>
        <w:t xml:space="preserve">  # Backend reads stac-geoparquet via DuckDB — the same Parquet-on-DuckDB shape as</w:t>
      </w:r>
      <w:r>
        <w:br/>
      </w:r>
      <w:r>
        <w:rPr>
          <w:rStyle w:val="CommentTok"/>
        </w:rPr>
        <w:t xml:space="preserve">  # the rest of this stack. Items and collection.json come from the tree that</w:t>
      </w:r>
      <w:r>
        <w:br/>
      </w:r>
      <w:r>
        <w:rPr>
          <w:rStyle w:val="CommentTok"/>
        </w:rPr>
        <w:t xml:space="preserve">  # workflows/publish_stac_api.qmd builds and rsyncs; PARQUET_URLS_JSON (collection</w:t>
      </w:r>
      <w:r>
        <w:br/>
      </w:r>
      <w:r>
        <w:rPr>
          <w:rStyle w:val="CommentTok"/>
        </w:rPr>
        <w:t xml:space="preserve">  # id -&gt; parquet path) is passed by that notebook from parquet_urls.json, so</w:t>
      </w:r>
      <w:r>
        <w:br/>
      </w:r>
      <w:r>
        <w:rPr>
          <w:rStyle w:val="CommentTok"/>
        </w:rPr>
        <w:t xml:space="preserve">  # adding a dataset needs no edit here.</w:t>
      </w:r>
      <w:r>
        <w:br/>
      </w:r>
      <w:r>
        <w:rPr>
          <w:rStyle w:val="CommentTok"/>
        </w:rPr>
        <w:t xml:space="preserve">  #</w:t>
      </w:r>
      <w:r>
        <w:br/>
      </w:r>
      <w:r>
        <w:rPr>
          <w:rStyle w:val="CommentTok"/>
        </w:rPr>
        <w:t xml:space="preserve">  # Pinned to an exact upstream commit built straight from GitHub — the project is</w:t>
      </w:r>
      <w:r>
        <w:br/>
      </w:r>
      <w:r>
        <w:rPr>
          <w:rStyle w:val="CommentTok"/>
        </w:rPr>
        <w:t xml:space="preserve">  # marked EXPERIMENTAL by both its repo and the stac-fastapi docs (pgstac and</w:t>
      </w:r>
      <w:r>
        <w:br/>
      </w:r>
      <w:r>
        <w:rPr>
          <w:rStyle w:val="CommentTok"/>
        </w:rPr>
        <w:t xml:space="preserve">  # Elasticsearch are the production-ready backends), so a moving default branch</w:t>
      </w:r>
      <w:r>
        <w:br/>
      </w:r>
      <w:r>
        <w:rPr>
          <w:rStyle w:val="CommentTok"/>
        </w:rPr>
        <w:t xml:space="preserve">  # is not something to serve from. Treat this as a trial surface, not load-bearing.</w:t>
      </w:r>
      <w:r>
        <w:br/>
      </w:r>
      <w:r>
        <w:rPr>
          <w:rStyle w:val="AttributeTok"/>
        </w:rPr>
        <w:t xml:space="preserve">  </w:t>
      </w:r>
      <w:r>
        <w:rPr>
          <w:rStyle w:val="FunctionTok"/>
        </w:rPr>
        <w:t xml:space="preserve">stac-api</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stac-api</w:t>
      </w:r>
      <w:r>
        <w:br/>
      </w:r>
      <w:r>
        <w:rPr>
          <w:rStyle w:val="AttributeTok"/>
        </w:rPr>
        <w:t xml:space="preserve">    </w:t>
      </w:r>
      <w:r>
        <w:rPr>
          <w:rStyle w:val="FunctionTok"/>
        </w:rPr>
        <w:t xml:space="preserve">build</w:t>
      </w:r>
      <w:r>
        <w:rPr>
          <w:rStyle w:val="KeywordTok"/>
        </w:rPr>
        <w:t xml:space="preserve">:</w:t>
      </w:r>
      <w:r>
        <w:rPr>
          <w:rStyle w:val="AttributeTok"/>
        </w:rPr>
        <w:t xml:space="preserve"> ./stac-api</w:t>
      </w:r>
      <w:r>
        <w:rPr>
          <w:rStyle w:val="CommentTok"/>
        </w:rPr>
        <w:t xml:space="preserve">          # upstream pinned + ST_Intersects(WKB) patch; see its Dockerfile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APP_HOST</w:t>
      </w:r>
      <w:r>
        <w:rPr>
          <w:rStyle w:val="KeywordTok"/>
        </w:rPr>
        <w:t xml:space="preserve">:</w:t>
      </w:r>
      <w:r>
        <w:rPr>
          <w:rStyle w:val="AttributeTok"/>
        </w:rPr>
        <w:t xml:space="preserve">          </w:t>
      </w:r>
      <w:r>
        <w:rPr>
          <w:rStyle w:val="FloatTok"/>
        </w:rPr>
        <w:t xml:space="preserve">0.0.0.0</w:t>
      </w:r>
      <w:r>
        <w:br/>
      </w:r>
      <w:r>
        <w:rPr>
          <w:rStyle w:val="AttributeTok"/>
        </w:rPr>
        <w:t xml:space="preserve">      </w:t>
      </w:r>
      <w:r>
        <w:rPr>
          <w:rStyle w:val="FunctionTok"/>
        </w:rPr>
        <w:t xml:space="preserve">APP_PORT</w:t>
      </w:r>
      <w:r>
        <w:rPr>
          <w:rStyle w:val="KeywordTok"/>
        </w:rPr>
        <w:t xml:space="preserve">:</w:t>
      </w:r>
      <w:r>
        <w:rPr>
          <w:rStyle w:val="AttributeTok"/>
        </w:rPr>
        <w:t xml:space="preserve">          </w:t>
      </w:r>
      <w:r>
        <w:rPr>
          <w:rStyle w:val="StringTok"/>
        </w:rPr>
        <w:t xml:space="preserve">"8084"</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WEB_CONCURRENCY</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BACKEND</w:t>
      </w:r>
      <w:r>
        <w:rPr>
          <w:rStyle w:val="KeywordTok"/>
        </w:rPr>
        <w:t xml:space="preserve">:</w:t>
      </w:r>
      <w:r>
        <w:rPr>
          <w:rStyle w:val="AttributeTok"/>
        </w:rPr>
        <w:t xml:space="preserve">           duckdb</w:t>
      </w:r>
      <w:r>
        <w:br/>
      </w:r>
      <w:r>
        <w:rPr>
          <w:rStyle w:val="AttributeTok"/>
        </w:rPr>
        <w:t xml:space="preserve">      </w:t>
      </w:r>
      <w:r>
        <w:rPr>
          <w:rStyle w:val="FunctionTok"/>
        </w:rPr>
        <w:t xml:space="preserve">STAC_FILE_PATH</w:t>
      </w:r>
      <w:r>
        <w:rPr>
          <w:rStyle w:val="KeywordTok"/>
        </w:rPr>
        <w:t xml:space="preserve">:</w:t>
      </w:r>
      <w:r>
        <w:rPr>
          <w:rStyle w:val="AttributeTok"/>
        </w:rPr>
        <w:t xml:space="preserve">    /app/stac_collections</w:t>
      </w:r>
      <w:r>
        <w:br/>
      </w:r>
      <w:r>
        <w:rPr>
          <w:rStyle w:val="AttributeTok"/>
        </w:rPr>
        <w:t xml:space="preserve">      </w:t>
      </w:r>
      <w:r>
        <w:rPr>
          <w:rStyle w:val="FunctionTok"/>
        </w:rPr>
        <w:t xml:space="preserve">PARQUET_URLS_JSON</w:t>
      </w:r>
      <w:r>
        <w:rPr>
          <w:rStyle w:val="KeywordTok"/>
        </w:rPr>
        <w:t xml:space="preserve">:</w:t>
      </w:r>
      <w:r>
        <w:rPr>
          <w:rStyle w:val="AttributeTok"/>
        </w:rPr>
        <w:t xml:space="preserve"> ${PARQUET_URLS_JSON:?written to .env by workflows/publish_stac_api.qmd}</w:t>
      </w:r>
      <w:r>
        <w:br/>
      </w:r>
      <w:r>
        <w:rPr>
          <w:rStyle w:val="AttributeTok"/>
        </w:rPr>
        <w:t xml:space="preserve">    </w:t>
      </w:r>
      <w:r>
        <w:rPr>
          <w:rStyle w:val="FunctionTok"/>
        </w:rPr>
        <w:t xml:space="preserve">volumes</w:t>
      </w:r>
      <w:r>
        <w:rPr>
          <w:rStyle w:val="KeywordTok"/>
        </w:rPr>
        <w:t xml:space="preserve">:</w:t>
      </w:r>
      <w:r>
        <w:br/>
      </w:r>
      <w:r>
        <w:rPr>
          <w:rStyle w:val="CommentTok"/>
        </w:rPr>
        <w:t xml:space="preserve">      # read-only: the API must never mutate the published catalog. The version is STAC_API_VER in .env,</w:t>
      </w:r>
      <w:r>
        <w:br/>
      </w:r>
      <w:r>
        <w:rPr>
          <w:rStyle w:val="CommentTok"/>
        </w:rPr>
        <w:t xml:space="preserve">      # written by publish_stac_api.qmd beside PARQUET_URLS_JSON: a hardcoded v8 here once served v9's</w:t>
      </w:r>
      <w:r>
        <w:br/>
      </w:r>
      <w:r>
        <w:rPr>
          <w:rStyle w:val="CommentTok"/>
        </w:rPr>
        <w:t xml:space="preserve">      # PARQUET_URLS_JSON against v8's tree, and every collection answered "No Parquet configured" (2026-10-07)</w:t>
      </w:r>
      <w:r>
        <w:br/>
      </w:r>
      <w:r>
        <w:rPr>
          <w:rStyle w:val="AttributeTok"/>
        </w:rPr>
        <w:t xml:space="preserve">      </w:t>
      </w:r>
      <w:r>
        <w:rPr>
          <w:rStyle w:val="KeywordTok"/>
        </w:rPr>
        <w:t xml:space="preserve">-</w:t>
      </w:r>
      <w:r>
        <w:rPr>
          <w:rStyle w:val="AttributeTok"/>
        </w:rPr>
        <w:t xml:space="preserve"> /share/data/derived/stac-api/${STAC_API_VER:?written to .env by workflows/publish_stac_api.qmd}:/app/stac_collections:ro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"8085:8084"</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command</w:t>
      </w:r>
      <w:r>
        <w:rPr>
          <w:rStyle w:val="KeywordTok"/>
        </w:rPr>
        <w:t xml:space="preserve">:</w:t>
      </w:r>
      <w:r>
        <w:rPr>
          <w:rStyle w:val="AttributeTok"/>
        </w:rPr>
        <w:t xml:space="preserve"> bash -c "python -m stac_fastapi.duckdb.app"</w:t>
      </w:r>
      <w:r>
        <w:br/>
      </w:r>
      <w:r>
        <w:br/>
      </w:r>
      <w:r>
        <w:rPr>
          <w:rStyle w:val="AttributeTok"/>
        </w:rPr>
        <w:t xml:space="preserve">  </w:t>
      </w:r>
      <w:r>
        <w:rPr>
          <w:rStyle w:val="FunctionTok"/>
        </w:rPr>
        <w:t xml:space="preserve">titilecache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"./varnish/titiler.vcl:/etc/varnish/default.vcl:ro"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6082:6082</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titiler</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6082</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"titiler"</w:t>
      </w:r>
      <w:r>
        <w:br/>
      </w:r>
      <w:r>
        <w:br/>
      </w:r>
      <w:r>
        <w:rPr>
          <w:rStyle w:val="CommentTok"/>
        </w:rPr>
        <w:t xml:space="preserve">  # h3t: OBIS biodiversity-by-hex tile factory (DuckDB SELECT -&gt; h3j JSON tiles)</w:t>
      </w:r>
      <w:r>
        <w:br/>
      </w:r>
      <w:r>
        <w:rPr>
          <w:rStyle w:val="AttributeTok"/>
        </w:rPr>
        <w:t xml:space="preserve">  </w:t>
      </w:r>
      <w:r>
        <w:rPr>
          <w:rStyle w:val="FunctionTok"/>
        </w:rPr>
        <w:t xml:space="preserve">h3t</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w:t>
      </w:r>
      <w:r>
        <w:br/>
      </w:r>
      <w:r>
        <w:rPr>
          <w:rStyle w:val="AttributeTok"/>
        </w:rPr>
        <w:t xml:space="preserve">    </w:t>
      </w:r>
      <w:r>
        <w:rPr>
          <w:rStyle w:val="FunctionTok"/>
        </w:rPr>
        <w:t xml:space="preserve">build</w:t>
      </w:r>
      <w:r>
        <w:rPr>
          <w:rStyle w:val="KeywordTok"/>
        </w:rPr>
        <w:t xml:space="preserve">:</w:t>
      </w:r>
      <w:r>
        <w:rPr>
          <w:rStyle w:val="AttributeTok"/>
        </w:rPr>
        <w:t xml:space="preserve"> ./h3t</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H3T_DBS</w:t>
      </w:r>
      <w:r>
        <w:rPr>
          <w:rStyle w:val="KeywordTok"/>
        </w:rPr>
        <w:t xml:space="preserve">:</w:t>
      </w:r>
      <w:r>
        <w:rPr>
          <w:rStyle w:val="AttributeTok"/>
        </w:rPr>
        <w:t xml:space="preserve">             </w:t>
      </w:r>
      <w:r>
        <w:rPr>
          <w:rStyle w:val="StringTok"/>
        </w:rPr>
        <w:t xml:space="preserve">"obis:/share/data/obis/obis_h3.duckdb"</w:t>
      </w:r>
      <w:r>
        <w:br/>
      </w:r>
      <w:r>
        <w:rPr>
          <w:rStyle w:val="AttributeTok"/>
        </w:rPr>
        <w:t xml:space="preserve">      </w:t>
      </w:r>
      <w:r>
        <w:rPr>
          <w:rStyle w:val="FunctionTok"/>
        </w:rPr>
        <w:t xml:space="preserve">H3T_DEFAULT_DB</w:t>
      </w:r>
      <w:r>
        <w:rPr>
          <w:rStyle w:val="KeywordTok"/>
        </w:rPr>
        <w:t xml:space="preserve">:</w:t>
      </w:r>
      <w:r>
        <w:rPr>
          <w:rStyle w:val="AttributeTok"/>
        </w:rPr>
        <w:t xml:space="preserve">      obis</w:t>
      </w:r>
      <w:r>
        <w:br/>
      </w:r>
      <w:r>
        <w:rPr>
          <w:rStyle w:val="AttributeTok"/>
        </w:rPr>
        <w:t xml:space="preserve">      </w:t>
      </w:r>
      <w:r>
        <w:rPr>
          <w:rStyle w:val="FunctionTok"/>
        </w:rPr>
        <w:t xml:space="preserve">H3T_MAX_ROWS</w:t>
      </w:r>
      <w:r>
        <w:rPr>
          <w:rStyle w:val="KeywordTok"/>
        </w:rPr>
        <w:t xml:space="preserve">:</w:t>
      </w:r>
      <w:r>
        <w:rPr>
          <w:rStyle w:val="AttributeTok"/>
        </w:rPr>
        <w:t xml:space="preserve">        </w:t>
      </w:r>
      <w:r>
        <w:rPr>
          <w:rStyle w:val="StringTok"/>
        </w:rPr>
        <w:t xml:space="preserve">"50000"</w:t>
      </w:r>
      <w:r>
        <w:br/>
      </w:r>
      <w:r>
        <w:rPr>
          <w:rStyle w:val="CommentTok"/>
        </w:rPr>
        <w:t xml:space="preserve">      # common filtered maps now hit precomputed idx_h3 / idx_h3_taxon layers;</w:t>
      </w:r>
      <w:r>
        <w:br/>
      </w:r>
      <w:r>
        <w:rPr>
          <w:rStyle w:val="CommentTok"/>
        </w:rPr>
        <w:t xml:space="preserve">      # these caps are the stopgap for the remaining live occ_h3 paths (year</w:t>
      </w:r>
      <w:r>
        <w:br/>
      </w:r>
      <w:r>
        <w:rPr>
          <w:rStyle w:val="CommentTok"/>
        </w:rPr>
        <w:t xml:space="preserve">      # filters, multi-value / fine-rank taxa). raise the timeout above the</w:t>
      </w:r>
      <w:r>
        <w:br/>
      </w:r>
      <w:r>
        <w:rPr>
          <w:rStyle w:val="CommentTok"/>
        </w:rPr>
        <w:t xml:space="preserve">      # app-side client timeout in apps/h3-db/app.R.</w:t>
      </w:r>
      <w:r>
        <w:br/>
      </w:r>
      <w:r>
        <w:rPr>
          <w:rStyle w:val="AttributeTok"/>
        </w:rPr>
        <w:t xml:space="preserve">      </w:t>
      </w:r>
      <w:r>
        <w:rPr>
          <w:rStyle w:val="FunctionTok"/>
        </w:rPr>
        <w:t xml:space="preserve">H3T_STMT_TIMEOUT_MS</w:t>
      </w:r>
      <w:r>
        <w:rPr>
          <w:rStyle w:val="KeywordTok"/>
        </w:rPr>
        <w:t xml:space="preserve">:</w:t>
      </w:r>
      <w:r>
        <w:rPr>
          <w:rStyle w:val="AttributeTok"/>
        </w:rPr>
        <w:t xml:space="preserve"> </w:t>
      </w:r>
      <w:r>
        <w:rPr>
          <w:rStyle w:val="StringTok"/>
        </w:rPr>
        <w:t xml:space="preserve">"8000"</w:t>
      </w:r>
      <w:r>
        <w:br/>
      </w:r>
      <w:r>
        <w:rPr>
          <w:rStyle w:val="AttributeTok"/>
        </w:rPr>
        <w:t xml:space="preserve">      </w:t>
      </w:r>
      <w:r>
        <w:rPr>
          <w:rStyle w:val="FunctionTok"/>
        </w:rPr>
        <w:t xml:space="preserve">H3T_THREADS</w:t>
      </w:r>
      <w:r>
        <w:rPr>
          <w:rStyle w:val="KeywordTok"/>
        </w:rPr>
        <w:t xml:space="preserve">:</w:t>
      </w:r>
      <w:r>
        <w:rPr>
          <w:rStyle w:val="AttributeTok"/>
        </w:rPr>
        <w:t xml:space="preserve">         </w:t>
      </w:r>
      <w:r>
        <w:rPr>
          <w:rStyle w:val="StringTok"/>
        </w:rPr>
        <w:t xml:space="preserve">"4"</w:t>
      </w:r>
      <w:r>
        <w:rPr>
          <w:rStyle w:val="CommentTok"/>
        </w:rPr>
        <w:t xml:space="preserve">      # cap serving CPU (don't peg all cores)</w:t>
      </w:r>
      <w:r>
        <w:br/>
      </w:r>
      <w:r>
        <w:rPr>
          <w:rStyle w:val="AttributeTok"/>
        </w:rPr>
        <w:t xml:space="preserve">      </w:t>
      </w:r>
      <w:r>
        <w:rPr>
          <w:rStyle w:val="FunctionTok"/>
        </w:rPr>
        <w:t xml:space="preserve">H3T_MEMORY_LIMIT</w:t>
      </w:r>
      <w:r>
        <w:rPr>
          <w:rStyle w:val="KeywordTok"/>
        </w:rPr>
        <w:t xml:space="preserve">:</w:t>
      </w:r>
      <w:r>
        <w:rPr>
          <w:rStyle w:val="AttributeTok"/>
        </w:rPr>
        <w:t xml:space="preserve">    </w:t>
      </w:r>
      <w:r>
        <w:rPr>
          <w:rStyle w:val="StringTok"/>
        </w:rPr>
        <w:t xml:space="preserve">"6GB"</w:t>
      </w:r>
      <w:r>
        <w:rPr>
          <w:rStyle w:val="CommentTok"/>
        </w:rPr>
        <w:t xml:space="preserve">    # cap serving RAM (occ_h3 rollups can spill)</w:t>
      </w:r>
      <w:r>
        <w:br/>
      </w:r>
      <w:r>
        <w:rPr>
          <w:rStyle w:val="CommentTok"/>
        </w:rPr>
        <w:t xml:space="preserve">      # /h3t/subtree + /h3t/taxon (obis-hex app): own DuckDB instance, capped</w:t>
      </w:r>
      <w:r>
        <w:br/>
      </w:r>
      <w:r>
        <w:rPr>
          <w:rStyle w:val="CommentTok"/>
        </w:rPr>
        <w:t xml:space="preserve">      # separately; see h3t/README.md "subtree endpoint"</w:t>
      </w:r>
      <w:r>
        <w:br/>
      </w:r>
      <w:r>
        <w:rPr>
          <w:rStyle w:val="AttributeTok"/>
        </w:rPr>
        <w:t xml:space="preserve">      </w:t>
      </w:r>
      <w:r>
        <w:rPr>
          <w:rStyle w:val="FunctionTok"/>
        </w:rPr>
        <w:t xml:space="preserve">H3T_SUBTREE_THREADS</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H3T_SUBTREE_MEMORY_LIMIT</w:t>
      </w:r>
      <w:r>
        <w:rPr>
          <w:rStyle w:val="KeywordTok"/>
        </w:rPr>
        <w:t xml:space="preserve">:</w:t>
      </w:r>
      <w:r>
        <w:rPr>
          <w:rStyle w:val="AttributeTok"/>
        </w:rPr>
        <w:t xml:space="preserve"> </w:t>
      </w:r>
      <w:r>
        <w:rPr>
          <w:rStyle w:val="StringTok"/>
        </w:rPr>
        <w:t xml:space="preserve">"1GB"</w:t>
      </w:r>
      <w:r>
        <w:br/>
      </w:r>
      <w:r>
        <w:rPr>
          <w:rStyle w:val="AttributeTok"/>
        </w:rPr>
        <w:t xml:space="preserve">      </w:t>
      </w:r>
      <w:r>
        <w:rPr>
          <w:rStyle w:val="FunctionTok"/>
        </w:rPr>
        <w:t xml:space="preserve">H3T_SUBTREE_TIMEOUT_S</w:t>
      </w:r>
      <w:r>
        <w:rPr>
          <w:rStyle w:val="KeywordTok"/>
        </w:rPr>
        <w:t xml:space="preserve">:</w:t>
      </w:r>
      <w:r>
        <w:rPr>
          <w:rStyle w:val="AttributeTok"/>
        </w:rPr>
        <w:t xml:space="preserve">    </w:t>
      </w:r>
      <w:r>
        <w:rPr>
          <w:rStyle w:val="StringTok"/>
        </w:rPr>
        <w:t xml:space="preserve">"60"</w:t>
      </w:r>
      <w:r>
        <w:br/>
      </w:r>
      <w:r>
        <w:rPr>
          <w:rStyle w:val="AttributeTok"/>
        </w:rPr>
        <w:t xml:space="preserve">      </w:t>
      </w:r>
      <w:r>
        <w:rPr>
          <w:rStyle w:val="FunctionTok"/>
        </w:rPr>
        <w:t xml:space="preserve">H3T_SUBTREE_MAX_CELLS</w:t>
      </w:r>
      <w:r>
        <w:rPr>
          <w:rStyle w:val="KeywordTok"/>
        </w:rPr>
        <w:t xml:space="preserve">:</w:t>
      </w:r>
      <w:r>
        <w:rPr>
          <w:rStyle w:val="AttributeTok"/>
        </w:rPr>
        <w:t xml:space="preserve">    </w:t>
      </w:r>
      <w:r>
        <w:rPr>
          <w:rStyle w:val="StringTok"/>
        </w:rPr>
        <w:t xml:space="preserve">"200000"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"8889:8889"</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AttributeTok"/>
        </w:rPr>
        <w:t xml:space="preserve">  </w:t>
      </w:r>
      <w:r>
        <w:rPr>
          <w:rStyle w:val="FunctionTok"/>
        </w:rPr>
        <w:t xml:space="preserve">h3tcache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"./varnish/h3t.vcl:/etc/varnish/default.vcl:ro"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6083:6083</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h3t</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8889</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6083</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"h3t"</w:t>
      </w:r>
    </w:p>
    <w:bookmarkEnd w:id="382"/>
    <w:bookmarkStart w:id="385" w:name="dns"/>
    <w:p>
      <w:pPr>
        <w:pStyle w:val="Heading2"/>
      </w:pPr>
      <w:r>
        <w:t xml:space="preserve">14.3 DNS</w:t>
      </w:r>
    </w:p>
    <w:p>
      <w:pPr>
        <w:pStyle w:val="FirstParagraph"/>
      </w:pPr>
      <w:r>
        <w:t xml:space="preserve">The domain name server (DNS) records are managed by</w:t>
      </w:r>
      <w:r>
        <w:t xml:space="preserve"> </w:t>
      </w:r>
      <w:hyperlink r:id="rId383">
        <w:r>
          <w:rPr>
            <w:rStyle w:val="Hyperlink"/>
          </w:rPr>
          <w:t xml:space="preserve">SquareSpace</w:t>
        </w:r>
      </w:hyperlink>
      <w:r>
        <w:t xml:space="preserve">. The subdomains point to the server on Amazon at</w:t>
      </w:r>
      <w:r>
        <w:t xml:space="preserve"> </w:t>
      </w:r>
      <w:r>
        <w:rPr>
          <w:rStyle w:val="VerbatimChar"/>
        </w:rPr>
        <w:t xml:space="preserve">100.25.173.0</w:t>
      </w:r>
      <w:r>
        <w:t xml:space="preserve">, whereas the main website is hosted by Github servers, per</w:t>
      </w:r>
      <w:r>
        <w:t xml:space="preserve"> </w:t>
      </w:r>
      <w:hyperlink r:id="rId384">
        <w:r>
          <w:rPr>
            <w:rStyle w:val="Hyperlink"/>
          </w:rPr>
          <w:t xml:space="preserve">Managing a custom domain for your GitHub Pages site - GitHub Docs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Host</w:t>
            </w:r>
          </w:p>
        </w:tc>
        <w:tc>
          <w:tcPr/>
          <w:p>
            <w:pPr>
              <w:pStyle w:val="Compact"/>
            </w:pPr>
            <w:r>
              <w:t xml:space="preserve">Type</w:t>
            </w:r>
          </w:p>
        </w:tc>
        <w:tc>
          <w:tcPr/>
          <w:p>
            <w:pPr>
              <w:pStyle w:val="Compact"/>
            </w:pPr>
            <w:r>
              <w:t xml:space="preserve">Data</w:t>
            </w:r>
          </w:p>
        </w:tc>
      </w:tr>
      <w:tr>
        <w:tc>
          <w:tcPr/>
          <w:p>
            <w:pPr>
              <w:pStyle w:val="Compact"/>
            </w:pPr>
            <w:r>
              <w:t xml:space="preserve">@</w:t>
            </w:r>
          </w:p>
        </w:tc>
        <w:tc>
          <w:tcPr/>
          <w:p>
            <w:pPr>
              <w:pStyle w:val="Compact"/>
            </w:pPr>
            <w:r>
              <w:t xml:space="preserve">A</w:t>
            </w:r>
          </w:p>
        </w:tc>
        <w:tc>
          <w:tcPr/>
          <w:p>
            <w:pPr>
              <w:pStyle w:val="Compact"/>
            </w:pPr>
            <w:r>
              <w:t xml:space="preserve">185.199.111.153</w:t>
            </w:r>
          </w:p>
        </w:tc>
      </w:tr>
      <w:tr>
        <w:tc>
          <w:tcPr/>
          <w:p>
            <w:pPr>
              <w:pStyle w:val="Compact"/>
            </w:pPr>
            <w:r>
              <w:t xml:space="preserve">@</w:t>
            </w:r>
          </w:p>
        </w:tc>
        <w:tc>
          <w:tcPr/>
          <w:p>
            <w:pPr>
              <w:pStyle w:val="Compact"/>
            </w:pPr>
            <w:r>
              <w:t xml:space="preserve">A</w:t>
            </w:r>
          </w:p>
        </w:tc>
        <w:tc>
          <w:tcPr/>
          <w:p>
            <w:pPr>
              <w:pStyle w:val="Compact"/>
            </w:pPr>
            <w:r>
              <w:t xml:space="preserve">185.199.110.153</w:t>
            </w:r>
          </w:p>
        </w:tc>
      </w:tr>
      <w:tr>
        <w:tc>
          <w:tcPr/>
          <w:p>
            <w:pPr>
              <w:pStyle w:val="Compact"/>
            </w:pPr>
            <w:r>
              <w:t xml:space="preserve">@</w:t>
            </w:r>
          </w:p>
        </w:tc>
        <w:tc>
          <w:tcPr/>
          <w:p>
            <w:pPr>
              <w:pStyle w:val="Compact"/>
            </w:pPr>
            <w:r>
              <w:t xml:space="preserve">A</w:t>
            </w:r>
          </w:p>
        </w:tc>
        <w:tc>
          <w:tcPr/>
          <w:p>
            <w:pPr>
              <w:pStyle w:val="Compact"/>
            </w:pPr>
            <w:r>
              <w:t xml:space="preserve">185.199.109.153</w:t>
            </w:r>
          </w:p>
        </w:tc>
      </w:tr>
      <w:tr>
        <w:tc>
          <w:tcPr/>
          <w:p>
            <w:pPr>
              <w:pStyle w:val="Compact"/>
            </w:pPr>
            <w:r>
              <w:t xml:space="preserve">@</w:t>
            </w:r>
          </w:p>
        </w:tc>
        <w:tc>
          <w:tcPr/>
          <w:p>
            <w:pPr>
              <w:pStyle w:val="Compact"/>
            </w:pPr>
            <w:r>
              <w:t xml:space="preserve">A</w:t>
            </w:r>
          </w:p>
        </w:tc>
        <w:tc>
          <w:tcPr/>
          <w:p>
            <w:pPr>
              <w:pStyle w:val="Compact"/>
            </w:pPr>
            <w:r>
              <w:t xml:space="preserve">185.199.108.153</w:t>
            </w:r>
          </w:p>
        </w:tc>
      </w:tr>
      <w:tr>
        <w:tc>
          <w:tcPr/>
          <w:p>
            <w:pPr>
              <w:pStyle w:val="Compact"/>
            </w:pPr>
            <w:r>
              <w:t xml:space="preserve">api</w:t>
            </w:r>
          </w:p>
        </w:tc>
        <w:tc>
          <w:tcPr/>
          <w:p>
            <w:pPr>
              <w:pStyle w:val="Compact"/>
            </w:pPr>
            <w:r>
              <w:t xml:space="preserve">A</w:t>
            </w:r>
          </w:p>
        </w:tc>
        <w:tc>
          <w:tcPr/>
          <w:p>
            <w:pPr>
              <w:pStyle w:val="Compact"/>
            </w:pPr>
            <w:r>
              <w:t xml:space="preserve">100.25.173.0</w:t>
            </w:r>
          </w:p>
        </w:tc>
      </w:tr>
      <w:tr>
        <w:tc>
          <w:tcPr/>
          <w:p>
            <w:pPr>
              <w:pStyle w:val="Compact"/>
            </w:pPr>
            <w:r>
              <w:t xml:space="preserve">app</w:t>
            </w:r>
          </w:p>
        </w:tc>
        <w:tc>
          <w:tcPr/>
          <w:p>
            <w:pPr>
              <w:pStyle w:val="Compact"/>
            </w:pPr>
            <w:r>
              <w:t xml:space="preserve">A</w:t>
            </w:r>
          </w:p>
        </w:tc>
        <w:tc>
          <w:tcPr/>
          <w:p>
            <w:pPr>
              <w:pStyle w:val="Compact"/>
            </w:pPr>
            <w:r>
              <w:t xml:space="preserve">100.25.173.0</w:t>
            </w:r>
          </w:p>
        </w:tc>
      </w:tr>
      <w:tr>
        <w:tc>
          <w:tcPr/>
          <w:p>
            <w:pPr>
              <w:pStyle w:val="Compact"/>
            </w:pPr>
            <w:r>
              <w:t xml:space="preserve">file</w:t>
            </w:r>
          </w:p>
        </w:tc>
        <w:tc>
          <w:tcPr/>
          <w:p>
            <w:pPr>
              <w:pStyle w:val="Compact"/>
            </w:pPr>
            <w:r>
              <w:t xml:space="preserve">A</w:t>
            </w:r>
          </w:p>
        </w:tc>
        <w:tc>
          <w:tcPr/>
          <w:p>
            <w:pPr>
              <w:pStyle w:val="Compact"/>
            </w:pPr>
            <w:r>
              <w:t xml:space="preserve">100.25.173.0</w:t>
            </w:r>
          </w:p>
        </w:tc>
      </w:tr>
      <w:tr>
        <w:tc>
          <w:tcPr/>
          <w:p>
            <w:pPr>
              <w:pStyle w:val="Compact"/>
            </w:pPr>
            <w:r>
              <w:t xml:space="preserve">msens1</w:t>
            </w:r>
          </w:p>
        </w:tc>
        <w:tc>
          <w:tcPr/>
          <w:p>
            <w:pPr>
              <w:pStyle w:val="Compact"/>
            </w:pPr>
            <w:r>
              <w:t xml:space="preserve">A</w:t>
            </w:r>
          </w:p>
        </w:tc>
        <w:tc>
          <w:tcPr/>
          <w:p>
            <w:pPr>
              <w:pStyle w:val="Compact"/>
            </w:pPr>
            <w:r>
              <w:t xml:space="preserve">100.25.173.0</w:t>
            </w:r>
          </w:p>
        </w:tc>
      </w:tr>
      <w:tr>
        <w:tc>
          <w:tcPr/>
          <w:p>
            <w:pPr>
              <w:pStyle w:val="Compact"/>
            </w:pPr>
            <w:r>
              <w:t xml:space="preserve">pgadmin</w:t>
            </w:r>
          </w:p>
        </w:tc>
        <w:tc>
          <w:tcPr/>
          <w:p>
            <w:pPr>
              <w:pStyle w:val="Compact"/>
            </w:pPr>
            <w:r>
              <w:t xml:space="preserve">A</w:t>
            </w:r>
          </w:p>
        </w:tc>
        <w:tc>
          <w:tcPr/>
          <w:p>
            <w:pPr>
              <w:pStyle w:val="Compact"/>
            </w:pPr>
            <w:r>
              <w:t xml:space="preserve">100.25.173.0</w:t>
            </w:r>
          </w:p>
        </w:tc>
      </w:tr>
      <w:tr>
        <w:tc>
          <w:tcPr/>
          <w:p>
            <w:pPr>
              <w:pStyle w:val="Compact"/>
            </w:pPr>
            <w:r>
              <w:t xml:space="preserve">pmtiles</w:t>
            </w:r>
          </w:p>
        </w:tc>
        <w:tc>
          <w:tcPr/>
          <w:p>
            <w:pPr>
              <w:pStyle w:val="Compact"/>
            </w:pPr>
            <w:r>
              <w:t xml:space="preserve">A</w:t>
            </w:r>
          </w:p>
        </w:tc>
        <w:tc>
          <w:tcPr/>
          <w:p>
            <w:pPr>
              <w:pStyle w:val="Compact"/>
            </w:pPr>
            <w:r>
              <w:t xml:space="preserve">100.25.173.0</w:t>
            </w:r>
          </w:p>
        </w:tc>
      </w:tr>
      <w:tr>
        <w:tc>
          <w:tcPr/>
          <w:p>
            <w:pPr>
              <w:pStyle w:val="Compact"/>
            </w:pPr>
            <w:r>
              <w:t xml:space="preserve">rstudio</w:t>
            </w:r>
          </w:p>
        </w:tc>
        <w:tc>
          <w:tcPr/>
          <w:p>
            <w:pPr>
              <w:pStyle w:val="Compact"/>
            </w:pPr>
            <w:r>
              <w:t xml:space="preserve">A</w:t>
            </w:r>
          </w:p>
        </w:tc>
        <w:tc>
          <w:tcPr/>
          <w:p>
            <w:pPr>
              <w:pStyle w:val="Compact"/>
            </w:pPr>
            <w:r>
              <w:t xml:space="preserve">100.25.173.0</w:t>
            </w:r>
          </w:p>
        </w:tc>
      </w:tr>
      <w:tr>
        <w:tc>
          <w:tcPr/>
          <w:p>
            <w:pPr>
              <w:pStyle w:val="Compact"/>
            </w:pPr>
            <w:r>
              <w:t xml:space="preserve">shiny</w:t>
            </w:r>
          </w:p>
        </w:tc>
        <w:tc>
          <w:tcPr/>
          <w:p>
            <w:pPr>
              <w:pStyle w:val="Compact"/>
            </w:pPr>
            <w:r>
              <w:t xml:space="preserve">A</w:t>
            </w:r>
          </w:p>
        </w:tc>
        <w:tc>
          <w:tcPr/>
          <w:p>
            <w:pPr>
              <w:pStyle w:val="Compact"/>
            </w:pPr>
            <w:r>
              <w:t xml:space="preserve">100.25.173.0</w:t>
            </w:r>
          </w:p>
        </w:tc>
      </w:tr>
      <w:tr>
        <w:tc>
          <w:tcPr/>
          <w:p>
            <w:pPr>
              <w:pStyle w:val="Compact"/>
            </w:pPr>
            <w:r>
              <w:t xml:space="preserve">tile</w:t>
            </w:r>
          </w:p>
        </w:tc>
        <w:tc>
          <w:tcPr/>
          <w:p>
            <w:pPr>
              <w:pStyle w:val="Compact"/>
            </w:pPr>
            <w:r>
              <w:t xml:space="preserve">A</w:t>
            </w:r>
          </w:p>
        </w:tc>
        <w:tc>
          <w:tcPr/>
          <w:p>
            <w:pPr>
              <w:pStyle w:val="Compact"/>
            </w:pPr>
            <w:r>
              <w:t xml:space="preserve">100.25.173.0</w:t>
            </w:r>
          </w:p>
        </w:tc>
      </w:tr>
      <w:tr>
        <w:tc>
          <w:tcPr/>
          <w:p>
            <w:pPr>
              <w:pStyle w:val="Compact"/>
            </w:pPr>
            <w:r>
              <w:t xml:space="preserve">tilecache</w:t>
            </w:r>
          </w:p>
        </w:tc>
        <w:tc>
          <w:tcPr/>
          <w:p>
            <w:pPr>
              <w:pStyle w:val="Compact"/>
            </w:pPr>
            <w:r>
              <w:t xml:space="preserve">A</w:t>
            </w:r>
          </w:p>
        </w:tc>
        <w:tc>
          <w:tcPr/>
          <w:p>
            <w:pPr>
              <w:pStyle w:val="Compact"/>
            </w:pPr>
            <w:r>
              <w:t xml:space="preserve">100.25.173.0</w:t>
            </w:r>
          </w:p>
        </w:tc>
      </w:tr>
      <w:tr>
        <w:tc>
          <w:tcPr/>
          <w:p>
            <w:pPr>
              <w:pStyle w:val="Compact"/>
            </w:pPr>
            <w:r>
              <w:t xml:space="preserve">titiler</w:t>
            </w:r>
          </w:p>
        </w:tc>
        <w:tc>
          <w:tcPr/>
          <w:p>
            <w:pPr>
              <w:pStyle w:val="Compact"/>
            </w:pPr>
            <w:r>
              <w:t xml:space="preserve">A</w:t>
            </w:r>
          </w:p>
        </w:tc>
        <w:tc>
          <w:tcPr/>
          <w:p>
            <w:pPr>
              <w:pStyle w:val="Compact"/>
            </w:pPr>
            <w:r>
              <w:t xml:space="preserve">100.25.173.0</w:t>
            </w:r>
          </w:p>
        </w:tc>
      </w:tr>
      <w:tr>
        <w:tc>
          <w:tcPr/>
          <w:p>
            <w:pPr>
              <w:pStyle w:val="Compact"/>
            </w:pPr>
            <w:r>
              <w:t xml:space="preserve">titilecache</w:t>
            </w:r>
          </w:p>
        </w:tc>
        <w:tc>
          <w:tcPr/>
          <w:p>
            <w:pPr>
              <w:pStyle w:val="Compact"/>
            </w:pPr>
            <w:r>
              <w:t xml:space="preserve">A</w:t>
            </w:r>
          </w:p>
        </w:tc>
        <w:tc>
          <w:tcPr/>
          <w:p>
            <w:pPr>
              <w:pStyle w:val="Compact"/>
            </w:pPr>
            <w:r>
              <w:t xml:space="preserve">100.25.173.0</w:t>
            </w:r>
          </w:p>
        </w:tc>
      </w:tr>
      <w:tr>
        <w:tc>
          <w:tcPr/>
          <w:p>
            <w:pPr>
              <w:pStyle w:val="Compact"/>
            </w:pPr>
            <w:r>
              <w:t xml:space="preserve">www</w:t>
            </w:r>
          </w:p>
        </w:tc>
        <w:tc>
          <w:tcPr/>
          <w:p>
            <w:pPr>
              <w:pStyle w:val="Compact"/>
            </w:pPr>
            <w:r>
              <w:t xml:space="preserve">CNAME</w:t>
            </w:r>
          </w:p>
        </w:tc>
        <w:tc>
          <w:tcPr/>
          <w:p>
            <w:pPr>
              <w:pStyle w:val="Compact"/>
            </w:pPr>
            <w:r>
              <w:t xml:space="preserve">marinesensitivity.org</w:t>
            </w:r>
          </w:p>
        </w:tc>
      </w:tr>
    </w:tbl>
    <w:bookmarkEnd w:id="385"/>
    <w:bookmarkStart w:id="387" w:name="caddyfile"/>
    <w:p>
      <w:pPr>
        <w:pStyle w:val="Heading2"/>
      </w:pPr>
      <w:r>
        <w:t xml:space="preserve">14.4 Caddyfile</w:t>
      </w:r>
    </w:p>
    <w:p>
      <w:pPr>
        <w:pStyle w:val="FirstParagraph"/>
      </w:pPr>
      <w:r>
        <w:t xml:space="preserve">The Caddyfile parameterizes the reverse proxying between the external subdomains and the Docker’s internal ports. Here is the</w:t>
      </w:r>
      <w:r>
        <w:t xml:space="preserve"> </w:t>
      </w:r>
      <w:hyperlink r:id="rId386">
        <w:r>
          <w:rPr>
            <w:rStyle w:val="VerbatimChar"/>
          </w:rPr>
          <w:t xml:space="preserve">Caddyfile</w:t>
        </w:r>
      </w:hyperlink>
      <w:r>
        <w:t xml:space="preserve"> </w:t>
      </w:r>
      <w:r>
        <w:t xml:space="preserve">pasted for convenience …</w:t>
      </w:r>
    </w:p>
    <w:p>
      <w:pPr>
        <w:pStyle w:val="SourceCode"/>
      </w:pPr>
      <w:r>
        <w:rPr>
          <w:rStyle w:val="VerbatimChar"/>
        </w:rPr>
        <w:t xml:space="preserve"># docker exec caddy caddy reload --config /etc/caddy/Caddyfile</w:t>
      </w:r>
      <w:r>
        <w:br/>
      </w:r>
      <w:r>
        <w:rPr>
          <w:rStyle w:val="VerbatimChar"/>
        </w:rPr>
        <w:t xml:space="preserve">{</w:t>
      </w:r>
      <w:r>
        <w:br/>
      </w:r>
      <w:r>
        <w:rPr>
          <w:rStyle w:val="VerbatimChar"/>
        </w:rPr>
        <w:t xml:space="preserve">    order pmtiles_proxy before file_server</w:t>
      </w:r>
      <w:r>
        <w:br/>
      </w:r>
      <w:r>
        <w:rPr>
          <w:rStyle w:val="VerbatimChar"/>
        </w:rPr>
        <w:t xml:space="preserve">    # jwtauth (ggicci/caddy-jwt, built into caddy/Dockerfile) must run before any</w:t>
      </w:r>
      <w:r>
        <w:br/>
      </w:r>
      <w:r>
        <w:rPr>
          <w:rStyle w:val="VerbatimChar"/>
        </w:rPr>
        <w:t xml:space="preserve">    # handler on the vhosts that use it -- see preview.marinesensitivity.org</w:t>
      </w:r>
      <w:r>
        <w:br/>
      </w:r>
      <w:r>
        <w:rPr>
          <w:rStyle w:val="VerbatimChar"/>
        </w:rPr>
        <w:t xml:space="preserve">    order jwtauth before basic_auth</w:t>
      </w:r>
      <w:r>
        <w:br/>
      </w:r>
      <w:r>
        <w:rPr>
          <w:rStyle w:val="VerbatimChar"/>
        </w:rPr>
        <w:t xml:space="preserve">}</w:t>
      </w:r>
      <w:r>
        <w:br/>
      </w:r>
      <w:r>
        <w:br/>
      </w:r>
      <w:r>
        <w:rPr>
          <w:rStyle w:val="VerbatimChar"/>
        </w:rPr>
        <w:t xml:space="preserve">(cors) {</w:t>
      </w:r>
      <w:r>
        <w:br/>
      </w:r>
      <w:r>
        <w:rPr>
          <w:rStyle w:val="VerbatimChar"/>
        </w:rPr>
        <w:t xml:space="preserve">    @origin header Origin *</w:t>
      </w:r>
      <w:r>
        <w:br/>
      </w:r>
      <w:r>
        <w:rPr>
          <w:rStyle w:val="VerbatimChar"/>
        </w:rPr>
        <w:t xml:space="preserve">    header @origin {</w:t>
      </w:r>
      <w:r>
        <w:br/>
      </w:r>
      <w:r>
        <w:rPr>
          <w:rStyle w:val="VerbatimChar"/>
        </w:rPr>
        <w:t xml:space="preserve">        Access-Control-Allow-Origin "*"</w:t>
      </w:r>
      <w:r>
        <w:br/>
      </w:r>
      <w:r>
        <w:rPr>
          <w:rStyle w:val="VerbatimChar"/>
        </w:rPr>
        <w:t xml:space="preserve">        Access-Control-Request-Method GET</w:t>
      </w:r>
      <w:r>
        <w:br/>
      </w:r>
      <w:r>
        <w:rPr>
          <w:rStyle w:val="VerbatimChar"/>
        </w:rPr>
        <w:t xml:space="preserve">    }</w:t>
      </w:r>
      <w:r>
        <w:br/>
      </w:r>
      <w:r>
        <w:rPr>
          <w:rStyle w:val="VerbatimChar"/>
        </w:rPr>
        <w:t xml:space="preserve">}</w:t>
      </w:r>
      <w:r>
        <w:br/>
      </w:r>
      <w:r>
        <w:br/>
      </w:r>
      <w:r>
        <w:rPr>
          <w:rStyle w:val="VerbatimChar"/>
        </w:rPr>
        <w:t xml:space="preserve"># CORS for the storage.* redirect to S3 (2026-10-08): the 302 itself must carry</w:t>
      </w:r>
      <w:r>
        <w:br/>
      </w:r>
      <w:r>
        <w:rPr>
          <w:rStyle w:val="VerbatimChar"/>
        </w:rPr>
        <w:t xml:space="preserve"># the headers, and OPTIONS must be answered here, because a browser preflights</w:t>
      </w:r>
      <w:r>
        <w:br/>
      </w:r>
      <w:r>
        <w:rPr>
          <w:rStyle w:val="VerbatimChar"/>
        </w:rPr>
        <w:t xml:space="preserve"># before it ever follows the redirect. Not (cors): that one only answers when</w:t>
      </w:r>
      <w:r>
        <w:br/>
      </w:r>
      <w:r>
        <w:rPr>
          <w:rStyle w:val="VerbatimChar"/>
        </w:rPr>
        <w:t xml:space="preserve"># the request has an Origin and adds no Expose/Methods/Max-Age.</w:t>
      </w:r>
      <w:r>
        <w:br/>
      </w:r>
      <w:r>
        <w:rPr>
          <w:rStyle w:val="VerbatimChar"/>
        </w:rPr>
        <w:t xml:space="preserve">(s3_cors) {</w:t>
      </w:r>
      <w:r>
        <w:br/>
      </w:r>
      <w:r>
        <w:rPr>
          <w:rStyle w:val="VerbatimChar"/>
        </w:rPr>
        <w:t xml:space="preserve">    header {</w:t>
      </w:r>
      <w:r>
        <w:br/>
      </w:r>
      <w:r>
        <w:rPr>
          <w:rStyle w:val="VerbatimChar"/>
        </w:rPr>
        <w:t xml:space="preserve">        Access-Control-Allow-Origin "*"</w:t>
      </w:r>
      <w:r>
        <w:br/>
      </w:r>
      <w:r>
        <w:rPr>
          <w:rStyle w:val="VerbatimChar"/>
        </w:rPr>
        <w:t xml:space="preserve">        Access-Control-Allow-Methods "GET, HEAD"</w:t>
      </w:r>
      <w:r>
        <w:br/>
      </w:r>
      <w:r>
        <w:rPr>
          <w:rStyle w:val="VerbatimChar"/>
        </w:rPr>
        <w:t xml:space="preserve">        Access-Control-Expose-Headers "Content-Range, Content-Length, Accept-Ranges, ETag"</w:t>
      </w:r>
      <w:r>
        <w:br/>
      </w:r>
      <w:r>
        <w:rPr>
          <w:rStyle w:val="VerbatimChar"/>
        </w:rPr>
        <w:t xml:space="preserve">        Access-Control-Max-Age "3600"</w:t>
      </w:r>
      <w:r>
        <w:br/>
      </w:r>
      <w:r>
        <w:rPr>
          <w:rStyle w:val="VerbatimChar"/>
        </w:rPr>
        <w:t xml:space="preserve">    }</w:t>
      </w:r>
      <w:r>
        <w:br/>
      </w:r>
      <w:r>
        <w:rPr>
          <w:rStyle w:val="VerbatimChar"/>
        </w:rPr>
        <w:t xml:space="preserve">}</w:t>
      </w:r>
      <w:r>
        <w:br/>
      </w:r>
      <w:r>
        <w:br/>
      </w:r>
      <w:r>
        <w:rPr>
          <w:rStyle w:val="VerbatimChar"/>
        </w:rPr>
        <w:t xml:space="preserve"># Every vhost logs (2026-10-02 egress review: only storage/preview/file did, so</w:t>
      </w:r>
      <w:r>
        <w:br/>
      </w:r>
      <w:r>
        <w:rPr>
          <w:rStyle w:val="VerbatimChar"/>
        </w:rPr>
        <w:t xml:space="preserve"># nobody could say who was crawling the other ~17). Every byte served is EC2</w:t>
      </w:r>
      <w:r>
        <w:br/>
      </w:r>
      <w:r>
        <w:rPr>
          <w:rStyle w:val="VerbatimChar"/>
        </w:rPr>
        <w:t xml:space="preserve"># egress, so the log is what turns a surprise bill into a name.</w:t>
      </w:r>
      <w:r>
        <w:br/>
      </w:r>
      <w:r>
        <w:rPr>
          <w:rStyle w:val="VerbatimChar"/>
        </w:rPr>
        <w:t xml:space="preserve">#   import access_log &lt;name&gt;   -&gt; /share/logs/caddy/&lt;name&gt;.log (JSON, rotated)</w:t>
      </w:r>
      <w:r>
        <w:br/>
      </w:r>
      <w:r>
        <w:rPr>
          <w:rStyle w:val="VerbatimChar"/>
        </w:rPr>
        <w:t xml:space="preserve">(access_log) {</w:t>
      </w:r>
      <w:r>
        <w:br/>
      </w:r>
      <w:r>
        <w:rPr>
          <w:rStyle w:val="VerbatimChar"/>
        </w:rPr>
        <w:t xml:space="preserve">    log {</w:t>
      </w:r>
      <w:r>
        <w:br/>
      </w:r>
      <w:r>
        <w:rPr>
          <w:rStyle w:val="VerbatimChar"/>
        </w:rPr>
        <w:t xml:space="preserve">        output file /share/logs/caddy/{args[0]}.log {</w:t>
      </w:r>
      <w:r>
        <w:br/>
      </w:r>
      <w:r>
        <w:rPr>
          <w:rStyle w:val="VerbatimChar"/>
        </w:rPr>
        <w:t xml:space="preserve">            roll_size 64MiB</w:t>
      </w:r>
      <w:r>
        <w:br/>
      </w:r>
      <w:r>
        <w:rPr>
          <w:rStyle w:val="VerbatimChar"/>
        </w:rPr>
        <w:t xml:space="preserve">            roll_keep 14</w:t>
      </w:r>
      <w:r>
        <w:br/>
      </w:r>
      <w:r>
        <w:rPr>
          <w:rStyle w:val="VerbatimChar"/>
        </w:rPr>
        <w:t xml:space="preserve">            roll_keep_for 2160h</w:t>
      </w:r>
      <w:r>
        <w:br/>
      </w:r>
      <w:r>
        <w:rPr>
          <w:rStyle w:val="VerbatimChar"/>
        </w:rPr>
        <w:t xml:space="preserve">        }</w:t>
      </w:r>
      <w:r>
        <w:br/>
      </w:r>
      <w:r>
        <w:rPr>
          <w:rStyle w:val="VerbatimChar"/>
        </w:rPr>
        <w:t xml:space="preserve">        format json</w:t>
      </w:r>
      <w:r>
        <w:br/>
      </w:r>
      <w:r>
        <w:rPr>
          <w:rStyle w:val="VerbatimChar"/>
        </w:rPr>
        <w:t xml:space="preserve">    }</w:t>
      </w:r>
      <w:r>
        <w:br/>
      </w:r>
      <w:r>
        <w:rPr>
          <w:rStyle w:val="VerbatimChar"/>
        </w:rPr>
        <w:t xml:space="preserve">}</w:t>
      </w:r>
      <w:r>
        <w:br/>
      </w:r>
      <w:r>
        <w:br/>
      </w:r>
      <w:r>
        <w:rPr>
          <w:rStyle w:val="VerbatimChar"/>
        </w:rPr>
        <w:t xml:space="preserve"># Crawler policy for the DATA hosts (tiles, COGs, API, files). These are used by</w:t>
      </w:r>
      <w:r>
        <w:br/>
      </w:r>
      <w:r>
        <w:rPr>
          <w:rStyle w:val="VerbatimChar"/>
        </w:rPr>
        <w:t xml:space="preserve"># browsers through the apps, never meant to be walked: tell well-behaved crawlers</w:t>
      </w:r>
      <w:r>
        <w:br/>
      </w:r>
      <w:r>
        <w:rPr>
          <w:rStyle w:val="VerbatimChar"/>
        </w:rPr>
        <w:t xml:space="preserve"># to stay out, and refuse the AI/SEO scrapers outright.</w:t>
      </w:r>
      <w:r>
        <w:br/>
      </w:r>
      <w:r>
        <w:rPr>
          <w:rStyle w:val="VerbatimChar"/>
        </w:rPr>
        <w:t xml:space="preserve">(robots_none) {</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`User-agent: *</w:t>
      </w:r>
      <w:r>
        <w:br/>
      </w:r>
      <w:r>
        <w:rPr>
          <w:rStyle w:val="VerbatimChar"/>
        </w:rPr>
        <w:t xml:space="preserve">Disallow: /</w:t>
      </w:r>
      <w:r>
        <w:br/>
      </w:r>
      <w:r>
        <w:rPr>
          <w:rStyle w:val="VerbatimChar"/>
        </w:rPr>
        <w:t xml:space="preserve">` 200</w:t>
      </w:r>
      <w:r>
        <w:br/>
      </w:r>
      <w:r>
        <w:rPr>
          <w:rStyle w:val="VerbatimChar"/>
        </w:rPr>
        <w:t xml:space="preserve">    }</w:t>
      </w:r>
      <w:r>
        <w:br/>
      </w:r>
      <w:r>
        <w:rPr>
          <w:rStyle w:val="VerbatimChar"/>
        </w:rPr>
        <w:t xml:space="preserve">}</w:t>
      </w:r>
      <w:r>
        <w:br/>
      </w:r>
      <w:r>
        <w:br/>
      </w:r>
      <w:r>
        <w:rPr>
          <w:rStyle w:val="VerbatimChar"/>
        </w:rPr>
        <w:t xml:space="preserve"># 403 for AI-training / SEO scrapers by User-Agent (case-insensitive substring).</w:t>
      </w:r>
      <w:r>
        <w:br/>
      </w:r>
      <w:r>
        <w:rPr>
          <w:rStyle w:val="VerbatimChar"/>
        </w:rPr>
        <w:t xml:space="preserve"># Deliberately NOT listed: Claude-User, ChatGPT-User -- a person asking an</w:t>
      </w:r>
      <w:r>
        <w:br/>
      </w:r>
      <w:r>
        <w:rPr>
          <w:rStyle w:val="VerbatimChar"/>
        </w:rPr>
        <w:t xml:space="preserve"># assistant to fetch one URL is wanted. Arguments are the paths exempt from the</w:t>
      </w:r>
      <w:r>
        <w:br/>
      </w:r>
      <w:r>
        <w:rPr>
          <w:rStyle w:val="VerbatimChar"/>
        </w:rPr>
        <w:t xml:space="preserve"># block (always /robots.txt; the file host also exempts its small browsable</w:t>
      </w:r>
      <w:r>
        <w:br/>
      </w:r>
      <w:r>
        <w:rPr>
          <w:rStyle w:val="VerbatimChar"/>
        </w:rPr>
        <w:t xml:space="preserve"># trees). This is a `handle`, not a bare `respond`, so that it also runs on a</w:t>
      </w:r>
      <w:r>
        <w:br/>
      </w:r>
      <w:r>
        <w:rPr>
          <w:rStyle w:val="VerbatimChar"/>
        </w:rPr>
        <w:t xml:space="preserve"># vhost made of sibling `handle` blocks (file), where a respond would sort AFTER</w:t>
      </w:r>
      <w:r>
        <w:br/>
      </w:r>
      <w:r>
        <w:rPr>
          <w:rStyle w:val="VerbatimChar"/>
        </w:rPr>
        <w:t xml:space="preserve"># them and never fire.</w:t>
      </w:r>
      <w:r>
        <w:br/>
      </w:r>
      <w:r>
        <w:rPr>
          <w:rStyle w:val="VerbatimChar"/>
        </w:rPr>
        <w:t xml:space="preserve">(no_ai_bots) {</w:t>
      </w:r>
      <w:r>
        <w:br/>
      </w:r>
      <w:r>
        <w:rPr>
          <w:rStyle w:val="VerbatimChar"/>
        </w:rPr>
        <w:t xml:space="preserve">    @ai_bots {</w:t>
      </w:r>
      <w:r>
        <w:br/>
      </w:r>
      <w:r>
        <w:rPr>
          <w:rStyle w:val="VerbatimChar"/>
        </w:rPr>
        <w:t xml:space="preserve">        header_regexp ai_bot User-Agent (?i)(GPTBot|OAI-SearchBot|ClaudeBot|Claude-SearchBot|anthropic-ai|Amazonbot|Bytespider|CCBot|PerplexityBot|Google-Extended|meta-externalagent|AhrefsBot|SemrushBot|MJ12bot|DotBot)</w:t>
      </w:r>
      <w:r>
        <w:br/>
      </w:r>
      <w:r>
        <w:rPr>
          <w:rStyle w:val="VerbatimChar"/>
        </w:rPr>
        <w:t xml:space="preserve">        not path {args[:]}</w:t>
      </w:r>
      <w:r>
        <w:br/>
      </w:r>
      <w:r>
        <w:rPr>
          <w:rStyle w:val="VerbatimChar"/>
        </w:rPr>
        <w:t xml:space="preserve">    }</w:t>
      </w:r>
      <w:r>
        <w:br/>
      </w:r>
      <w:r>
        <w:rPr>
          <w:rStyle w:val="VerbatimChar"/>
        </w:rPr>
        <w:t xml:space="preserve">    handle @ai_bots {</w:t>
      </w:r>
      <w:r>
        <w:br/>
      </w:r>
      <w:r>
        <w:rPr>
          <w:rStyle w:val="VerbatimChar"/>
        </w:rPr>
        <w:t xml:space="preserve">        header Content-Type "text/plain; charset=utf-8"</w:t>
      </w:r>
      <w:r>
        <w:br/>
      </w:r>
      <w:r>
        <w:rPr>
          <w:rStyle w:val="VerbatimChar"/>
        </w:rPr>
        <w:t xml:space="preserve">        respond "Automated crawling of these data hosts is not permitted. See https://marinesensitivity.org/ for the catalog." 403</w:t>
      </w:r>
      <w:r>
        <w:br/>
      </w:r>
      <w:r>
        <w:rPr>
          <w:rStyle w:val="VerbatimChar"/>
        </w:rPr>
        <w:t xml:space="preserve">    }</w:t>
      </w:r>
      <w:r>
        <w:br/>
      </w:r>
      <w:r>
        <w:rPr>
          <w:rStyle w:val="VerbatimChar"/>
        </w:rPr>
        <w:t xml:space="preserve">}</w:t>
      </w:r>
      <w:r>
        <w:br/>
      </w:r>
      <w:r>
        <w:br/>
      </w:r>
      <w:r>
        <w:rPr>
          <w:rStyle w:val="VerbatimChar"/>
        </w:rPr>
        <w:t xml:space="preserve">api.marinesensitivity.org {</w:t>
      </w:r>
      <w:r>
        <w:br/>
      </w:r>
      <w:r>
        <w:rPr>
          <w:rStyle w:val="VerbatimChar"/>
        </w:rPr>
        <w:t xml:space="preserve">    import access_log api</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plumber:8888</w:t>
      </w:r>
      <w:r>
        <w:br/>
      </w:r>
      <w:r>
        <w:rPr>
          <w:rStyle w:val="VerbatimChar"/>
        </w:rPr>
        <w:t xml:space="preserve">}</w:t>
      </w:r>
      <w:r>
        <w:br/>
      </w:r>
      <w:r>
        <w:br/>
      </w:r>
      <w:r>
        <w:rPr>
          <w:rStyle w:val="VerbatimChar"/>
        </w:rPr>
        <w:t xml:space="preserve">file.marinesensitivity.org {</w:t>
      </w:r>
      <w:r>
        <w:br/>
      </w:r>
      <w:r>
        <w:rPr>
          <w:rStyle w:val="VerbatimChar"/>
        </w:rPr>
        <w:t xml:space="preserve">    import cors</w:t>
      </w:r>
      <w:r>
        <w:br/>
      </w:r>
      <w:r>
        <w:br/>
      </w:r>
      <w:r>
        <w:rPr>
          <w:rStyle w:val="VerbatimChar"/>
        </w:rPr>
        <w:t xml:space="preserve">    # This host had no access log and no robots.txt while it listed ~80 GB of</w:t>
      </w:r>
      <w:r>
        <w:br/>
      </w:r>
      <w:r>
        <w:rPr>
          <w:rStyle w:val="VerbatimChar"/>
        </w:rPr>
        <w:t xml:space="preserve">    # data as browsable directories (2026-10-02 egress review). Every byte it</w:t>
      </w:r>
      <w:r>
        <w:br/>
      </w:r>
      <w:r>
        <w:rPr>
          <w:rStyle w:val="VerbatimChar"/>
        </w:rPr>
        <w:t xml:space="preserve">    # serves is VM egress, so: log it, tell crawlers to stay out of the data,</w:t>
      </w:r>
      <w:r>
        <w:br/>
      </w:r>
      <w:r>
        <w:rPr>
          <w:rStyle w:val="VerbatimChar"/>
        </w:rPr>
        <w:t xml:space="preserve">    # and serve files by exact URL only -- no directory listings on the data</w:t>
      </w:r>
      <w:r>
        <w:br/>
      </w:r>
      <w:r>
        <w:rPr>
          <w:rStyle w:val="VerbatimChar"/>
        </w:rPr>
        <w:t xml:space="preserve">    # trees. The browsable front door for data is the S3 index at</w:t>
      </w:r>
      <w:r>
        <w:br/>
      </w:r>
      <w:r>
        <w:rPr>
          <w:rStyle w:val="VerbatimChar"/>
        </w:rPr>
        <w:t xml:space="preserve">    # storage.marinesensitivity.org; /stac/ and /branding/ stay browsable (small).</w:t>
      </w:r>
      <w:r>
        <w:br/>
      </w:r>
      <w:r>
        <w:rPr>
          <w:rStyle w:val="VerbatimChar"/>
        </w:rPr>
        <w:t xml:space="preserve">    import access_log file</w:t>
      </w:r>
      <w:r>
        <w:br/>
      </w:r>
      <w:r>
        <w:rPr>
          <w:rStyle w:val="VerbatimChar"/>
        </w:rPr>
        <w:t xml:space="preserve">    import no_ai_bots /robots.txt /stac/* /branding/*</w:t>
      </w:r>
      <w:r>
        <w:br/>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The STAC catalog and the brand set: crawl away. Data files: please do not.</w:t>
      </w:r>
      <w:r>
        <w:br/>
      </w:r>
      <w:r>
        <w:rPr>
          <w:rStyle w:val="VerbatimChar"/>
        </w:rPr>
        <w:t xml:space="preserve">User-agent: *</w:t>
      </w:r>
      <w:r>
        <w:br/>
      </w:r>
      <w:r>
        <w:rPr>
          <w:rStyle w:val="VerbatimChar"/>
        </w:rPr>
        <w:t xml:space="preserve">Crawl-delay: 10</w:t>
      </w:r>
      <w:r>
        <w:br/>
      </w:r>
      <w:r>
        <w:rPr>
          <w:rStyle w:val="VerbatimChar"/>
        </w:rPr>
        <w:t xml:space="preserve">Allow: /stac/</w:t>
      </w:r>
      <w:r>
        <w:br/>
      </w:r>
      <w:r>
        <w:rPr>
          <w:rStyle w:val="VerbatimChar"/>
        </w:rPr>
        <w:t xml:space="preserve">Allow: /branding/</w:t>
      </w:r>
      <w:r>
        <w:br/>
      </w:r>
      <w:r>
        <w:rPr>
          <w:rStyle w:val="VerbatimChar"/>
        </w:rPr>
        <w:t xml:space="preserve">Disallow: /</w:t>
      </w:r>
      <w:r>
        <w:br/>
      </w:r>
      <w:r>
        <w:rPr>
          <w:rStyle w:val="VerbatimChar"/>
        </w:rPr>
        <w:t xml:space="preserve">` 200</w:t>
      </w:r>
      <w:r>
        <w:br/>
      </w:r>
      <w:r>
        <w:rPr>
          <w:rStyle w:val="VerbatimChar"/>
        </w:rPr>
        <w:t xml:space="preserve">    }</w:t>
      </w:r>
      <w:r>
        <w:br/>
      </w:r>
      <w:r>
        <w:br/>
      </w:r>
      <w:r>
        <w:rPr>
          <w:rStyle w:val="VerbatimChar"/>
        </w:rPr>
        <w:t xml:space="preserve">    # the brand set, served straight from the repo checkout: a `git pull` on the</w:t>
      </w:r>
      <w:r>
        <w:br/>
      </w:r>
      <w:r>
        <w:rPr>
          <w:rStyle w:val="VerbatimChar"/>
        </w:rPr>
        <w:t xml:space="preserve">    # server publishes it, so there is no copy step to forget. Used by the</w:t>
      </w:r>
      <w:r>
        <w:br/>
      </w:r>
      <w:r>
        <w:rPr>
          <w:rStyle w:val="VerbatimChar"/>
        </w:rPr>
        <w:t xml:space="preserve">    # Cloudflare Access login page (which takes a logo URL), the docs, the apps</w:t>
      </w:r>
      <w:r>
        <w:br/>
      </w:r>
      <w:r>
        <w:rPr>
          <w:rStyle w:val="VerbatimChar"/>
        </w:rPr>
        <w:t xml:space="preserve">    # and any deck. See server/branding/README.md.</w:t>
      </w:r>
      <w:r>
        <w:br/>
      </w:r>
      <w:r>
        <w:rPr>
          <w:rStyle w:val="VerbatimChar"/>
        </w:rPr>
        <w:t xml:space="preserve">    handle_path /branding/* {</w:t>
      </w:r>
      <w:r>
        <w:br/>
      </w:r>
      <w:r>
        <w:rPr>
          <w:rStyle w:val="VerbatimChar"/>
        </w:rPr>
        <w:t xml:space="preserve">        root * /share/github/MarineSensitivity/server/branding</w:t>
      </w:r>
      <w:r>
        <w:br/>
      </w:r>
      <w:r>
        <w:rPr>
          <w:rStyle w:val="VerbatimChar"/>
        </w:rPr>
        <w:t xml:space="preserve">        header Cache-Control "public, max-age=3600"</w:t>
      </w:r>
      <w:r>
        <w:br/>
      </w:r>
      <w:r>
        <w:rPr>
          <w:rStyle w:val="VerbatimChar"/>
        </w:rPr>
        <w:t xml:space="preserve">        file_server browse</w:t>
      </w:r>
      <w:r>
        <w:br/>
      </w:r>
      <w:r>
        <w:rPr>
          <w:rStyle w:val="VerbatimChar"/>
        </w:rPr>
        <w:t xml:space="preserve">    }</w:t>
      </w:r>
      <w:r>
        <w:br/>
      </w:r>
      <w:r>
        <w:br/>
      </w:r>
      <w:r>
        <w:rPr>
          <w:rStyle w:val="VerbatimChar"/>
        </w:rPr>
        <w:t xml:space="preserve">    # raw pmtiles for client-side PMTiles protocol (add_pmtiles_source)</w:t>
      </w:r>
      <w:r>
        <w:br/>
      </w:r>
      <w:r>
        <w:rPr>
          <w:rStyle w:val="VerbatimChar"/>
        </w:rPr>
        <w:t xml:space="preserve">    handle_path /pmtiles/* {</w:t>
      </w:r>
      <w:r>
        <w:br/>
      </w:r>
      <w:r>
        <w:rPr>
          <w:rStyle w:val="VerbatimChar"/>
        </w:rPr>
        <w:t xml:space="preserve">        root * /share/data/derived/pmtiles</w:t>
      </w:r>
      <w:r>
        <w:br/>
      </w:r>
      <w:r>
        <w:rPr>
          <w:rStyle w:val="VerbatimChar"/>
        </w:rPr>
        <w:t xml:space="preserve">        file_server</w:t>
      </w:r>
      <w:r>
        <w:br/>
      </w:r>
      <w:r>
        <w:rPr>
          <w:rStyle w:val="VerbatimChar"/>
        </w:rPr>
        <w:t xml:space="preserve">    }</w:t>
      </w:r>
      <w:r>
        <w:br/>
      </w:r>
      <w:r>
        <w:br/>
      </w:r>
      <w:r>
        <w:rPr>
          <w:rStyle w:val="VerbatimChar"/>
        </w:rPr>
        <w:t xml:space="preserve">    # The per-model PMTiles of v8 and v9 were served from /share/data/pmtiles_native</w:t>
      </w:r>
      <w:r>
        <w:br/>
      </w:r>
      <w:r>
        <w:rPr>
          <w:rStyle w:val="VerbatimChar"/>
        </w:rPr>
        <w:t xml:space="preserve">    # (moved out of derived/ on 2026-10-02 after the BOEM mirror's rclone loop re-read</w:t>
      </w:r>
      <w:r>
        <w:br/>
      </w:r>
      <w:r>
        <w:rPr>
          <w:rStyle w:val="VerbatimChar"/>
        </w:rPr>
        <w:t xml:space="preserve">    # them hourly, ~150 GB/day) until the asset-store prune of 2026-10-07 removed them:</w:t>
      </w:r>
      <w:r>
        <w:br/>
      </w:r>
      <w:r>
        <w:rPr>
          <w:rStyle w:val="VerbatimChar"/>
        </w:rPr>
        <w:t xml:space="preserve">    # every published v8/v9 `native_asset` row names a store object on S3</w:t>
      </w:r>
      <w:r>
        <w:br/>
      </w:r>
      <w:r>
        <w:rPr>
          <w:rStyle w:val="VerbatimChar"/>
        </w:rPr>
        <w:t xml:space="preserve">    # (native/{ds_key}/{hash}.pmtiles). The old URLs answer 410 here rather than</w:t>
      </w:r>
      <w:r>
        <w:br/>
      </w:r>
      <w:r>
        <w:rPr>
          <w:rStyle w:val="VerbatimChar"/>
        </w:rPr>
        <w:t xml:space="preserve">    # falling through to /share/data/derived/pmtiles, so a stray copy in the old</w:t>
      </w:r>
      <w:r>
        <w:br/>
      </w:r>
      <w:r>
        <w:rPr>
          <w:rStyle w:val="VerbatimChar"/>
        </w:rPr>
        <w:t xml:space="preserve">    # place can never be served again (caddy/test/file_host_local.sh proves it).</w:t>
      </w:r>
      <w:r>
        <w:br/>
      </w:r>
      <w:r>
        <w:rPr>
          <w:rStyle w:val="VerbatimChar"/>
        </w:rPr>
        <w:t xml:space="preserve">    handle /pmtiles/v8/* {</w:t>
      </w:r>
      <w:r>
        <w:br/>
      </w:r>
      <w:r>
        <w:rPr>
          <w:rStyle w:val="VerbatimChar"/>
        </w:rPr>
        <w:t xml:space="preserve">        respond "Gone: per-model PMTiles are served from the asset store; see the release's native_asset table" 410</w:t>
      </w:r>
      <w:r>
        <w:br/>
      </w:r>
      <w:r>
        <w:rPr>
          <w:rStyle w:val="VerbatimChar"/>
        </w:rPr>
        <w:t xml:space="preserve">    }</w:t>
      </w:r>
      <w:r>
        <w:br/>
      </w:r>
      <w:r>
        <w:rPr>
          <w:rStyle w:val="VerbatimChar"/>
        </w:rPr>
        <w:t xml:space="preserve">    handle /pmtiles/v9/* {</w:t>
      </w:r>
      <w:r>
        <w:br/>
      </w:r>
      <w:r>
        <w:rPr>
          <w:rStyle w:val="VerbatimChar"/>
        </w:rPr>
        <w:t xml:space="preserve">        respond "Gone: per-model PMTiles are served from the asset store; see the release's native_asset table" 410</w:t>
      </w:r>
      <w:r>
        <w:br/>
      </w:r>
      <w:r>
        <w:rPr>
          <w:rStyle w:val="VerbatimChar"/>
        </w:rPr>
        <w:t xml:space="preserve">    }</w:t>
      </w:r>
      <w:r>
        <w:br/>
      </w:r>
      <w:r>
        <w:br/>
      </w:r>
      <w:r>
        <w:rPr>
          <w:rStyle w:val="VerbatimChar"/>
        </w:rPr>
        <w:t xml:space="preserve">    # legacy versioned pmtiles routes (backwards compat for old apps)</w:t>
      </w:r>
      <w:r>
        <w:br/>
      </w:r>
      <w:r>
        <w:rPr>
          <w:rStyle w:val="VerbatimChar"/>
        </w:rPr>
        <w:t xml:space="preserve">    handle_path /pmtiles/v4/* {</w:t>
      </w:r>
      <w:r>
        <w:br/>
      </w:r>
      <w:r>
        <w:rPr>
          <w:rStyle w:val="VerbatimChar"/>
        </w:rPr>
        <w:t xml:space="preserve">        root * /share/data/derived/v4/pmtiles</w:t>
      </w:r>
      <w:r>
        <w:br/>
      </w:r>
      <w:r>
        <w:rPr>
          <w:rStyle w:val="VerbatimChar"/>
        </w:rPr>
        <w:t xml:space="preserve">        file_server</w:t>
      </w:r>
      <w:r>
        <w:br/>
      </w:r>
      <w:r>
        <w:rPr>
          <w:rStyle w:val="VerbatimChar"/>
        </w:rPr>
        <w:t xml:space="preserve">    }</w:t>
      </w:r>
      <w:r>
        <w:br/>
      </w:r>
      <w:r>
        <w:rPr>
          <w:rStyle w:val="VerbatimChar"/>
        </w:rPr>
        <w:t xml:space="preserve">    handle_path /pmtiles/v3/* {</w:t>
      </w:r>
      <w:r>
        <w:br/>
      </w:r>
      <w:r>
        <w:rPr>
          <w:rStyle w:val="VerbatimChar"/>
        </w:rPr>
        <w:t xml:space="preserve">        root * /share/data/derived/v3/pmtiles</w:t>
      </w:r>
      <w:r>
        <w:br/>
      </w:r>
      <w:r>
        <w:rPr>
          <w:rStyle w:val="VerbatimChar"/>
        </w:rPr>
        <w:t xml:space="preserve">        file_server</w:t>
      </w:r>
      <w:r>
        <w:br/>
      </w:r>
      <w:r>
        <w:rPr>
          <w:rStyle w:val="VerbatimChar"/>
        </w:rPr>
        <w:t xml:space="preserve">    }</w:t>
      </w:r>
      <w:r>
        <w:br/>
      </w:r>
      <w:r>
        <w:br/>
      </w:r>
      <w:r>
        <w:rPr>
          <w:rStyle w:val="VerbatimChar"/>
        </w:rPr>
        <w:t xml:space="preserve">    # stac catalog (sdm extension) — static JSON tree</w:t>
      </w:r>
      <w:r>
        <w:br/>
      </w:r>
      <w:r>
        <w:rPr>
          <w:rStyle w:val="VerbatimChar"/>
        </w:rPr>
        <w:t xml:space="preserve">    handle_path /stac/* {</w:t>
      </w:r>
      <w:r>
        <w:br/>
      </w:r>
      <w:r>
        <w:rPr>
          <w:rStyle w:val="VerbatimChar"/>
        </w:rPr>
        <w:t xml:space="preserve">        root * /share/data/derived/stac</w:t>
      </w:r>
      <w:r>
        <w:br/>
      </w:r>
      <w:r>
        <w:rPr>
          <w:rStyle w:val="VerbatimChar"/>
        </w:rPr>
        <w:t xml:space="preserve">        file_server browse</w:t>
      </w:r>
      <w:r>
        <w:br/>
      </w:r>
      <w:r>
        <w:rPr>
          <w:rStyle w:val="VerbatimChar"/>
        </w:rPr>
        <w:t xml:space="preserve">    }</w:t>
      </w:r>
      <w:r>
        <w:br/>
      </w:r>
      <w:r>
        <w:br/>
      </w:r>
      <w:r>
        <w:rPr>
          <w:rStyle w:val="VerbatimChar"/>
        </w:rPr>
        <w:t xml:space="preserve">    # versioned derived data (geoparquet, cogs, gpkg) referenced by stac assets</w:t>
      </w:r>
      <w:r>
        <w:br/>
      </w:r>
      <w:r>
        <w:rPr>
          <w:rStyle w:val="VerbatimChar"/>
        </w:rPr>
        <w:t xml:space="preserve">    handle_path /derived/* {</w:t>
      </w:r>
      <w:r>
        <w:br/>
      </w:r>
      <w:r>
        <w:rPr>
          <w:rStyle w:val="VerbatimChar"/>
        </w:rPr>
        <w:t xml:space="preserve">        root * /share/data/derived</w:t>
      </w:r>
      <w:r>
        <w:br/>
      </w:r>
      <w:r>
        <w:rPr>
          <w:rStyle w:val="VerbatimChar"/>
        </w:rPr>
        <w:t xml:space="preserve">        file_server</w:t>
      </w:r>
      <w:r>
        <w:br/>
      </w:r>
      <w:r>
        <w:rPr>
          <w:rStyle w:val="VerbatimChar"/>
        </w:rPr>
        <w:t xml:space="preserve">    }</w:t>
      </w:r>
      <w:r>
        <w:br/>
      </w:r>
      <w:r>
        <w:br/>
      </w:r>
      <w:r>
        <w:rPr>
          <w:rStyle w:val="VerbatimChar"/>
        </w:rPr>
        <w:t xml:space="preserve">    # force reports to download (especially HTML which otherwise renders inline)</w:t>
      </w:r>
      <w:r>
        <w:br/>
      </w:r>
      <w:r>
        <w:rPr>
          <w:rStyle w:val="VerbatimChar"/>
        </w:rPr>
        <w:t xml:space="preserve">    handle_path /reports/* {</w:t>
      </w:r>
      <w:r>
        <w:br/>
      </w:r>
      <w:r>
        <w:rPr>
          <w:rStyle w:val="VerbatimChar"/>
        </w:rPr>
        <w:t xml:space="preserve">        root * /share/public/reports</w:t>
      </w:r>
      <w:r>
        <w:br/>
      </w:r>
      <w:r>
        <w:rPr>
          <w:rStyle w:val="VerbatimChar"/>
        </w:rPr>
        <w:t xml:space="preserve">        header Content-Disposition "attachment"</w:t>
      </w:r>
      <w:r>
        <w:br/>
      </w:r>
      <w:r>
        <w:rPr>
          <w:rStyle w:val="VerbatimChar"/>
        </w:rPr>
        <w:t xml:space="preserve">        file_server</w:t>
      </w:r>
      <w:r>
        <w:br/>
      </w:r>
      <w:r>
        <w:rPr>
          <w:rStyle w:val="VerbatimChar"/>
        </w:rPr>
        <w:t xml:space="preserve">    }</w:t>
      </w:r>
      <w:r>
        <w:br/>
      </w:r>
      <w:r>
        <w:br/>
      </w:r>
      <w:r>
        <w:rPr>
          <w:rStyle w:val="VerbatimChar"/>
        </w:rPr>
        <w:t xml:space="preserve">    handle {</w:t>
      </w:r>
      <w:r>
        <w:br/>
      </w:r>
      <w:r>
        <w:rPr>
          <w:rStyle w:val="VerbatimChar"/>
        </w:rPr>
        <w:t xml:space="preserve">        root * /share/public</w:t>
      </w:r>
      <w:r>
        <w:br/>
      </w:r>
      <w:r>
        <w:rPr>
          <w:rStyle w:val="VerbatimChar"/>
        </w:rPr>
        <w:t xml:space="preserve">        file_server {</w:t>
      </w:r>
      <w:r>
        <w:br/>
      </w:r>
      <w:r>
        <w:rPr>
          <w:rStyle w:val="VerbatimChar"/>
        </w:rPr>
        <w:t xml:space="preserve">            precompressed zstd br gzip</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Browsable front door for the PUBLIC S3 bucket -- folder PAGES only.</w:t>
      </w:r>
      <w:r>
        <w:br/>
      </w:r>
      <w:r>
        <w:rPr>
          <w:rStyle w:val="VerbatimChar"/>
        </w:rPr>
        <w:t xml:space="preserve">#</w:t>
      </w:r>
      <w:r>
        <w:br/>
      </w:r>
      <w:r>
        <w:rPr>
          <w:rStyle w:val="VerbatimChar"/>
        </w:rPr>
        <w:t xml:space="preserve"># Why this exists: S3 serves OBJECTS, not directories. A URL ending in "/" 404s</w:t>
      </w:r>
      <w:r>
        <w:br/>
      </w:r>
      <w:r>
        <w:rPr>
          <w:rStyle w:val="VerbatimChar"/>
        </w:rPr>
        <w:t xml:space="preserve"># unless an object literally has that key, and anonymous ListBucket is DENIED on</w:t>
      </w:r>
      <w:r>
        <w:br/>
      </w:r>
      <w:r>
        <w:rPr>
          <w:rStyle w:val="VerbatimChar"/>
        </w:rPr>
        <w:t xml:space="preserve"># this bucket (403 AccessDenied), so a browser cannot enumerate anything. The</w:t>
      </w:r>
      <w:r>
        <w:br/>
      </w:r>
      <w:r>
        <w:rPr>
          <w:rStyle w:val="VerbatimChar"/>
        </w:rPr>
        <w:t xml:space="preserve"># workflows notebook publish_storage_index.qmd generates a real index.html per</w:t>
      </w:r>
      <w:r>
        <w:br/>
      </w:r>
      <w:r>
        <w:rPr>
          <w:rStyle w:val="VerbatimChar"/>
        </w:rPr>
        <w:t xml:space="preserve"># directory; this vhost rewrites folder URLs to them:</w:t>
      </w:r>
      <w:r>
        <w:br/>
      </w:r>
      <w:r>
        <w:rPr>
          <w:rStyle w:val="VerbatimChar"/>
        </w:rPr>
        <w:t xml:space="preserve">#</w:t>
      </w:r>
      <w:r>
        <w:br/>
      </w:r>
      <w:r>
        <w:rPr>
          <w:rStyle w:val="VerbatimChar"/>
        </w:rPr>
        <w:t xml:space="preserve">#   storage.marinesensitivity.org/marine-atlas/v8/  -&gt; .../v8/index.html  (proxied)</w:t>
      </w:r>
      <w:r>
        <w:br/>
      </w:r>
      <w:r>
        <w:rPr>
          <w:rStyle w:val="VerbatimChar"/>
        </w:rPr>
        <w:t xml:space="preserve">#   storage.marinesensitivity.org/marine-atlas/latest.txt -&gt; 302 to the object</w:t>
      </w:r>
      <w:r>
        <w:br/>
      </w:r>
      <w:r>
        <w:rPr>
          <w:rStyle w:val="VerbatimChar"/>
        </w:rPr>
        <w:t xml:space="preserve">#</w:t>
      </w:r>
      <w:r>
        <w:br/>
      </w:r>
      <w:r>
        <w:rPr>
          <w:rStyle w:val="VerbatimChar"/>
        </w:rPr>
        <w:t xml:space="preserve"># ONLY the small pages transit this server: folder URLs, */index.html and</w:t>
      </w:r>
      <w:r>
        <w:br/>
      </w:r>
      <w:r>
        <w:rPr>
          <w:rStyle w:val="VerbatimChar"/>
        </w:rPr>
        <w:t xml:space="preserve"># */README.md. EVERY OTHER object is a 302 to the bucket's own HTTPS endpoint,</w:t>
      </w:r>
      <w:r>
        <w:br/>
      </w:r>
      <w:r>
        <w:rPr>
          <w:rStyle w:val="VerbatimChar"/>
        </w:rPr>
        <w:t xml:space="preserve"># so none of its bytes -- Range requests included, a redirect ignores Range --</w:t>
      </w:r>
      <w:r>
        <w:br/>
      </w:r>
      <w:r>
        <w:rPr>
          <w:rStyle w:val="VerbatimChar"/>
        </w:rPr>
        <w:t xml:space="preserve"># is billed as VM egress (it used to be proxied: 18 GB across ~90,000 objects,</w:t>
      </w:r>
      <w:r>
        <w:br/>
      </w:r>
      <w:r>
        <w:rPr>
          <w:rStyle w:val="VerbatimChar"/>
        </w:rPr>
        <w:t xml:space="preserve"># 2026-10-02 egress review). The index pages already link files at that endpoint</w:t>
      </w:r>
      <w:r>
        <w:br/>
      </w:r>
      <w:r>
        <w:rPr>
          <w:rStyle w:val="VerbatimChar"/>
        </w:rPr>
        <w:t xml:space="preserve"># directly. 302, not 301, because the store may move to another provider and a</w:t>
      </w:r>
      <w:r>
        <w:br/>
      </w:r>
      <w:r>
        <w:rPr>
          <w:rStyle w:val="VerbatimChar"/>
        </w:rPr>
        <w:t xml:space="preserve"># cached 301 would pin clients to the old one.</w:t>
      </w:r>
      <w:r>
        <w:br/>
      </w:r>
      <w:r>
        <w:rPr>
          <w:rStyle w:val="VerbatimChar"/>
        </w:rPr>
        <w:t xml:space="preserve">#</w:t>
      </w:r>
      <w:r>
        <w:br/>
      </w:r>
      <w:r>
        <w:rPr>
          <w:rStyle w:val="VerbatimChar"/>
        </w:rPr>
        <w:t xml:space="preserve"># The redirect carries CORS (2026-10-08): the apps' pmtiles / COG / Parquet range</w:t>
      </w:r>
      <w:r>
        <w:br/>
      </w:r>
      <w:r>
        <w:rPr>
          <w:rStyle w:val="VerbatimChar"/>
        </w:rPr>
        <w:t xml:space="preserve"># requests to this host failed with status 0 because the bare 302 (and a bare 302</w:t>
      </w:r>
      <w:r>
        <w:br/>
      </w:r>
      <w:r>
        <w:rPr>
          <w:rStyle w:val="VerbatimChar"/>
        </w:rPr>
        <w:t xml:space="preserve"># on the OPTIONS preflight) had no Access-Control-* headers. The 302 now has</w:t>
      </w:r>
      <w:r>
        <w:br/>
      </w:r>
      <w:r>
        <w:rPr>
          <w:rStyle w:val="VerbatimChar"/>
        </w:rPr>
        <w:t xml:space="preserve"># them (snippet s3_cors) and OPTIONS is a 204 here; the bucket itself answers</w:t>
      </w:r>
      <w:r>
        <w:br/>
      </w:r>
      <w:r>
        <w:rPr>
          <w:rStyle w:val="VerbatimChar"/>
        </w:rPr>
        <w:t xml:space="preserve"># with Access-Control-Allow-Origin: * once the browser lands on it.</w:t>
      </w:r>
      <w:r>
        <w:br/>
      </w:r>
      <w:r>
        <w:rPr>
          <w:rStyle w:val="VerbatimChar"/>
        </w:rPr>
        <w:t xml:space="preserve">#</w:t>
      </w:r>
      <w:r>
        <w:br/>
      </w:r>
      <w:r>
        <w:rPr>
          <w:rStyle w:val="VerbatimChar"/>
        </w:rPr>
        <w:t xml:space="preserve"># Named "storage" rather than "s3" so the URL survives a move to another</w:t>
      </w:r>
      <w:r>
        <w:br/>
      </w:r>
      <w:r>
        <w:rPr>
          <w:rStyle w:val="VerbatimChar"/>
        </w:rPr>
        <w:t xml:space="preserve"># provider.</w:t>
      </w:r>
      <w:r>
        <w:br/>
      </w:r>
      <w:r>
        <w:rPr>
          <w:rStyle w:val="VerbatimChar"/>
        </w:rPr>
        <w:t xml:space="preserve"># storage.oceanmetrics.io is the same bucket under the Ocean Metrics brand (the</w:t>
      </w:r>
      <w:r>
        <w:br/>
      </w:r>
      <w:r>
        <w:rPr>
          <w:rStyle w:val="VerbatimChar"/>
        </w:rPr>
        <w:t xml:space="preserve"># gazetteer/ prefix is published there first; marine-atlas/ keeps its old links).</w:t>
      </w:r>
      <w:r>
        <w:br/>
      </w:r>
      <w:r>
        <w:rPr>
          <w:rStyle w:val="VerbatimChar"/>
        </w:rPr>
        <w:t xml:space="preserve"># indicators/ (2026-10-20): the oceanmetrics/indicators catalog (values, manifest,</w:t>
      </w:r>
      <w:r>
        <w:br/>
      </w:r>
      <w:r>
        <w:rPr>
          <w:rStyle w:val="VerbatimChar"/>
        </w:rPr>
        <w:t xml:space="preserve"># coverage), published daily by that repo's catalog.yml on the macmini runner.</w:t>
      </w:r>
      <w:r>
        <w:br/>
      </w:r>
      <w:r>
        <w:rPr>
          <w:rStyle w:val="VerbatimChar"/>
        </w:rPr>
        <w:t xml:space="preserve">storage.marinesensitivity.org, storage.oceanmetrics.io {</w:t>
      </w:r>
      <w:r>
        <w:br/>
      </w:r>
      <w:r>
        <w:rPr>
          <w:rStyle w:val="VerbatimChar"/>
        </w:rPr>
        <w:t xml:space="preserve">    encode zstd gzip</w:t>
      </w:r>
      <w:r>
        <w:br/>
      </w:r>
      <w:r>
        <w:br/>
      </w:r>
      <w:r>
        <w:rPr>
          <w:rStyle w:val="VerbatimChar"/>
        </w:rPr>
        <w:t xml:space="preserve">    import access_log storage</w:t>
      </w:r>
      <w:r>
        <w:br/>
      </w:r>
      <w:r>
        <w:br/>
      </w:r>
      <w:r>
        <w:rPr>
          <w:rStyle w:val="VerbatimChar"/>
        </w:rPr>
        <w:t xml:space="preserve">    # robots.txt inline, BEFORE the bucket handler, so it cannot be lost by an</w:t>
      </w:r>
      <w:r>
        <w:br/>
      </w:r>
      <w:r>
        <w:rPr>
          <w:rStyle w:val="VerbatimChar"/>
        </w:rPr>
        <w:t xml:space="preserve">    # index regeneration. The catalog pages are welcome in search results; the</w:t>
      </w:r>
      <w:r>
        <w:br/>
      </w:r>
      <w:r>
        <w:rPr>
          <w:rStyle w:val="VerbatimChar"/>
        </w:rPr>
        <w:t xml:space="preserve">    # objects behind them are not (they are now redirected to S3, but a crawler</w:t>
      </w:r>
      <w:r>
        <w:br/>
      </w:r>
      <w:r>
        <w:rPr>
          <w:rStyle w:val="VerbatimChar"/>
        </w:rPr>
        <w:t xml:space="preserve">    # that follows the redirect still walks 90,000 of them).</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Catalog pages: crawl away. Data objects: please do not.</w:t>
      </w:r>
      <w:r>
        <w:br/>
      </w:r>
      <w:r>
        <w:rPr>
          <w:rStyle w:val="VerbatimChar"/>
        </w:rPr>
        <w:t xml:space="preserve">User-agent: *</w:t>
      </w:r>
      <w:r>
        <w:br/>
      </w:r>
      <w:r>
        <w:rPr>
          <w:rStyle w:val="VerbatimChar"/>
        </w:rPr>
        <w:t xml:space="preserve">Crawl-delay: 10</w:t>
      </w:r>
      <w:r>
        <w:br/>
      </w:r>
      <w:r>
        <w:rPr>
          <w:rStyle w:val="VerbatimChar"/>
        </w:rPr>
        <w:t xml:space="preserve">Disallow: /*.tif$</w:t>
      </w:r>
      <w:r>
        <w:br/>
      </w:r>
      <w:r>
        <w:rPr>
          <w:rStyle w:val="VerbatimChar"/>
        </w:rPr>
        <w:t xml:space="preserve">Disallow: /*.parquet$</w:t>
      </w:r>
      <w:r>
        <w:br/>
      </w:r>
      <w:r>
        <w:rPr>
          <w:rStyle w:val="VerbatimChar"/>
        </w:rPr>
        <w:t xml:space="preserve">Disallow: /*.duckdb$</w:t>
      </w:r>
      <w:r>
        <w:br/>
      </w:r>
      <w:r>
        <w:rPr>
          <w:rStyle w:val="VerbatimChar"/>
        </w:rPr>
        <w:t xml:space="preserve">Disallow: /*.pmtiles$</w:t>
      </w:r>
      <w:r>
        <w:br/>
      </w:r>
      <w:r>
        <w:rPr>
          <w:rStyle w:val="VerbatimChar"/>
        </w:rPr>
        <w:t xml:space="preserve">Disallow: /*.gz$</w:t>
      </w:r>
      <w:r>
        <w:br/>
      </w:r>
      <w:r>
        <w:rPr>
          <w:rStyle w:val="VerbatimChar"/>
        </w:rPr>
        <w:t xml:space="preserve">Disallow: /*.zip$</w:t>
      </w:r>
      <w:r>
        <w:br/>
      </w:r>
      <w:r>
        <w:rPr>
          <w:rStyle w:val="VerbatimChar"/>
        </w:rPr>
        <w:t xml:space="preserve">` 200</w:t>
      </w:r>
      <w:r>
        <w:br/>
      </w:r>
      <w:r>
        <w:rPr>
          <w:rStyle w:val="VerbatimChar"/>
        </w:rPr>
        <w:t xml:space="preserve">    }</w:t>
      </w:r>
      <w:r>
        <w:br/>
      </w:r>
      <w:r>
        <w:br/>
      </w:r>
      <w:r>
        <w:rPr>
          <w:rStyle w:val="VerbatimChar"/>
        </w:rPr>
        <w:t xml:space="preserve">    # ONLY the published atlas. The same bucket holds backups/ -- including a</w:t>
      </w:r>
      <w:r>
        <w:br/>
      </w:r>
      <w:r>
        <w:rPr>
          <w:rStyle w:val="VerbatimChar"/>
        </w:rPr>
        <w:t xml:space="preserve">    # multi-GB database dump -- which is technically public but must not be</w:t>
      </w:r>
      <w:r>
        <w:br/>
      </w:r>
      <w:r>
        <w:rPr>
          <w:rStyle w:val="VerbatimChar"/>
        </w:rPr>
        <w:t xml:space="preserve">    # advertised or reachable here, even by exact path. This allow-list is the</w:t>
      </w:r>
      <w:r>
        <w:br/>
      </w:r>
      <w:r>
        <w:rPr>
          <w:rStyle w:val="VerbatimChar"/>
        </w:rPr>
        <w:t xml:space="preserve">    # server-side half of the restriction the index generator applies.</w:t>
      </w:r>
      <w:r>
        <w:br/>
      </w:r>
      <w:r>
        <w:rPr>
          <w:rStyle w:val="VerbatimChar"/>
        </w:rPr>
        <w:t xml:space="preserve">    @atlas path_regexp atlas ^/(marine-atlas|gazetteer|indicators)(/|$)</w:t>
      </w:r>
      <w:r>
        <w:br/>
      </w:r>
      <w:r>
        <w:rPr>
          <w:rStyle w:val="VerbatimChar"/>
        </w:rPr>
        <w:t xml:space="preserve">    handle @atlas {</w:t>
      </w:r>
      <w:r>
        <w:br/>
      </w:r>
      <w:r>
        <w:rPr>
          <w:rStyle w:val="VerbatimChar"/>
        </w:rPr>
        <w:t xml:space="preserve">        # CORS preflight, answered here (a redirect on OPTIONS fails the preflight).</w:t>
      </w:r>
      <w:r>
        <w:br/>
      </w:r>
      <w:r>
        <w:rPr>
          <w:rStyle w:val="VerbatimChar"/>
        </w:rPr>
        <w:t xml:space="preserve">        # Suffix ranges (bytes=-N, how Parquet readers fetch the footer) and</w:t>
      </w:r>
      <w:r>
        <w:br/>
      </w:r>
      <w:r>
        <w:rPr>
          <w:rStyle w:val="VerbatimChar"/>
        </w:rPr>
        <w:t xml:space="preserve">        # If-Match / If-None-Match are not CORS-safelisted, so they DO preflight.</w:t>
      </w:r>
      <w:r>
        <w:br/>
      </w:r>
      <w:r>
        <w:rPr>
          <w:rStyle w:val="VerbatimChar"/>
        </w:rPr>
        <w:t xml:space="preserve">        @preflight method OPTIONS</w:t>
      </w:r>
      <w:r>
        <w:br/>
      </w:r>
      <w:r>
        <w:rPr>
          <w:rStyle w:val="VerbatimChar"/>
        </w:rPr>
        <w:t xml:space="preserve">        handle @preflight {</w:t>
      </w:r>
      <w:r>
        <w:br/>
      </w:r>
      <w:r>
        <w:rPr>
          <w:rStyle w:val="VerbatimChar"/>
        </w:rPr>
        <w:t xml:space="preserve">            import s3_cors</w:t>
      </w:r>
      <w:r>
        <w:br/>
      </w:r>
      <w:r>
        <w:rPr>
          <w:rStyle w:val="VerbatimChar"/>
        </w:rPr>
        <w:t xml:space="preserve">            header Access-Control-Allow-Headers "Range, If-Match, If-None-Match, If-Range, Content-Type"</w:t>
      </w:r>
      <w:r>
        <w:br/>
      </w:r>
      <w:r>
        <w:rPr>
          <w:rStyle w:val="VerbatimChar"/>
        </w:rPr>
        <w:t xml:space="preserve">            respond 204</w:t>
      </w:r>
      <w:r>
        <w:br/>
      </w:r>
      <w:r>
        <w:rPr>
          <w:rStyle w:val="VerbatimChar"/>
        </w:rPr>
        <w:t xml:space="preserve">        }</w:t>
      </w:r>
      <w:r>
        <w:br/>
      </w:r>
      <w:r>
        <w:br/>
      </w:r>
      <w:r>
        <w:rPr>
          <w:rStyle w:val="VerbatimChar"/>
        </w:rPr>
        <w:t xml:space="preserve">        # folder URL -&gt; the index.html object standing in for a listing</w:t>
      </w:r>
      <w:r>
        <w:br/>
      </w:r>
      <w:r>
        <w:rPr>
          <w:rStyle w:val="VerbatimChar"/>
        </w:rPr>
        <w:t xml:space="preserve">        @dir path */</w:t>
      </w:r>
      <w:r>
        <w:br/>
      </w:r>
      <w:r>
        <w:rPr>
          <w:rStyle w:val="VerbatimChar"/>
        </w:rPr>
        <w:t xml:space="preserve">        handle @dir {</w:t>
      </w:r>
      <w:r>
        <w:br/>
      </w:r>
      <w:r>
        <w:rPr>
          <w:rStyle w:val="VerbatimChar"/>
        </w:rPr>
        <w:t xml:space="preserve">            rewrite * {path}index.html</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the pages themselves: small, and what a browser needs on this host</w:t>
      </w:r>
      <w:r>
        <w:br/>
      </w:r>
      <w:r>
        <w:rPr>
          <w:rStyle w:val="VerbatimChar"/>
        </w:rPr>
        <w:t xml:space="preserve">        @page path */index.html */README.md</w:t>
      </w:r>
      <w:r>
        <w:br/>
      </w:r>
      <w:r>
        <w:rPr>
          <w:rStyle w:val="VerbatimChar"/>
        </w:rPr>
        <w:t xml:space="preserve">        handle @page {</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everything else is a data object: hand the client to S3, move no bytes</w:t>
      </w:r>
      <w:r>
        <w:br/>
      </w:r>
      <w:r>
        <w:rPr>
          <w:rStyle w:val="VerbatimChar"/>
        </w:rPr>
        <w:t xml:space="preserve">        handle {</w:t>
      </w:r>
      <w:r>
        <w:br/>
      </w:r>
      <w:r>
        <w:rPr>
          <w:rStyle w:val="VerbatimChar"/>
        </w:rPr>
        <w:t xml:space="preserve">            import s3_cors</w:t>
      </w:r>
      <w:r>
        <w:br/>
      </w:r>
      <w:r>
        <w:rPr>
          <w:rStyle w:val="VerbatimChar"/>
        </w:rPr>
        <w:t xml:space="preserve">            header Cache-Control "public, max-age=86400"</w:t>
      </w:r>
      <w:r>
        <w:br/>
      </w:r>
      <w:r>
        <w:rPr>
          <w:rStyle w:val="VerbatimChar"/>
        </w:rPr>
        <w:t xml:space="preserve">            redir https://s3.us-east-1.amazonaws.com/oceanmetrics.io-public{uri} 302</w:t>
      </w:r>
      <w:r>
        <w:br/>
      </w:r>
      <w:r>
        <w:rPr>
          <w:rStyle w:val="VerbatimChar"/>
        </w:rPr>
        <w:t xml:space="preserve">        }</w:t>
      </w:r>
      <w:r>
        <w:br/>
      </w:r>
      <w:r>
        <w:rPr>
          <w:rStyle w:val="VerbatimChar"/>
        </w:rPr>
        <w:t xml:space="preserve">    }</w:t>
      </w:r>
      <w:r>
        <w:br/>
      </w:r>
      <w:r>
        <w:br/>
      </w:r>
      <w:r>
        <w:rPr>
          <w:rStyle w:val="VerbatimChar"/>
        </w:rPr>
        <w:t xml:space="preserve">    # the bare host lands on the atlas index</w:t>
      </w:r>
      <w:r>
        <w:br/>
      </w:r>
      <w:r>
        <w:rPr>
          <w:rStyle w:val="VerbatimChar"/>
        </w:rPr>
        <w:t xml:space="preserve">    redir / /marine-atlas/ 302</w:t>
      </w:r>
      <w:r>
        <w:br/>
      </w:r>
      <w:r>
        <w:br/>
      </w:r>
      <w:r>
        <w:rPr>
          <w:rStyle w:val="VerbatimChar"/>
        </w:rPr>
        <w:t xml:space="preserve">    # anything else: refuse, and say where to go</w:t>
      </w:r>
      <w:r>
        <w:br/>
      </w:r>
      <w:r>
        <w:rPr>
          <w:rStyle w:val="VerbatimChar"/>
        </w:rPr>
        <w:t xml:space="preserve">    handle {</w:t>
      </w:r>
      <w:r>
        <w:br/>
      </w:r>
      <w:r>
        <w:rPr>
          <w:rStyle w:val="VerbatimChar"/>
        </w:rPr>
        <w:t xml:space="preserve">        header Content-Type "text/plain; charset=utf-8"</w:t>
      </w:r>
      <w:r>
        <w:br/>
      </w:r>
      <w:r>
        <w:rPr>
          <w:rStyle w:val="VerbatimChar"/>
        </w:rPr>
        <w:t xml:space="preserve">        respond `Not found.</w:t>
      </w:r>
      <w:r>
        <w:br/>
      </w:r>
      <w:r>
        <w:br/>
      </w:r>
      <w:r>
        <w:rPr>
          <w:rStyle w:val="VerbatimChar"/>
        </w:rPr>
        <w:t xml:space="preserve">Browsable: /marine-atlas/, /gazetteer/ and /indicators/</w:t>
      </w:r>
      <w:r>
        <w:br/>
      </w:r>
      <w:r>
        <w:rPr>
          <w:rStyle w:val="VerbatimChar"/>
        </w:rPr>
        <w:t xml:space="preserve">Start here: https://storage.marinesensitivity.org/marine-atlas/</w:t>
      </w:r>
      <w:r>
        <w:br/>
      </w:r>
      <w:r>
        <w:rPr>
          <w:rStyle w:val="VerbatimChar"/>
        </w:rPr>
        <w:t xml:space="preserve">` 404</w:t>
      </w:r>
      <w:r>
        <w:br/>
      </w:r>
      <w:r>
        <w:rPr>
          <w:rStyle w:val="VerbatimChar"/>
        </w:rPr>
        <w:t xml:space="preserve">    }</w:t>
      </w:r>
      <w:r>
        <w:br/>
      </w:r>
      <w:r>
        <w:rPr>
          <w:rStyle w:val="VerbatimChar"/>
        </w:rPr>
        <w:t xml:space="preserve">}</w:t>
      </w:r>
      <w:r>
        <w:br/>
      </w:r>
      <w:r>
        <w:br/>
      </w:r>
      <w:r>
        <w:rPr>
          <w:rStyle w:val="VerbatimChar"/>
        </w:rPr>
        <w:t xml:space="preserve">pgadmin.marinesensitivity.org {</w:t>
      </w:r>
      <w:r>
        <w:br/>
      </w:r>
      <w:r>
        <w:rPr>
          <w:rStyle w:val="VerbatimChar"/>
        </w:rPr>
        <w:t xml:space="preserve">    import access_log pgadmin</w:t>
      </w:r>
      <w:r>
        <w:br/>
      </w:r>
      <w:r>
        <w:br/>
      </w:r>
      <w:r>
        <w:rPr>
          <w:rStyle w:val="VerbatimChar"/>
        </w:rPr>
        <w:t xml:space="preserve">    reverse_proxy pgadmin:8088</w:t>
      </w:r>
      <w:r>
        <w:br/>
      </w:r>
      <w:r>
        <w:rPr>
          <w:rStyle w:val="VerbatimChar"/>
        </w:rPr>
        <w:t xml:space="preserve">}</w:t>
      </w:r>
      <w:r>
        <w:br/>
      </w:r>
      <w:r>
        <w:br/>
      </w:r>
      <w:r>
        <w:rPr>
          <w:rStyle w:val="VerbatimChar"/>
        </w:rPr>
        <w:t xml:space="preserve"># rest.marinesensitivity.org {</w:t>
      </w:r>
      <w:r>
        <w:br/>
      </w:r>
      <w:r>
        <w:rPr>
          <w:rStyle w:val="VerbatimChar"/>
        </w:rPr>
        <w:t xml:space="preserve">#   reverse_proxy rest:3000</w:t>
      </w:r>
      <w:r>
        <w:br/>
      </w:r>
      <w:r>
        <w:rPr>
          <w:rStyle w:val="VerbatimChar"/>
        </w:rPr>
        <w:t xml:space="preserve"># }</w:t>
      </w:r>
      <w:r>
        <w:br/>
      </w:r>
      <w:r>
        <w:br/>
      </w:r>
      <w:r>
        <w:rPr>
          <w:rStyle w:val="VerbatimChar"/>
        </w:rPr>
        <w:t xml:space="preserve"># searchable STAC API (one Item per model) — complements the STATIC catalog served</w:t>
      </w:r>
      <w:r>
        <w:br/>
      </w:r>
      <w:r>
        <w:rPr>
          <w:rStyle w:val="VerbatimChar"/>
        </w:rPr>
        <w:t xml:space="preserve"># from file.marinesensitivity.org/stac, which stays exactly as it is.</w:t>
      </w:r>
      <w:r>
        <w:br/>
      </w:r>
      <w:r>
        <w:rPr>
          <w:rStyle w:val="VerbatimChar"/>
        </w:rPr>
        <w:t xml:space="preserve">stac-api.marinesensitivity.org {</w:t>
      </w:r>
      <w:r>
        <w:br/>
      </w:r>
      <w:r>
        <w:rPr>
          <w:rStyle w:val="VerbatimChar"/>
        </w:rPr>
        <w:t xml:space="preserve">    import access_log stac-api</w:t>
      </w:r>
      <w:r>
        <w:br/>
      </w:r>
      <w:r>
        <w:rPr>
          <w:rStyle w:val="VerbatimChar"/>
        </w:rPr>
        <w:t xml:space="preserve">    import robots_none</w:t>
      </w:r>
      <w:r>
        <w:br/>
      </w:r>
      <w:r>
        <w:br/>
      </w:r>
      <w:r>
        <w:rPr>
          <w:rStyle w:val="VerbatimChar"/>
        </w:rPr>
        <w:t xml:space="preserve">    reverse_proxy stac-api:8084</w:t>
      </w:r>
      <w:r>
        <w:br/>
      </w:r>
      <w:r>
        <w:rPr>
          <w:rStyle w:val="VerbatimChar"/>
        </w:rPr>
        <w:t xml:space="preserve">}</w:t>
      </w:r>
      <w:r>
        <w:br/>
      </w:r>
      <w:r>
        <w:br/>
      </w:r>
      <w:r>
        <w:rPr>
          <w:rStyle w:val="VerbatimChar"/>
        </w:rPr>
        <w:t xml:space="preserve">rstudio.marinesensitivity.org {</w:t>
      </w:r>
      <w:r>
        <w:br/>
      </w:r>
      <w:r>
        <w:rPr>
          <w:rStyle w:val="VerbatimChar"/>
        </w:rPr>
        <w:t xml:space="preserve">    import access_log rstudio</w:t>
      </w:r>
      <w:r>
        <w:br/>
      </w:r>
      <w:r>
        <w:br/>
      </w:r>
      <w:r>
        <w:rPr>
          <w:rStyle w:val="VerbatimChar"/>
        </w:rPr>
        <w:t xml:space="preserve">    reverse_proxy rstudio:8787</w:t>
      </w:r>
      <w:r>
        <w:br/>
      </w:r>
      <w:r>
        <w:rPr>
          <w:rStyle w:val="VerbatimChar"/>
        </w:rPr>
        <w:t xml:space="preserve">}</w:t>
      </w:r>
      <w:r>
        <w:br/>
      </w:r>
      <w:r>
        <w:br/>
      </w:r>
      <w:r>
        <w:rPr>
          <w:rStyle w:val="VerbatimChar"/>
        </w:rPr>
        <w:t xml:space="preserve">shiny.marinesensitivity.org {</w:t>
      </w:r>
      <w:r>
        <w:br/>
      </w:r>
      <w:r>
        <w:rPr>
          <w:rStyle w:val="VerbatimChar"/>
        </w:rPr>
        <w:t xml:space="preserve">    import access_log shiny</w:t>
      </w:r>
      <w:r>
        <w:br/>
      </w:r>
      <w:r>
        <w:br/>
      </w:r>
      <w:r>
        <w:rPr>
          <w:rStyle w:val="VerbatimChar"/>
        </w:rPr>
        <w:t xml:space="preserve">    # the SAME public Shiny Server (:3838, /share/shiny_apps) as app.*, so scores and</w:t>
      </w:r>
      <w:r>
        <w:br/>
      </w:r>
      <w:r>
        <w:rPr>
          <w:rStyle w:val="VerbatimChar"/>
        </w:rPr>
        <w:t xml:space="preserve">    # species were reachable here too: the Atlas cutover (B2) redirects them from this host</w:t>
      </w:r>
      <w:r>
        <w:br/>
      </w:r>
      <w:r>
        <w:rPr>
          <w:rStyle w:val="VerbatimChar"/>
        </w:rPr>
        <w:t xml:space="preserve">    # as well, or /scores/ and /species/ would bypass it. Only the scores/species shapes</w:t>
      </w:r>
      <w:r>
        <w:br/>
      </w:r>
      <w:r>
        <w:rPr>
          <w:rStyle w:val="VerbatimChar"/>
        </w:rPr>
        <w:t xml:space="preserve">    # (and the retired aliases) match; every other app on this host proxies as before.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app.marinesensitivity.org {</w:t>
      </w:r>
      <w:r>
        <w:br/>
      </w:r>
      <w:r>
        <w:rPr>
          <w:rStyle w:val="VerbatimChar"/>
        </w:rPr>
        <w:t xml:space="preserve">    import access_log app</w:t>
      </w:r>
      <w:r>
        <w:br/>
      </w:r>
      <w:r>
        <w:br/>
      </w:r>
      <w:r>
        <w:rPr>
          <w:rStyle w:val="VerbatimChar"/>
        </w:rPr>
        <w:t xml:space="preserve">    # ---- MST app cutover -------------------------------------------------</w:t>
      </w:r>
      <w:r>
        <w:br/>
      </w:r>
      <w:r>
        <w:rPr>
          <w:rStyle w:val="VerbatimChar"/>
        </w:rPr>
        <w:t xml:space="preserve">    #</w:t>
      </w:r>
      <w:r>
        <w:br/>
      </w:r>
      <w:r>
        <w:rPr>
          <w:rStyle w:val="VerbatimChar"/>
        </w:rPr>
        <w:t xml:space="preserve">    # ATLAS CUTOVER B2 (2026-10-16): the Shiny /scores and /species apps are</w:t>
      </w:r>
      <w:r>
        <w:br/>
      </w:r>
      <w:r>
        <w:rPr>
          <w:rStyle w:val="VerbatimChar"/>
        </w:rPr>
        <w:t xml:space="preserve">    # replaced by the static Atlas (https://marinesensitivity.org/atlas/), and</w:t>
      </w:r>
      <w:r>
        <w:br/>
      </w:r>
      <w:r>
        <w:rPr>
          <w:rStyle w:val="VerbatimChar"/>
        </w:rPr>
        <w:t xml:space="preserve">    # every Shiny URL -- /{ver}/scores|species/, the unversioned /scores/ and</w:t>
      </w:r>
      <w:r>
        <w:br/>
      </w:r>
      <w:r>
        <w:rPr>
          <w:rStyle w:val="VerbatimChar"/>
        </w:rPr>
        <w:t xml:space="preserve">    # /species/ (+ ?ver=), and the retired /mapgl /mapsp /mapgl_v{n} /mapsp_v{n}</w:t>
      </w:r>
      <w:r>
        <w:br/>
      </w:r>
      <w:r>
        <w:rPr>
          <w:rStyle w:val="VerbatimChar"/>
        </w:rPr>
        <w:t xml:space="preserve">    # /scores_v{n} /species_v{n} aliases -- 302s into it with the query carried</w:t>
      </w:r>
      <w:r>
        <w:br/>
      </w:r>
      <w:r>
        <w:rPr>
          <w:rStyle w:val="VerbatimChar"/>
        </w:rPr>
        <w:t xml:space="preserve">    # verbatim (the Atlas rewrites mdl_key / mdl_seq itself). A RESTRICTED version</w:t>
      </w:r>
      <w:r>
        <w:br/>
      </w:r>
      <w:r>
        <w:rPr>
          <w:rStyle w:val="VerbatimChar"/>
        </w:rPr>
        <w:t xml:space="preserve">    # (PREVIEW_RESTRICTED_VERSIONS: a regex alternation such as "v8|v9" from the</w:t>
      </w:r>
      <w:r>
        <w:br/>
      </w:r>
      <w:r>
        <w:rPr>
          <w:rStyle w:val="VerbatimChar"/>
        </w:rPr>
        <w:t xml:space="preserve">    # server .env -- the same manual step as PREVIEW_REVIEWERS_&lt;VER&gt; and</w:t>
      </w:r>
      <w:r>
        <w:br/>
      </w:r>
      <w:r>
        <w:rPr>
          <w:rStyle w:val="VerbatimChar"/>
        </w:rPr>
        <w:t xml:space="preserve">    # CF_ACCESS_AUD, asserted against versions.json by DEPLOY_CADDY before it</w:t>
      </w:r>
      <w:r>
        <w:br/>
      </w:r>
      <w:r>
        <w:rPr>
          <w:rStyle w:val="VerbatimChar"/>
        </w:rPr>
        <w:t xml:space="preserve">    # restarts anything) goes straight to https://preview.marinesensitivity.org/</w:t>
      </w:r>
      <w:r>
        <w:br/>
      </w:r>
      <w:r>
        <w:rPr>
          <w:rStyle w:val="VerbatimChar"/>
        </w:rPr>
        <w:t xml:space="preserve">    # {ver}/atlas/. If it is UNSET it matches nothing, so restricted versions land</w:t>
      </w:r>
      <w:r>
        <w:br/>
      </w:r>
      <w:r>
        <w:rPr>
          <w:rStyle w:val="VerbatimChar"/>
        </w:rPr>
        <w:t xml:space="preserve">    # on the PUBLIC Atlas: that fails closed ("under review"), but it is the wrong</w:t>
      </w:r>
      <w:r>
        <w:br/>
      </w:r>
      <w:r>
        <w:rPr>
          <w:rStyle w:val="VerbatimChar"/>
        </w:rPr>
        <w:t xml:space="preserve">    # door and the deploy check exists to catch it. All 302 until B3 flips the</w:t>
      </w:r>
      <w:r>
        <w:br/>
      </w:r>
      <w:r>
        <w:rPr>
          <w:rStyle w:val="VerbatimChar"/>
        </w:rPr>
        <w:t xml:space="preserve">    # public ones to 301: a cached 301 would outlive a rollback. The rules, their</w:t>
      </w:r>
      <w:r>
        <w:br/>
      </w:r>
      <w:r>
        <w:rPr>
          <w:rStyle w:val="VerbatimChar"/>
        </w:rPr>
        <w:t xml:space="preserve">    # order and why live in atlas_cutover_public.caddy, which</w:t>
      </w:r>
      <w:r>
        <w:br/>
      </w:r>
      <w:r>
        <w:rPr>
          <w:rStyle w:val="VerbatimChar"/>
        </w:rPr>
        <w:t xml:space="preserve">    # caddy/test/atlas_cutover_local.sh proves.</w:t>
      </w:r>
      <w:r>
        <w:br/>
      </w:r>
      <w:r>
        <w:rPr>
          <w:rStyle w:val="VerbatimChar"/>
        </w:rPr>
        <w:t xml:space="preserve">    #</w:t>
      </w:r>
      <w:r>
        <w:br/>
      </w:r>
      <w:r>
        <w:rPr>
          <w:rStyle w:val="VerbatimChar"/>
        </w:rPr>
        <w:t xml:space="preserve">    # Before B2 this block held the `&amp;{query}` aliases and the restricted-version</w:t>
      </w:r>
      <w:r>
        <w:br/>
      </w:r>
      <w:r>
        <w:rPr>
          <w:rStyle w:val="VerbatimChar"/>
        </w:rPr>
        <w:t xml:space="preserve">    # 302 (MarineSensitivity/apps#6: a redir target carrying its own query REPLACES</w:t>
      </w:r>
      <w:r>
        <w:br/>
      </w:r>
      <w:r>
        <w:rPr>
          <w:rStyle w:val="VerbatimChar"/>
        </w:rPr>
        <w:t xml:space="preserve">    # the incoming one). Rolling back = revert the B2 server merge AND the</w:t>
      </w:r>
      <w:r>
        <w:br/>
      </w:r>
      <w:r>
        <w:rPr>
          <w:rStyle w:val="VerbatimChar"/>
        </w:rPr>
        <w:t xml:space="preserve">    # workflows merge (its DEPLOY_CADDY assertions expect the redirects), then</w:t>
      </w:r>
      <w:r>
        <w:br/>
      </w:r>
      <w:r>
        <w:rPr>
          <w:rStyle w:val="VerbatimChar"/>
        </w:rPr>
        <w:t xml:space="preserve">    # DEPLOY_CADDY=1.</w:t>
      </w:r>
      <w:r>
        <w:br/>
      </w:r>
      <w:r>
        <w:rPr>
          <w:rStyle w:val="VerbatimChar"/>
        </w:rPr>
        <w:t xml:space="preserve">    #</w:t>
      </w:r>
      <w:r>
        <w:br/>
      </w:r>
      <w:r>
        <w:rPr>
          <w:rStyle w:val="VerbatimChar"/>
        </w:rPr>
        <w:t xml:space="preserve">    # The bare host root has nothing to show any more: send it to the Atlas.</w:t>
      </w:r>
      <w:r>
        <w:br/>
      </w:r>
      <w:r>
        <w:rPr>
          <w:rStyle w:val="VerbatimChar"/>
        </w:rPr>
        <w:t xml:space="preserve">    # (shiny.* roots are left alone: they list that Shiny Server's other apps.)</w:t>
      </w:r>
      <w:r>
        <w:br/>
      </w:r>
      <w:r>
        <w:rPr>
          <w:rStyle w:val="VerbatimChar"/>
        </w:rPr>
        <w:t xml:space="preserve">    redir / https://marinesensitivity.org/atlas/ 302</w:t>
      </w:r>
      <w:r>
        <w:br/>
      </w:r>
      <w:r>
        <w:br/>
      </w:r>
      <w:r>
        <w:rPr>
          <w:rStyle w:val="VerbatimChar"/>
        </w:rPr>
        <w:t xml:space="preserve">    import atlas_cutover_public.caddy</w:t>
      </w:r>
      <w:r>
        <w:br/>
      </w:r>
      <w:r>
        <w:br/>
      </w:r>
      <w:r>
        <w:rPr>
          <w:rStyle w:val="VerbatimChar"/>
        </w:rPr>
        <w:t xml:space="preserve">    # THE VERSION IS THE PATH here too (2026-08-27). One definition, shared with</w:t>
      </w:r>
      <w:r>
        <w:br/>
      </w:r>
      <w:r>
        <w:rPr>
          <w:rStyle w:val="VerbatimChar"/>
        </w:rPr>
        <w:t xml:space="preserve">    # the preview vhost, so the two hosts cannot drift: /v7/scores/ is canonical,</w:t>
      </w:r>
      <w:r>
        <w:br/>
      </w:r>
      <w:r>
        <w:rPr>
          <w:rStyle w:val="VerbatimChar"/>
        </w:rPr>
        <w:t xml:space="preserve">    # /scores/?ver=v7 301s to it, and the app reads X-MS-Version. A bare /scores/</w:t>
      </w:r>
      <w:r>
        <w:br/>
      </w:r>
      <w:r>
        <w:rPr>
          <w:rStyle w:val="VerbatimChar"/>
        </w:rPr>
        <w:t xml:space="preserve">    # (no version) still resolves the promoted release inside the app -- Caddy</w:t>
      </w:r>
      <w:r>
        <w:br/>
      </w:r>
      <w:r>
        <w:rPr>
          <w:rStyle w:val="VerbatimChar"/>
        </w:rPr>
        <w:t xml:space="preserve">    # cannot read latest.txt, and the app canonicalises the URL once it knows.</w:t>
      </w:r>
      <w:r>
        <w:br/>
      </w:r>
      <w:r>
        <w:rPr>
          <w:rStyle w:val="VerbatimChar"/>
        </w:rPr>
        <w:t xml:space="preserve">    import app_version_routes.caddy rstudio:3838</w:t>
      </w:r>
      <w:r>
        <w:br/>
      </w:r>
      <w:r>
        <w:br/>
      </w:r>
      <w:r>
        <w:rPr>
          <w:rStyle w:val="VerbatimChar"/>
        </w:rPr>
        <w:t xml:space="preserve">    # X-MS-User (the signed-in reviewer's identity) and X-MS-Version (the version</w:t>
      </w:r>
      <w:r>
        <w:br/>
      </w:r>
      <w:r>
        <w:rPr>
          <w:rStyle w:val="VerbatimChar"/>
        </w:rPr>
        <w:t xml:space="preserve">    # from the preview host's URL path) are set by the PREVIEW vhost from things</w:t>
      </w:r>
      <w:r>
        <w:br/>
      </w:r>
      <w:r>
        <w:rPr>
          <w:rStyle w:val="VerbatimChar"/>
        </w:rPr>
        <w:t xml:space="preserve">    # it has verified. Both are meaningful only there; a client must not be able</w:t>
      </w:r>
      <w:r>
        <w:br/>
      </w:r>
      <w:r>
        <w:rPr>
          <w:rStyle w:val="VerbatimChar"/>
        </w:rPr>
        <w:t xml:space="preserve">    # to supply either here, where the version comes from ?ver= and the policy</w:t>
      </w:r>
      <w:r>
        <w:br/>
      </w:r>
      <w:r>
        <w:rPr>
          <w:rStyle w:val="VerbatimChar"/>
        </w:rPr>
        <w:t xml:space="preserve">    # refuses restricted releases anyway.</w:t>
      </w:r>
      <w:r>
        <w:br/>
      </w:r>
      <w:r>
        <w:rPr>
          <w:rStyle w:val="VerbatimChar"/>
        </w:rPr>
        <w:t xml:space="preserve">    request_header -X-MS-User</w:t>
      </w:r>
      <w:r>
        <w:br/>
      </w:r>
      <w:r>
        <w:rPr>
          <w:rStyle w:val="VerbatimChar"/>
        </w:rPr>
        <w:t xml:space="preserve">    request_header -X-MS-Version</w:t>
      </w:r>
      <w:r>
        <w:br/>
      </w:r>
      <w:r>
        <w:br/>
      </w:r>
      <w:r>
        <w:rPr>
          <w:rStyle w:val="VerbatimChar"/>
        </w:rPr>
        <w:t xml:space="preserve">    reverse_proxy rstudio:3838</w:t>
      </w:r>
      <w:r>
        <w:br/>
      </w:r>
      <w:r>
        <w:rPr>
          <w:rStyle w:val="VerbatimChar"/>
        </w:rPr>
        <w:t xml:space="preserve">}</w:t>
      </w:r>
      <w:r>
        <w:br/>
      </w:r>
      <w:r>
        <w:br/>
      </w:r>
      <w:r>
        <w:rPr>
          <w:rStyle w:val="VerbatimChar"/>
        </w:rPr>
        <w:t xml:space="preserve"># The signed-in PREVIEW host: restricted (under-review) releases of the apps and</w:t>
      </w:r>
      <w:r>
        <w:br/>
      </w:r>
      <w:r>
        <w:rPr>
          <w:rStyle w:val="VerbatimChar"/>
        </w:rPr>
        <w:t xml:space="preserve"># docs, for SDM data providers and BOEM/NOAA reviewers.</w:t>
      </w:r>
      <w:r>
        <w:br/>
      </w:r>
      <w:r>
        <w:rPr>
          <w:rStyle w:val="VerbatimChar"/>
        </w:rPr>
        <w:t xml:space="preserve">#</w:t>
      </w:r>
      <w:r>
        <w:br/>
      </w:r>
      <w:r>
        <w:rPr>
          <w:rStyle w:val="VerbatimChar"/>
        </w:rPr>
        <w:t xml:space="preserve"># How the gate works (workflows/.claude/plans/2026-08-15 pre-release review gate …):</w:t>
      </w:r>
      <w:r>
        <w:br/>
      </w:r>
      <w:r>
        <w:rPr>
          <w:rStyle w:val="VerbatimChar"/>
        </w:rPr>
        <w:t xml:space="preserve">#   1. DNS for this ONE hostname is proxied through Cloudflare, and a Cloudflare</w:t>
      </w:r>
      <w:r>
        <w:br/>
      </w:r>
      <w:r>
        <w:rPr>
          <w:rStyle w:val="VerbatimChar"/>
        </w:rPr>
        <w:t xml:space="preserve">#      Access application in front of it lets a request through only after the</w:t>
      </w:r>
      <w:r>
        <w:br/>
      </w:r>
      <w:r>
        <w:rPr>
          <w:rStyle w:val="VerbatimChar"/>
        </w:rPr>
        <w:t xml:space="preserve">#      visitor signs in (emailed one-time PIN, Google). Access then stamps every</w:t>
      </w:r>
      <w:r>
        <w:br/>
      </w:r>
      <w:r>
        <w:rPr>
          <w:rStyle w:val="VerbatimChar"/>
        </w:rPr>
        <w:t xml:space="preserve">#      request -- page GETs, static assets, the Shiny websocket upgrade -- with</w:t>
      </w:r>
      <w:r>
        <w:br/>
      </w:r>
      <w:r>
        <w:rPr>
          <w:rStyle w:val="VerbatimChar"/>
        </w:rPr>
        <w:t xml:space="preserve">#      Cf-Access-Jwt-Assertion, an RS256 JWT for this app's AUD.</w:t>
      </w:r>
      <w:r>
        <w:br/>
      </w:r>
      <w:r>
        <w:rPr>
          <w:rStyle w:val="VerbatimChar"/>
        </w:rPr>
        <w:t xml:space="preserve">#   2. jwtauth below is the ORIGIN-SIDE check Cloudflare documents: verify that</w:t>
      </w:r>
      <w:r>
        <w:br/>
      </w:r>
      <w:r>
        <w:rPr>
          <w:rStyle w:val="VerbatimChar"/>
        </w:rPr>
        <w:t xml:space="preserve">#      JWT against the team's JWKS + issuer + audience. A request that reaches</w:t>
      </w:r>
      <w:r>
        <w:br/>
      </w:r>
      <w:r>
        <w:rPr>
          <w:rStyle w:val="VerbatimChar"/>
        </w:rPr>
        <w:t xml:space="preserve">#      this box without going through Access (origin IP, wrong hostname, a</w:t>
      </w:r>
      <w:r>
        <w:br/>
      </w:r>
      <w:r>
        <w:rPr>
          <w:rStyle w:val="VerbatimChar"/>
        </w:rPr>
        <w:t xml:space="preserve">#      forged header) has no valid JWT and gets 401 -- so proxying only this</w:t>
      </w:r>
      <w:r>
        <w:br/>
      </w:r>
      <w:r>
        <w:rPr>
          <w:rStyle w:val="VerbatimChar"/>
        </w:rPr>
        <w:t xml:space="preserve">#      hostname is safe.</w:t>
      </w:r>
      <w:r>
        <w:br/>
      </w:r>
      <w:r>
        <w:rPr>
          <w:rStyle w:val="VerbatimChar"/>
        </w:rPr>
        <w:t xml:space="preserve">#   3. What is behind it (caddy/preview_routes.caddy): the PREVIEW Shiny Server</w:t>
      </w:r>
      <w:r>
        <w:br/>
      </w:r>
      <w:r>
        <w:rPr>
          <w:rStyle w:val="VerbatimChar"/>
        </w:rPr>
        <w:t xml:space="preserve">#      instance (rstudio:3839, the same app code as /scores + /species with</w:t>
      </w:r>
      <w:r>
        <w:br/>
      </w:r>
      <w:r>
        <w:rPr>
          <w:rStyle w:val="VerbatimChar"/>
        </w:rPr>
        <w:t xml:space="preserve">#      MS_PREVIEW=1 -- see rstudio/shiny-server.conf) at /{ver}/scores/ and</w:t>
      </w:r>
      <w:r>
        <w:br/>
      </w:r>
      <w:r>
        <w:rPr>
          <w:rStyle w:val="VerbatimChar"/>
        </w:rPr>
        <w:t xml:space="preserve">#      /{ver}/species/ -- THE VERSION IS THE PATH, so Access can hold one</w:t>
      </w:r>
      <w:r>
        <w:br/>
      </w:r>
      <w:r>
        <w:rPr>
          <w:rStyle w:val="VerbatimChar"/>
        </w:rPr>
        <w:t xml:space="preserve">#      reviewer policy per version -- the rendered books of restricted docs</w:t>
      </w:r>
      <w:r>
        <w:br/>
      </w:r>
      <w:r>
        <w:rPr>
          <w:rStyle w:val="VerbatimChar"/>
        </w:rPr>
        <w:t xml:space="preserve">#      versions at /docs/{ver}/ (docs CI publishes those to the gh-pages-preview</w:t>
      </w:r>
      <w:r>
        <w:br/>
      </w:r>
      <w:r>
        <w:rPr>
          <w:rStyle w:val="VerbatimChar"/>
        </w:rPr>
        <w:t xml:space="preserve">#      branch, cloned at /share/docs_preview by the docs-preview sidecar), and a</w:t>
      </w:r>
      <w:r>
        <w:br/>
      </w:r>
      <w:r>
        <w:rPr>
          <w:rStyle w:val="VerbatimChar"/>
        </w:rPr>
        <w:t xml:space="preserve">#      landing page.</w:t>
      </w:r>
      <w:r>
        <w:br/>
      </w:r>
      <w:r>
        <w:rPr>
          <w:rStyle w:val="VerbatimChar"/>
        </w:rPr>
        <w:t xml:space="preserve">#</w:t>
      </w:r>
      <w:r>
        <w:br/>
      </w:r>
      <w:r>
        <w:rPr>
          <w:rStyle w:val="VerbatimChar"/>
        </w:rPr>
        <w:t xml:space="preserve"># CF_ACCESS_TEAM / CF_ACCESS_AUD come from the server .env. Their DEFAULT is a</w:t>
      </w:r>
      <w:r>
        <w:br/>
      </w:r>
      <w:r>
        <w:rPr>
          <w:rStyle w:val="VerbatimChar"/>
        </w:rPr>
        <w:t xml:space="preserve"># value nothing can match, so an unconfigured deploy fails CLOSED (401 for</w:t>
      </w:r>
      <w:r>
        <w:br/>
      </w:r>
      <w:r>
        <w:rPr>
          <w:rStyle w:val="VerbatimChar"/>
        </w:rPr>
        <w:t xml:space="preserve"># everyone) rather than open. Which versions are restricted is NOT known here:</w:t>
      </w:r>
      <w:r>
        <w:br/>
      </w:r>
      <w:r>
        <w:rPr>
          <w:rStyle w:val="VerbatimChar"/>
        </w:rPr>
        <w:t xml:space="preserve"># that is `access` in versions.json, enforced by the app process's MS_PREVIEW.</w:t>
      </w:r>
      <w:r>
        <w:br/>
      </w:r>
      <w:r>
        <w:rPr>
          <w:rStyle w:val="VerbatimChar"/>
        </w:rPr>
        <w:t xml:space="preserve">preview.marinesensitivity.org {</w:t>
      </w:r>
      <w:r>
        <w:br/>
      </w:r>
      <w:r>
        <w:rPr>
          <w:rStyle w:val="VerbatimChar"/>
        </w:rPr>
        <w:t xml:space="preserve">    import access_log preview</w:t>
      </w:r>
      <w:r>
        <w:br/>
      </w:r>
      <w:r>
        <w:br/>
      </w:r>
      <w:r>
        <w:rPr>
          <w:rStyle w:val="VerbatimChar"/>
        </w:rPr>
        <w:t xml:space="preserve">    jwtauth {</w:t>
      </w:r>
      <w:r>
        <w:br/>
      </w:r>
      <w:r>
        <w:rPr>
          <w:rStyle w:val="VerbatimChar"/>
        </w:rPr>
        <w:t xml:space="preserve">        jwk_url https://{$CF_ACCESS_TEAM:unconfigured}.cloudflareaccess.com/cdn-cgi/access/certs</w:t>
      </w:r>
      <w:r>
        <w:br/>
      </w:r>
      <w:r>
        <w:rPr>
          <w:rStyle w:val="VerbatimChar"/>
        </w:rPr>
        <w:t xml:space="preserve">        from_header Cf-Access-Jwt-Assertion</w:t>
      </w:r>
      <w:r>
        <w:br/>
      </w:r>
      <w:r>
        <w:rPr>
          <w:rStyle w:val="VerbatimChar"/>
        </w:rPr>
        <w:t xml:space="preserve">        from_cookies CF_Authorization</w:t>
      </w:r>
      <w:r>
        <w:br/>
      </w:r>
      <w:r>
        <w:rPr>
          <w:rStyle w:val="VerbatimChar"/>
        </w:rPr>
        <w:t xml:space="preserve">        issuer_whitelist https://{$CF_ACCESS_TEAM:unconfigured}.cloudflareaccess.com</w:t>
      </w:r>
      <w:r>
        <w:br/>
      </w:r>
      <w:r>
        <w:rPr>
          <w:rStyle w:val="VerbatimChar"/>
        </w:rPr>
        <w:t xml:space="preserve">        audience_whitelist {$CF_ACCESS_AUD:unconfigured}</w:t>
      </w:r>
      <w:r>
        <w:br/>
      </w:r>
      <w:r>
        <w:rPr>
          <w:rStyle w:val="VerbatimChar"/>
        </w:rPr>
        <w:t xml:space="preserve">        # A HUMAN's Access JWT carries `email`; a SERVICE TOKEN's carries</w:t>
      </w:r>
      <w:r>
        <w:br/>
      </w:r>
      <w:r>
        <w:rPr>
          <w:rStyle w:val="VerbatimChar"/>
        </w:rPr>
        <w:t xml:space="preserve">        # `common_name` (its client id) and no email at all. caddy-jwt needs to</w:t>
      </w:r>
      <w:r>
        <w:br/>
      </w:r>
      <w:r>
        <w:rPr>
          <w:rStyle w:val="VerbatimChar"/>
        </w:rPr>
        <w:t xml:space="preserve">        # find one of these or it rejects the request -- which is how the release</w:t>
      </w:r>
      <w:r>
        <w:br/>
      </w:r>
      <w:r>
        <w:rPr>
          <w:rStyle w:val="VerbatimChar"/>
        </w:rPr>
        <w:t xml:space="preserve">        # notebook's own check token got a 401 from the ORIGIN after Cloudflare</w:t>
      </w:r>
      <w:r>
        <w:br/>
      </w:r>
      <w:r>
        <w:rPr>
          <w:rStyle w:val="VerbatimChar"/>
        </w:rPr>
        <w:t xml:space="preserve">        # had already admitted it. (Cloudflare rewrites `server:` on proxied</w:t>
      </w:r>
      <w:r>
        <w:br/>
      </w:r>
      <w:r>
        <w:rPr>
          <w:rStyle w:val="VerbatimChar"/>
        </w:rPr>
        <w:t xml:space="preserve">        # responses, so `server: cloudflare` on that 401 was not evidence that</w:t>
      </w:r>
      <w:r>
        <w:br/>
      </w:r>
      <w:r>
        <w:rPr>
          <w:rStyle w:val="VerbatimChar"/>
        </w:rPr>
        <w:t xml:space="preserve">        # Cloudflare produced it; the body was this vhost's own error page.)</w:t>
      </w:r>
      <w:r>
        <w:br/>
      </w:r>
      <w:r>
        <w:rPr>
          <w:rStyle w:val="VerbatimChar"/>
        </w:rPr>
        <w:t xml:space="preserve">        user_claims email common_name sub</w:t>
      </w:r>
      <w:r>
        <w:br/>
      </w:r>
      <w:r>
        <w:rPr>
          <w:rStyle w:val="VerbatimChar"/>
        </w:rPr>
        <w:t xml:space="preserve">    }</w:t>
      </w:r>
      <w:r>
        <w:br/>
      </w:r>
      <w:r>
        <w:br/>
      </w:r>
      <w:r>
        <w:rPr>
          <w:rStyle w:val="VerbatimChar"/>
        </w:rPr>
        <w:t xml:space="preserve">    # the routes themselves live in a file the functional test can import too</w:t>
      </w:r>
      <w:r>
        <w:br/>
      </w:r>
      <w:r>
        <w:rPr>
          <w:rStyle w:val="VerbatimChar"/>
        </w:rPr>
        <w:t xml:space="preserve">    # (caddy/test/run.sh) -- see it for the URL scheme: the version is the PATH</w:t>
      </w:r>
      <w:r>
        <w:br/>
      </w:r>
      <w:r>
        <w:rPr>
          <w:rStyle w:val="VerbatimChar"/>
        </w:rPr>
        <w:t xml:space="preserve">    import /etc/caddy/preview_routes.caddy</w:t>
      </w:r>
      <w:r>
        <w:br/>
      </w:r>
      <w:r>
        <w:br/>
      </w:r>
      <w:r>
        <w:rPr>
          <w:rStyle w:val="VerbatimChar"/>
        </w:rPr>
        <w:t xml:space="preserve">    # jwtauth answers a bare 401 with an EMPTY body -- a blank page in a browser,</w:t>
      </w:r>
      <w:r>
        <w:br/>
      </w:r>
      <w:r>
        <w:rPr>
          <w:rStyle w:val="VerbatimChar"/>
        </w:rPr>
        <w:t xml:space="preserve">    # indistinguishable from "broken". Say what this host is instead. (Cloudflare</w:t>
      </w:r>
      <w:r>
        <w:br/>
      </w:r>
      <w:r>
        <w:rPr>
          <w:rStyle w:val="VerbatimChar"/>
        </w:rPr>
        <w:t xml:space="preserve">    # Access intercepts before the origin, so once it is in front a human never</w:t>
      </w:r>
      <w:r>
        <w:br/>
      </w:r>
      <w:r>
        <w:rPr>
          <w:rStyle w:val="VerbatimChar"/>
        </w:rPr>
        <w:t xml:space="preserve">    # sees this; it is what a request that BYPASSED Access gets.)</w:t>
      </w:r>
      <w:r>
        <w:br/>
      </w:r>
      <w:r>
        <w:rPr>
          <w:rStyle w:val="VerbatimChar"/>
        </w:rPr>
        <w:t xml:space="preserve">    handle_errors {</w:t>
      </w:r>
      <w:r>
        <w:br/>
      </w:r>
      <w:r>
        <w:rPr>
          <w:rStyle w:val="VerbatimChar"/>
        </w:rPr>
        <w:t xml:space="preserve">        @unauth expression {http.error.status_code} == 401</w:t>
      </w:r>
      <w:r>
        <w:br/>
      </w:r>
      <w:r>
        <w:rPr>
          <w:rStyle w:val="VerbatimChar"/>
        </w:rPr>
        <w:t xml:space="preserve">        handle @unauth {</w:t>
      </w:r>
      <w:r>
        <w:br/>
      </w:r>
      <w:r>
        <w:rPr>
          <w:rStyle w:val="VerbatimChar"/>
        </w:rPr>
        <w:t xml:space="preserve">            header Content-Type "text/html; charset=utf-8"</w:t>
      </w:r>
      <w:r>
        <w:br/>
      </w:r>
      <w:r>
        <w:rPr>
          <w:rStyle w:val="VerbatimChar"/>
        </w:rPr>
        <w:t xml:space="preserve">            respond &lt;&lt;HTML</w:t>
      </w:r>
      <w:r>
        <w:br/>
      </w:r>
      <w:r>
        <w:rPr>
          <w:rStyle w:val="VerbatimChar"/>
        </w:rPr>
        <w:t xml:space="preserve">                &lt;!doctype html&gt;&lt;meta charset="utf-8"&gt;&lt;meta name="robots" content="noindex"&gt;</w:t>
      </w:r>
      <w:r>
        <w:br/>
      </w:r>
      <w:r>
        <w:rPr>
          <w:rStyle w:val="VerbatimChar"/>
        </w:rPr>
        <w:t xml:space="preserve">                &lt;title&gt;Marine Sensitivity — preview (sign-in required)&lt;/title&gt;</w:t>
      </w:r>
      <w:r>
        <w:br/>
      </w:r>
      <w:r>
        <w:rPr>
          <w:rStyle w:val="VerbatimChar"/>
        </w:rPr>
        <w:t xml:space="preserve">                &lt;style&gt;body{font:16px/1.5 system-ui,sans-serif;max-width:40rem;margin:4rem auto;padding:0 1.25rem}&lt;/style&gt;</w:t>
      </w:r>
      <w:r>
        <w:br/>
      </w:r>
      <w:r>
        <w:rPr>
          <w:rStyle w:val="VerbatimChar"/>
        </w:rPr>
        <w:t xml:space="preserve">                &lt;h1&gt;Marine Sensitivity — preview&lt;/h1&gt;</w:t>
      </w:r>
      <w:r>
        <w:br/>
      </w:r>
      <w:r>
        <w:rPr>
          <w:rStyle w:val="VerbatimChar"/>
        </w:rPr>
        <w:t xml:space="preserve">                &lt;p&gt;This host serves &lt;b&gt;restricted, pre-release&lt;/b&gt; versions of the apps and documentation</w:t>
      </w:r>
      <w:r>
        <w:br/>
      </w:r>
      <w:r>
        <w:rPr>
          <w:rStyle w:val="VerbatimChar"/>
        </w:rPr>
        <w:t xml:space="preserve">                to invited reviewers, and requires sign-in through the project's access gateway —</w:t>
      </w:r>
      <w:r>
        <w:br/>
      </w:r>
      <w:r>
        <w:rPr>
          <w:rStyle w:val="VerbatimChar"/>
        </w:rPr>
        <w:t xml:space="preserve">                which is not yet in front of this address, so nothing here can be viewed at the moment.&lt;/p&gt;</w:t>
      </w:r>
      <w:r>
        <w:br/>
      </w:r>
      <w:r>
        <w:rPr>
          <w:rStyle w:val="VerbatimChar"/>
        </w:rPr>
        <w:t xml:space="preserve">                &lt;p&gt;Public releases: &lt;a href="https://marinesensitivity.org/atlas/"&gt;the Atlas&lt;/a&gt; ·</w:t>
      </w:r>
      <w:r>
        <w:br/>
      </w:r>
      <w:r>
        <w:rPr>
          <w:rStyle w:val="VerbatimChar"/>
        </w:rPr>
        <w:t xml:space="preserve">                &lt;a href="https://marinesensitivity.org/docs/"&gt;Documentation&lt;/a&gt;.&lt;/p&gt;</w:t>
      </w:r>
      <w:r>
        <w:br/>
      </w:r>
      <w:r>
        <w:rPr>
          <w:rStyle w:val="VerbatimChar"/>
        </w:rPr>
        <w:t xml:space="preserve">                HTML 401</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shiny.oceanmetrics.io {</w:t>
      </w:r>
      <w:r>
        <w:br/>
      </w:r>
      <w:r>
        <w:rPr>
          <w:rStyle w:val="VerbatimChar"/>
        </w:rPr>
        <w:t xml:space="preserve">    import access_log shiny-oceanmetrics</w:t>
      </w:r>
      <w:r>
        <w:br/>
      </w:r>
      <w:r>
        <w:br/>
      </w:r>
      <w:r>
        <w:rPr>
          <w:rStyle w:val="VerbatimChar"/>
        </w:rPr>
        <w:t xml:space="preserve">    # same Shiny Server as app.* / shiny.marinesensitivity.org: see the Atlas cutover note there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 swagger.marinesensitivity.org {</w:t>
      </w:r>
      <w:r>
        <w:br/>
      </w:r>
      <w:r>
        <w:rPr>
          <w:rStyle w:val="VerbatimChar"/>
        </w:rPr>
        <w:t xml:space="preserve">#   reverse_proxy swagger:8080</w:t>
      </w:r>
      <w:r>
        <w:br/>
      </w:r>
      <w:r>
        <w:rPr>
          <w:rStyle w:val="VerbatimChar"/>
        </w:rPr>
        <w:t xml:space="preserve"># }</w:t>
      </w:r>
      <w:r>
        <w:br/>
      </w:r>
      <w:r>
        <w:br/>
      </w:r>
      <w:r>
        <w:rPr>
          <w:rStyle w:val="VerbatimChar"/>
        </w:rPr>
        <w:t xml:space="preserve">tile.marinesensitivity.org {</w:t>
      </w:r>
      <w:r>
        <w:br/>
      </w:r>
      <w:r>
        <w:rPr>
          <w:rStyle w:val="VerbatimChar"/>
        </w:rPr>
        <w:t xml:space="preserve">    import access_log tile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tile:7800</w:t>
      </w:r>
      <w:r>
        <w:br/>
      </w:r>
      <w:r>
        <w:rPr>
          <w:rStyle w:val="VerbatimChar"/>
        </w:rPr>
        <w:t xml:space="preserve">}</w:t>
      </w:r>
      <w:r>
        <w:br/>
      </w:r>
      <w:r>
        <w:br/>
      </w:r>
      <w:r>
        <w:rPr>
          <w:rStyle w:val="VerbatimChar"/>
        </w:rPr>
        <w:t xml:space="preserve">tilecache.marinesensitivity.org {</w:t>
      </w:r>
      <w:r>
        <w:br/>
      </w:r>
      <w:r>
        <w:rPr>
          <w:rStyle w:val="VerbatimChar"/>
        </w:rPr>
        <w:t xml:space="preserve">    import access_log 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tilecache:6081</w:t>
      </w:r>
      <w:r>
        <w:br/>
      </w:r>
      <w:r>
        <w:rPr>
          <w:rStyle w:val="VerbatimChar"/>
        </w:rPr>
        <w:t xml:space="preserve">}</w:t>
      </w:r>
      <w:r>
        <w:br/>
      </w:r>
      <w:r>
        <w:br/>
      </w:r>
      <w:r>
        <w:rPr>
          <w:rStyle w:val="VerbatimChar"/>
        </w:rPr>
        <w:t xml:space="preserve">titiler.marinesensitivity.org {</w:t>
      </w:r>
      <w:r>
        <w:br/>
      </w:r>
      <w:r>
        <w:rPr>
          <w:rStyle w:val="VerbatimChar"/>
        </w:rPr>
        <w:t xml:space="preserve">    import access_log titiler</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titiler:8000</w:t>
      </w:r>
      <w:r>
        <w:br/>
      </w:r>
      <w:r>
        <w:rPr>
          <w:rStyle w:val="VerbatimChar"/>
        </w:rPr>
        <w:t xml:space="preserve">}</w:t>
      </w:r>
      <w:r>
        <w:br/>
      </w:r>
      <w:r>
        <w:br/>
      </w:r>
      <w:r>
        <w:rPr>
          <w:rStyle w:val="VerbatimChar"/>
        </w:rPr>
        <w:t xml:space="preserve">titiler-v8.marinesensitivity.org {</w:t>
      </w:r>
      <w:r>
        <w:br/>
      </w:r>
      <w:r>
        <w:rPr>
          <w:rStyle w:val="VerbatimChar"/>
        </w:rPr>
        <w:t xml:space="preserve">    import access_log titiler-v8</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titiler-v8:8000</w:t>
      </w:r>
      <w:r>
        <w:br/>
      </w:r>
      <w:r>
        <w:rPr>
          <w:rStyle w:val="VerbatimChar"/>
        </w:rPr>
        <w:t xml:space="preserve">}</w:t>
      </w:r>
      <w:r>
        <w:br/>
      </w:r>
      <w:r>
        <w:br/>
      </w:r>
      <w:r>
        <w:rPr>
          <w:rStyle w:val="VerbatimChar"/>
        </w:rPr>
        <w:t xml:space="preserve">titilecache.marinesensitivity.org {</w:t>
      </w:r>
      <w:r>
        <w:br/>
      </w:r>
      <w:r>
        <w:rPr>
          <w:rStyle w:val="VerbatimChar"/>
        </w:rPr>
        <w:t xml:space="preserve">    import access_log titilecache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titilecache:6082</w:t>
      </w:r>
      <w:r>
        <w:br/>
      </w:r>
      <w:r>
        <w:rPr>
          <w:rStyle w:val="VerbatimChar"/>
        </w:rPr>
        <w:t xml:space="preserve">}</w:t>
      </w:r>
      <w:r>
        <w:br/>
      </w:r>
      <w:r>
        <w:br/>
      </w:r>
      <w:r>
        <w:rPr>
          <w:rStyle w:val="VerbatimChar"/>
        </w:rPr>
        <w:t xml:space="preserve">h3t.marinesensitivity.org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h3t:8889</w:t>
      </w:r>
      <w:r>
        <w:br/>
      </w:r>
      <w:r>
        <w:rPr>
          <w:rStyle w:val="VerbatimChar"/>
        </w:rPr>
        <w:t xml:space="preserve">}</w:t>
      </w:r>
      <w:r>
        <w:br/>
      </w:r>
      <w:r>
        <w:br/>
      </w:r>
      <w:r>
        <w:rPr>
          <w:rStyle w:val="VerbatimChar"/>
        </w:rPr>
        <w:t xml:space="preserve">h3tcache.marinesensitivity.org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h3tcache:6083</w:t>
      </w:r>
      <w:r>
        <w:br/>
      </w:r>
      <w:r>
        <w:rPr>
          <w:rStyle w:val="VerbatimChar"/>
        </w:rPr>
        <w:t xml:space="preserve">}</w:t>
      </w:r>
      <w:r>
        <w:br/>
      </w:r>
      <w:r>
        <w:br/>
      </w:r>
      <w:r>
        <w:rPr>
          <w:rStyle w:val="VerbatimChar"/>
        </w:rPr>
        <w:t xml:space="preserve">pmtiles.marinesensitivity.org {</w:t>
      </w:r>
      <w:r>
        <w:br/>
      </w:r>
      <w:r>
        <w:rPr>
          <w:rStyle w:val="VerbatimChar"/>
        </w:rPr>
        <w:t xml:space="preserve">    import access_log pmtiles</w:t>
      </w:r>
      <w:r>
        <w:br/>
      </w:r>
      <w:r>
        <w:rPr>
          <w:rStyle w:val="VerbatimChar"/>
        </w:rPr>
        <w:t xml:space="preserve">    import cors</w:t>
      </w:r>
      <w:r>
        <w:br/>
      </w:r>
      <w:r>
        <w:rPr>
          <w:rStyle w:val="VerbatimChar"/>
        </w:rPr>
        <w:t xml:space="preserve">    import robots_none</w:t>
      </w:r>
      <w:r>
        <w:br/>
      </w:r>
      <w:r>
        <w:rPr>
          <w:rStyle w:val="VerbatimChar"/>
        </w:rPr>
        <w:t xml:space="preserve">    import no_ai_bots /robots.txt</w:t>
      </w:r>
      <w:r>
        <w:br/>
      </w:r>
      <w:r>
        <w:br/>
      </w:r>
      <w:r>
        <w:rPr>
          <w:rStyle w:val="VerbatimChar"/>
        </w:rPr>
        <w:t xml:space="preserve">    # server-side tile decoding: ZXY + TileJSON (for QGIS, leaflet, etc.)</w:t>
      </w:r>
      <w:r>
        <w:br/>
      </w:r>
      <w:r>
        <w:rPr>
          <w:rStyle w:val="VerbatimChar"/>
        </w:rPr>
        <w:t xml:space="preserve">    handle_path /tiles/* {</w:t>
      </w:r>
      <w:r>
        <w:br/>
      </w:r>
      <w:r>
        <w:rPr>
          <w:rStyle w:val="VerbatimChar"/>
        </w:rPr>
        <w:t xml:space="preserve">        pmtiles_proxy {</w:t>
      </w:r>
      <w:r>
        <w:br/>
      </w:r>
      <w:r>
        <w:rPr>
          <w:rStyle w:val="VerbatimChar"/>
        </w:rPr>
        <w:t xml:space="preserve">            bucket file:///share/data/derived/v4/pmtiles</w:t>
      </w:r>
      <w:r>
        <w:br/>
      </w:r>
      <w:r>
        <w:rPr>
          <w:rStyle w:val="VerbatimChar"/>
        </w:rPr>
        <w:t xml:space="preserve">            # note: v3 pmtiles also available at /share/data/derived/v3/pmtiles</w:t>
      </w:r>
      <w:r>
        <w:br/>
      </w:r>
      <w:r>
        <w:rPr>
          <w:rStyle w:val="VerbatimChar"/>
        </w:rPr>
        <w:t xml:space="preserve">            cache_size 256</w:t>
      </w:r>
      <w:r>
        <w:br/>
      </w:r>
      <w:r>
        <w:rPr>
          <w:rStyle w:val="VerbatimChar"/>
        </w:rPr>
        <w:t xml:space="preserve">            public_url https://pmtiles.marinesensitivity.org/tiles</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erddap.oceanmetrics.io: the vhost lives in its own repo (oceanmetrics/erddap,</w:t>
      </w:r>
      <w:r>
        <w:br/>
      </w:r>
      <w:r>
        <w:rPr>
          <w:rStyle w:val="VerbatimChar"/>
        </w:rPr>
        <w:t xml:space="preserve"># checked out under /share/github, which this container mounts); the erddap</w:t>
      </w:r>
      <w:r>
        <w:br/>
      </w:r>
      <w:r>
        <w:rPr>
          <w:rStyle w:val="VerbatimChar"/>
        </w:rPr>
        <w:t xml:space="preserve"># compose joins this stack's `server_default` network so `erddap:8080` resolves.</w:t>
      </w:r>
      <w:r>
        <w:br/>
      </w:r>
      <w:r>
        <w:rPr>
          <w:rStyle w:val="VerbatimChar"/>
        </w:rPr>
        <w:t xml:space="preserve">import /share/github/oceanmetrics/erddap/caddy/Caddyfile.erddap</w:t>
      </w:r>
    </w:p>
    <w:bookmarkEnd w:id="387"/>
    <w:bookmarkStart w:id="407" w:name="services"/>
    <w:p>
      <w:pPr>
        <w:pStyle w:val="Heading2"/>
      </w:pPr>
      <w:r>
        <w:t xml:space="preserve">14.5 Services</w:t>
      </w:r>
    </w:p>
    <w:p>
      <w:pPr>
        <w:pStyle w:val="FirstParagraph"/>
      </w:pPr>
      <w:r>
        <w:t xml:space="preserve">The server is running the following services. Subdomains with 🔒 are internal (admin / development); others are public.</w:t>
      </w:r>
    </w:p>
    <w:bookmarkStart w:id="399" w:name="app-data-plane"/>
    <w:p>
      <w:pPr>
        <w:pStyle w:val="Heading3"/>
      </w:pPr>
      <w:r>
        <w:t xml:space="preserve">14.5.1 App + data plane</w:t>
      </w:r>
    </w:p>
    <w:p>
      <w:pPr>
        <w:numPr>
          <w:ilvl w:val="0"/>
          <w:numId w:val="1041"/>
        </w:numPr>
      </w:pPr>
      <w:r>
        <w:rPr>
          <w:b/>
          <w:bCs/>
        </w:rPr>
        <w:t xml:space="preserve">app</w:t>
      </w:r>
      <w:r>
        <w:t xml:space="preserve"> </w:t>
      </w:r>
      <w:r>
        <w:t xml:space="preserve">(</w:t>
      </w:r>
      <w:r>
        <w:rPr>
          <w:rStyle w:val="VerbatimChar"/>
        </w:rPr>
        <w:t xml:space="preserve">app.marinesensitivity.org</w:t>
      </w:r>
      <w:r>
        <w:t xml:space="preserve">) /</w:t>
      </w:r>
      <w:r>
        <w:t xml:space="preserve"> </w:t>
      </w:r>
      <w:hyperlink r:id="rId388">
        <w:r>
          <w:rPr>
            <w:rStyle w:val="Hyperlink"/>
            <w:b/>
            <w:bCs/>
          </w:rPr>
          <w:t xml:space="preserve">shiny</w:t>
        </w:r>
      </w:hyperlink>
      <w:r>
        <w:br/>
      </w:r>
      <w:r>
        <w:rPr>
          <w:i/>
          <w:iCs/>
        </w:rPr>
        <w:t xml:space="preserve">app: retired, redirects to the Atlas</w:t>
      </w:r>
      <w:r>
        <w:t xml:space="preserve"> </w:t>
      </w:r>
      <w:r>
        <w:t xml:space="preserve">— this host formerly served the two interactive Shiny applications,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from the</w:t>
      </w:r>
      <w:r>
        <w:t xml:space="preserve"> </w:t>
      </w:r>
      <w:r>
        <w:rPr>
          <w:rStyle w:val="VerbatimChar"/>
        </w:rPr>
        <w:t xml:space="preserve">rstudio</w:t>
      </w:r>
      <w:r>
        <w:t xml:space="preserve"> </w:t>
      </w:r>
      <w:r>
        <w:t xml:space="preserve">container’s Shiny Server on internal port 3838, each rendering any published release from the URL path (e.g. </w:t>
      </w:r>
      <w:r>
        <w:rPr>
          <w:rStyle w:val="VerbatimChar"/>
        </w:rPr>
        <w:t xml:space="preserve">/v8/scores/</w:t>
      </w:r>
      <w:r>
        <w:t xml:space="preserve">). Since the Atlas became the project’s application (October 2026) Caddy answers</w:t>
      </w:r>
      <w:r>
        <w:t xml:space="preserve"> </w:t>
      </w:r>
      <w:r>
        <w:rPr>
          <w:b/>
          <w:bCs/>
        </w:rPr>
        <w:t xml:space="preserve">every</w:t>
      </w:r>
      <w:r>
        <w:t xml:space="preserve"> </w:t>
      </w:r>
      <w:r>
        <w:t xml:space="preserve">URL those apps ever had with a</w:t>
      </w:r>
      <w:r>
        <w:t xml:space="preserve"> </w:t>
      </w:r>
      <w:r>
        <w:rPr>
          <w:b/>
          <w:bCs/>
        </w:rPr>
        <w:t xml:space="preserve">redirect (HTTP 302 until the retired Shiny blocks are removed; the public ones then become permanent 301s) to the equivalent Atlas view, query carried</w:t>
      </w:r>
      <w:r>
        <w:t xml:space="preserve">:</w:t>
      </w:r>
      <w:r>
        <w:t xml:space="preserve"> </w:t>
      </w:r>
      <w:r>
        <w:rPr>
          <w:rStyle w:val="VerbatimChar"/>
        </w:rPr>
        <w:t xml:space="preserve">/{ver}/scores/</w:t>
      </w:r>
      <w:r>
        <w:t xml:space="preserve"> </w:t>
      </w:r>
      <w:r>
        <w:t xml:space="preserve">and</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(a restricted release’s go to its Atlas on the review host). The bare host root</w:t>
      </w:r>
      <w:r>
        <w:t xml:space="preserve"> </w:t>
      </w:r>
      <w:r>
        <w:rPr>
          <w:rStyle w:val="VerbatimChar"/>
        </w:rPr>
        <w:t xml:space="preserve">app.marinesensitivity.org/</w:t>
      </w:r>
      <w:r>
        <w:t xml:space="preserve"> </w:t>
      </w:r>
      <w:r>
        <w:t xml:space="preserve">also goes to the Atlas. So every link printed in a published report keeps working, but the Shiny apps are no longer reachable through the proxy; their source stays in the</w:t>
      </w:r>
      <w:r>
        <w:t xml:space="preserve"> </w:t>
      </w:r>
      <w:r>
        <w:rPr>
          <w:rStyle w:val="VerbatimChar"/>
        </w:rPr>
        <w:t xml:space="preserve">apps</w:t>
      </w:r>
      <w:r>
        <w:t xml:space="preserve"> </w:t>
      </w:r>
      <w:r>
        <w:t xml:space="preserve">repository.</w:t>
      </w:r>
      <w:r>
        <w:t xml:space="preserve"> </w:t>
      </w:r>
      <w:r>
        <w:rPr>
          <w:rStyle w:val="VerbatimChar"/>
        </w:rPr>
        <w:t xml:space="preserve">shiny.marinesensitivity.org</w:t>
      </w:r>
      <w:r>
        <w:t xml:space="preserve"> </w:t>
      </w:r>
      <w:r>
        <w:t xml:space="preserve">is the same Shiny Server’s own host; its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paths redirect to the Atlas the same way, and its other apps are unchanged. The Atlas itself is a static site on GitHub Pages (</w:t>
      </w:r>
      <w:r>
        <w:rPr>
          <w:rStyle w:val="VerbatimChar"/>
        </w:rPr>
        <w:t xml:space="preserve">marinesensitivity.org/atlas/</w:t>
      </w:r>
      <w:r>
        <w:t xml:space="preserve">) and, for restricted releases,</w:t>
      </w:r>
      <w:r>
        <w:t xml:space="preserve"> </w:t>
      </w:r>
      <w:r>
        <w:rPr>
          <w:rStyle w:val="VerbatimChar"/>
        </w:rPr>
        <w:t xml:space="preserve">preview.marinesensitivity.org/{ver}/atlas/</w:t>
      </w:r>
      <w:r>
        <w:t xml:space="preserve">.</w:t>
      </w:r>
      <w:r>
        <w:br/>
      </w:r>
      <w:r>
        <w:drawing>
          <wp:inline>
            <wp:extent cx="2857500" cy="1428750"/>
            <wp:effectExtent b="0" l="0" r="0" t="0"/>
            <wp:docPr descr="" title="" id="390" name="Picture"/>
            <a:graphic>
              <a:graphicData uri="http://schemas.openxmlformats.org/drawingml/2006/picture">
                <pic:pic>
                  <pic:nvPicPr>
                    <pic:cNvPr descr="figures/server/shiny.png" id="391" name="Picture"/>
                    <pic:cNvPicPr>
                      <a:picLocks noChangeArrowheads="1" noChangeAspect="1"/>
                    </pic:cNvPicPr>
                  </pic:nvPicPr>
                  <pic:blipFill>
                    <a:blip r:embed="rId389"/>
                    <a:stretch>
                      <a:fillRect/>
                    </a:stretch>
                  </pic:blipFill>
                  <pic:spPr bwMode="auto">
                    <a:xfrm>
                      <a:off x="0" y="0"/>
                      <a:ext cx="2857500" cy="1428750"/>
                    </a:xfrm>
                    <a:prstGeom prst="rect">
                      <a:avLst/>
                    </a:prstGeom>
                    <a:noFill/>
                    <a:ln w="9525">
                      <a:noFill/>
                      <a:headEnd/>
                      <a:tailEnd/>
                    </a:ln>
                  </pic:spPr>
                </pic:pic>
              </a:graphicData>
            </a:graphic>
          </wp:inline>
        </w:drawing>
      </w:r>
      <w:r>
        <w:br/>
      </w:r>
      <w:hyperlink r:id="rId392">
        <w:r>
          <w:rPr>
            <w:rStyle w:val="Hyperlink"/>
          </w:rPr>
          <w:t xml:space="preserve">Shiny Server docs</w:t>
        </w:r>
      </w:hyperlink>
    </w:p>
    <w:p>
      <w:pPr>
        <w:numPr>
          <w:ilvl w:val="0"/>
          <w:numId w:val="1041"/>
        </w:numPr>
      </w:pPr>
      <w:hyperlink r:id="rId393">
        <w:r>
          <w:rPr>
            <w:rStyle w:val="Hyperlink"/>
            <w:b/>
            <w:bCs/>
          </w:rPr>
          <w:t xml:space="preserve">file</w:t>
        </w:r>
      </w:hyperlink>
      <w:r>
        <w:br/>
      </w:r>
      <w:r>
        <w:rPr>
          <w:i/>
          <w:iCs/>
        </w:rPr>
        <w:t xml:space="preserve">static file server for PMTiles archives, report downloads, reference GeoPackages</w:t>
      </w:r>
      <w:r>
        <w:t xml:space="preserve"> </w:t>
      </w:r>
      <w:r>
        <w:t xml:space="preserve">— served by Caddy’s</w:t>
      </w:r>
      <w:r>
        <w:t xml:space="preserve"> </w:t>
      </w:r>
      <w:r>
        <w:rPr>
          <w:rStyle w:val="VerbatimChar"/>
        </w:rPr>
        <w:t xml:space="preserve">file_server</w:t>
      </w:r>
      <w:r>
        <w:t xml:space="preserve"> </w:t>
      </w:r>
      <w:r>
        <w:t xml:space="preserve">directive directly from the</w:t>
      </w:r>
      <w:r>
        <w:t xml:space="preserve"> </w:t>
      </w:r>
      <w:r>
        <w:rPr>
          <w:rStyle w:val="VerbatimChar"/>
        </w:rPr>
        <w:t xml:space="preserve">/share</w:t>
      </w:r>
      <w:r>
        <w:t xml:space="preserve"> </w:t>
      </w:r>
      <w:r>
        <w:t xml:space="preserve">bind-mount. This replaces the old</w:t>
      </w:r>
      <w:r>
        <w:t xml:space="preserve"> </w:t>
      </w:r>
      <w:r>
        <w:rPr>
          <w:rStyle w:val="VerbatimChar"/>
        </w:rPr>
        <w:t xml:space="preserve">pg_tileserv</w:t>
      </w:r>
      <w:r>
        <w:t xml:space="preserve"> </w:t>
      </w:r>
      <w:r>
        <w:t xml:space="preserve">vector-tile path for Program Areas, Ecoregions, Planning Areas, protractions, blocks and aliquots; each layer is a single</w:t>
      </w:r>
      <w:r>
        <w:t xml:space="preserve"> </w:t>
      </w:r>
      <w:r>
        <w:rPr>
          <w:rStyle w:val="VerbatimChar"/>
        </w:rPr>
        <w:t xml:space="preserve">.pmtiles</w:t>
      </w:r>
      <w:r>
        <w:t xml:space="preserve"> </w:t>
      </w:r>
      <w:r>
        <w:t xml:space="preserve">file that the browser range-reads for only the tiles it needs. It no longer hosts the per-species range tiles (the</w:t>
      </w:r>
      <w:r>
        <w:t xml:space="preserve"> </w:t>
      </w:r>
      <w:r>
        <w:rPr>
          <w:rStyle w:val="VerbatimChar"/>
        </w:rPr>
        <w:t xml:space="preserve">pmtiles/{v8,v9}/</w:t>
      </w:r>
      <w:r>
        <w:t xml:space="preserve"> </w:t>
      </w:r>
      <w:r>
        <w:t xml:space="preserve">copies): from the asset-store migration (2026-10) those are served from the S3 store (</w:t>
      </w:r>
      <w:r>
        <w:rPr>
          <w:rStyle w:val="VerbatimChar"/>
        </w:rPr>
        <w:t xml:space="preserve">native/{ds_key}/{hash}.pmtiles</w:t>
      </w:r>
      <w:r>
        <w:t xml:space="preserve">,</w:t>
      </w:r>
      <w:r>
        <w:t xml:space="preserve"> </w:t>
      </w:r>
      <w:hyperlink w:anchor="sec-asset-store">
        <w:r>
          <w:rPr>
            <w:rStyle w:val="Hyperlink"/>
          </w:rPr>
          <w:t xml:space="preserve">Section 15.3</w:t>
        </w:r>
      </w:hyperlink>
      <w:r>
        <w:t xml:space="preserve">), which answers range requests with CORS. The file host keeps serving the zone and reference layers, report downloads and reference GeoPackages, and the species copies are retained there until the prune that follows the migration.</w:t>
      </w:r>
    </w:p>
    <w:p>
      <w:pPr>
        <w:numPr>
          <w:ilvl w:val="0"/>
          <w:numId w:val="1041"/>
        </w:numPr>
      </w:pPr>
      <w:hyperlink r:id="rId394">
        <w:r>
          <w:rPr>
            <w:rStyle w:val="Hyperlink"/>
            <w:b/>
            <w:bCs/>
          </w:rPr>
          <w:t xml:space="preserve">titiler</w:t>
        </w:r>
      </w:hyperlink>
      <w:r>
        <w:t xml:space="preserve"> </w:t>
      </w:r>
      <w:r>
        <w:t xml:space="preserve">+</w:t>
      </w:r>
      <w:r>
        <w:t xml:space="preserve"> </w:t>
      </w:r>
      <w:r>
        <w:rPr>
          <w:b/>
          <w:bCs/>
        </w:rPr>
        <w:t xml:space="preserve">titiler-v8</w:t>
      </w:r>
      <w:r>
        <w:t xml:space="preserve"> </w:t>
      </w:r>
      <w:r>
        <w:t xml:space="preserve">🟢</w:t>
      </w:r>
      <w:r>
        <w:br/>
      </w:r>
      <w:hyperlink r:id="rId304">
        <w:r>
          <w:rPr>
            <w:rStyle w:val="Hyperlink"/>
            <w:i/>
            <w:iCs/>
          </w:rPr>
          <w:t xml:space="preserve">TiTiler</w:t>
        </w:r>
      </w:hyperlink>
      <w:r>
        <w:rPr>
          <w:i/>
          <w:iCs/>
        </w:rPr>
        <w:t xml:space="preserve"> </w:t>
      </w:r>
      <w:r>
        <w:rPr>
          <w:i/>
          <w:iCs/>
        </w:rPr>
        <w:t xml:space="preserve">serving the published raster assets.</w:t>
      </w:r>
      <w:r>
        <w:br/>
      </w:r>
      <w:r>
        <w:t xml:space="preserve">Every map layer the applications draw is now a</w:t>
      </w:r>
      <w:r>
        <w:t xml:space="preserve"> </w:t>
      </w:r>
      <w:r>
        <w:rPr>
          <w:b/>
          <w:bCs/>
        </w:rPr>
        <w:t xml:space="preserve">pre-rendered Cloud-Optimized GeoTIFF</w:t>
      </w:r>
      <w:r>
        <w:t xml:space="preserve"> </w:t>
      </w:r>
      <w:r>
        <w:t xml:space="preserve">read through titiler’s stock</w:t>
      </w:r>
      <w:r>
        <w:t xml:space="preserve"> </w:t>
      </w:r>
      <w:r>
        <w:rPr>
          <w:rStyle w:val="VerbatimChar"/>
        </w:rPr>
        <w:t xml:space="preserve">/cog</w:t>
      </w:r>
      <w:r>
        <w:t xml:space="preserve"> </w:t>
      </w:r>
      <w:r>
        <w:t xml:space="preserve">routes — score surfaces per metric × subregion, and per-model distributions.</w:t>
      </w:r>
      <w:r>
        <w:t xml:space="preserve"> </w:t>
      </w:r>
      <w:r>
        <w:rPr>
          <w:rStyle w:val="VerbatimChar"/>
        </w:rPr>
        <w:t xml:space="preserve">titiler-v8</w:t>
      </w:r>
      <w:r>
        <w:t xml:space="preserve"> </w:t>
      </w:r>
      <w:r>
        <w:t xml:space="preserve">runs in parallel with the v7 instance, reading a kilobyte-sized view-only DuckDB whose</w:t>
      </w:r>
      <w:r>
        <w:t xml:space="preserve"> </w:t>
      </w:r>
      <w:r>
        <w:rPr>
          <w:rStyle w:val="VerbatimChar"/>
        </w:rPr>
        <w:t xml:space="preserve">model_cell</w:t>
      </w:r>
      <w:r>
        <w:t xml:space="preserve"> </w:t>
      </w:r>
      <w:r>
        <w:t xml:space="preserve">is a</w:t>
      </w:r>
      <w:r>
        <w:t xml:space="preserve"> </w:t>
      </w:r>
      <w:r>
        <w:rPr>
          <w:i/>
          <w:iCs/>
        </w:rPr>
        <w:t xml:space="preserve">view</w:t>
      </w:r>
      <w:r>
        <w:t xml:space="preserve"> </w:t>
      </w:r>
      <w:r>
        <w:t xml:space="preserve">over the partitioned Parquet on S3, so no multi-gigabyte database is copied to the server.</w:t>
      </w:r>
    </w:p>
    <w:p>
      <w:pPr>
        <w:numPr>
          <w:ilvl w:val="0"/>
          <w:numId w:val="1041"/>
        </w:numPr>
      </w:pPr>
      <w:r>
        <w:rPr>
          <w:b/>
          <w:bCs/>
        </w:rPr>
        <w:t xml:space="preserve">titilecache</w:t>
      </w:r>
      <w:r>
        <w:t xml:space="preserve"> </w:t>
      </w:r>
      <w:r>
        <w:t xml:space="preserve">(Varnish) 🔒</w:t>
      </w:r>
      <w:r>
        <w:br/>
      </w:r>
      <w:r>
        <w:t xml:space="preserve">Fronts the v7</w:t>
      </w:r>
      <w:r>
        <w:t xml:space="preserve"> </w:t>
      </w:r>
      <w:r>
        <w:rPr>
          <w:rStyle w:val="VerbatimChar"/>
        </w:rPr>
        <w:t xml:space="preserve">titiler</w:t>
      </w:r>
      <w:r>
        <w:t xml:space="preserve"> </w:t>
      </w:r>
      <w:r>
        <w:t xml:space="preserve">only. The v8 service is deliberately</w:t>
      </w:r>
      <w:r>
        <w:t xml:space="preserve"> </w:t>
      </w:r>
      <w:r>
        <w:rPr>
          <w:b/>
          <w:bCs/>
        </w:rPr>
        <w:t xml:space="preserve">not</w:t>
      </w:r>
      <w:r>
        <w:t xml:space="preserve"> </w:t>
      </w:r>
      <w:r>
        <w:t xml:space="preserve">proxied through it: an immutable COG is already cacheable by URL, and the one endpoint that would benefit is retired (below).</w:t>
      </w:r>
    </w:p>
    <w:p>
      <w:pPr>
        <w:numPr>
          <w:ilvl w:val="0"/>
          <w:numId w:val="1041"/>
        </w:numPr>
      </w:pPr>
      <w:hyperlink r:id="rId395">
        <w:r>
          <w:rPr>
            <w:rStyle w:val="Hyperlink"/>
            <w:b/>
            <w:bCs/>
          </w:rPr>
          <w:t xml:space="preserve">api</w:t>
        </w:r>
      </w:hyperlink>
      <w:r>
        <w:br/>
      </w:r>
      <w:r>
        <w:rPr>
          <w:i/>
          <w:iCs/>
        </w:rPr>
        <w:t xml:space="preserve">custom R</w:t>
      </w:r>
      <w:r>
        <w:rPr>
          <w:i/>
          <w:iCs/>
        </w:rPr>
        <w:t xml:space="preserve"> </w:t>
      </w:r>
      <w:hyperlink r:id="rId303">
        <w:r>
          <w:rPr>
            <w:rStyle w:val="VerbatimChar"/>
            <w:i/>
            <w:iCs/>
          </w:rPr>
          <w:t xml:space="preserve">plumber</w:t>
        </w:r>
      </w:hyperlink>
      <w:r>
        <w:rPr>
          <w:i/>
          <w:iCs/>
        </w:rPr>
        <w:t xml:space="preserve"> </w:t>
      </w:r>
      <w:r>
        <w:rPr>
          <w:i/>
          <w:iCs/>
        </w:rPr>
        <w:t xml:space="preserve">API</w:t>
      </w:r>
      <w:r>
        <w:t xml:space="preserve"> </w:t>
      </w:r>
      <w:r>
        <w:t xml:space="preserve">for programmatic access to DuckDB — see</w:t>
      </w:r>
      <w:r>
        <w:t xml:space="preserve"> </w:t>
      </w:r>
      <w:hyperlink w:anchor="sec-apis">
        <w:r>
          <w:rPr>
            <w:rStyle w:val="Hyperlink"/>
          </w:rPr>
          <w:t xml:space="preserve">Chapter 17</w:t>
        </w:r>
      </w:hyperlink>
      <w:r>
        <w:br/>
      </w:r>
      <w:r>
        <w:drawing>
          <wp:inline>
            <wp:extent cx="2857500" cy="2046839"/>
            <wp:effectExtent b="0" l="0" r="0" t="0"/>
            <wp:docPr descr="" title="" id="397" name="Picture"/>
            <a:graphic>
              <a:graphicData uri="http://schemas.openxmlformats.org/drawingml/2006/picture">
                <pic:pic>
                  <pic:nvPicPr>
                    <pic:cNvPr descr="figures/server/api.png" id="398" name="Picture"/>
                    <pic:cNvPicPr>
                      <a:picLocks noChangeArrowheads="1" noChangeAspect="1"/>
                    </pic:cNvPicPr>
                  </pic:nvPicPr>
                  <pic:blipFill>
                    <a:blip r:embed="rId396"/>
                    <a:stretch>
                      <a:fillRect/>
                    </a:stretch>
                  </pic:blipFill>
                  <pic:spPr bwMode="auto">
                    <a:xfrm>
                      <a:off x="0" y="0"/>
                      <a:ext cx="2857500" cy="2046839"/>
                    </a:xfrm>
                    <a:prstGeom prst="rect">
                      <a:avLst/>
                    </a:prstGeom>
                    <a:noFill/>
                    <a:ln w="9525">
                      <a:noFill/>
                      <a:headEnd/>
                      <a:tailEnd/>
                    </a:ln>
                  </pic:spPr>
                </pic:pic>
              </a:graphicData>
            </a:graphic>
          </wp:inline>
        </w:drawing>
      </w:r>
    </w:p>
    <w:bookmarkEnd w:id="399"/>
    <w:bookmarkStart w:id="405" w:name="admin"/>
    <w:p>
      <w:pPr>
        <w:pStyle w:val="Heading3"/>
      </w:pPr>
      <w:r>
        <w:t xml:space="preserve">14.5.2 Admin</w:t>
      </w:r>
    </w:p>
    <w:p>
      <w:pPr>
        <w:numPr>
          <w:ilvl w:val="0"/>
          <w:numId w:val="1042"/>
        </w:numPr>
      </w:pPr>
      <w:hyperlink r:id="rId400">
        <w:r>
          <w:rPr>
            <w:rStyle w:val="Hyperlink"/>
            <w:b/>
            <w:bCs/>
          </w:rPr>
          <w:t xml:space="preserve">rstudio</w:t>
        </w:r>
      </w:hyperlink>
      <w:r>
        <w:t xml:space="preserve"> </w:t>
      </w:r>
      <w:r>
        <w:t xml:space="preserve">🔒</w:t>
      </w:r>
      <w:r>
        <w:br/>
      </w:r>
      <w:r>
        <w:rPr>
          <w:i/>
          <w:iCs/>
        </w:rPr>
        <w:t xml:space="preserve">integrated development environment (IDE) to code and debug directly on the server.</w:t>
      </w:r>
      <w:r>
        <w:br/>
      </w:r>
      <w:r>
        <w:drawing>
          <wp:inline>
            <wp:extent cx="2857500" cy="1926878"/>
            <wp:effectExtent b="0" l="0" r="0" t="0"/>
            <wp:docPr descr="" title="" id="402" name="Picture"/>
            <a:graphic>
              <a:graphicData uri="http://schemas.openxmlformats.org/drawingml/2006/picture">
                <pic:pic>
                  <pic:nvPicPr>
                    <pic:cNvPr descr="figures/server/rstudio.png" id="403" name="Picture"/>
                    <pic:cNvPicPr>
                      <a:picLocks noChangeArrowheads="1" noChangeAspect="1"/>
                    </pic:cNvPicPr>
                  </pic:nvPicPr>
                  <pic:blipFill>
                    <a:blip r:embed="rId401"/>
                    <a:stretch>
                      <a:fillRect/>
                    </a:stretch>
                  </pic:blipFill>
                  <pic:spPr bwMode="auto">
                    <a:xfrm>
                      <a:off x="0" y="0"/>
                      <a:ext cx="2857500" cy="1926878"/>
                    </a:xfrm>
                    <a:prstGeom prst="rect">
                      <a:avLst/>
                    </a:prstGeom>
                    <a:noFill/>
                    <a:ln w="9525">
                      <a:noFill/>
                      <a:headEnd/>
                      <a:tailEnd/>
                    </a:ln>
                  </pic:spPr>
                </pic:pic>
              </a:graphicData>
            </a:graphic>
          </wp:inline>
        </w:drawing>
      </w:r>
      <w:r>
        <w:br/>
      </w:r>
      <w:hyperlink r:id="rId404">
        <w:r>
          <w:rPr>
            <w:rStyle w:val="Hyperlink"/>
          </w:rPr>
          <w:t xml:space="preserve">Posit RStudio Server</w:t>
        </w:r>
      </w:hyperlink>
    </w:p>
    <w:p>
      <w:pPr>
        <w:numPr>
          <w:ilvl w:val="0"/>
          <w:numId w:val="1042"/>
        </w:numPr>
      </w:pPr>
      <w:r>
        <w:rPr>
          <w:b/>
          <w:bCs/>
        </w:rPr>
        <w:t xml:space="preserve">pgadmin</w:t>
      </w:r>
      <w:r>
        <w:t xml:space="preserve"> </w:t>
      </w:r>
      <w:r>
        <w:t xml:space="preserve">🔒 —</w:t>
      </w:r>
      <w:r>
        <w:t xml:space="preserve"> </w:t>
      </w:r>
      <w:r>
        <w:rPr>
          <w:i/>
          <w:iCs/>
        </w:rPr>
        <w:t xml:space="preserve">PostgreSQL administration interface</w:t>
      </w:r>
      <w:r>
        <w:t xml:space="preserve">, commented out along with the PostgreSQL services it managed (see Retired, below).</w:t>
      </w:r>
    </w:p>
    <w:bookmarkEnd w:id="405"/>
    <w:bookmarkStart w:id="406" w:name="retired"/>
    <w:p>
      <w:pPr>
        <w:pStyle w:val="Heading3"/>
      </w:pPr>
      <w:r>
        <w:t xml:space="preserve">14.5.3 Retired</w:t>
      </w:r>
    </w:p>
    <w:p>
      <w:pPr>
        <w:numPr>
          <w:ilvl w:val="0"/>
          <w:numId w:val="1043"/>
        </w:numPr>
      </w:pPr>
      <w:r>
        <w:rPr>
          <w:b/>
          <w:bCs/>
        </w:rPr>
        <w:t xml:space="preserve">The custom</w:t>
      </w:r>
      <w:r>
        <w:rPr>
          <w:b/>
          <w:bCs/>
        </w:rPr>
        <w:t xml:space="preserve"> </w:t>
      </w:r>
      <w:r>
        <w:rPr>
          <w:rStyle w:val="VerbatimChar"/>
          <w:b/>
          <w:bCs/>
        </w:rPr>
        <w:t xml:space="preserve">/msens</w:t>
      </w:r>
      <w:r>
        <w:rPr>
          <w:b/>
          <w:bCs/>
        </w:rPr>
        <w:t xml:space="preserve"> </w:t>
      </w:r>
      <w:r>
        <w:rPr>
          <w:b/>
          <w:bCs/>
        </w:rPr>
        <w:t xml:space="preserve">tile factory</w:t>
      </w:r>
      <w:r>
        <w:t xml:space="preserve"> </w:t>
      </w:r>
      <w:r>
        <w:t xml:space="preserve">— kept in the image but</w:t>
      </w:r>
      <w:r>
        <w:t xml:space="preserve"> </w:t>
      </w:r>
      <w:r>
        <w:rPr>
          <w:b/>
          <w:bCs/>
        </w:rPr>
        <w:t xml:space="preserve">off by default</w:t>
      </w:r>
      <w:r>
        <w:t xml:space="preserve">, behind</w:t>
      </w:r>
      <w:r>
        <w:t xml:space="preserve"> </w:t>
      </w:r>
      <w:r>
        <w:rPr>
          <w:rStyle w:val="VerbatimChar"/>
        </w:rPr>
        <w:t xml:space="preserve">MSENS_FACTORY=1</w:t>
      </w:r>
      <w:r>
        <w:t xml:space="preserve">.</w:t>
      </w:r>
      <w:r>
        <w:br/>
      </w:r>
      <w:r>
        <w:t xml:space="preserve">It rendered a tile by executing a validated SELECT against DuckDB and looking the result up against a cell-id COG. Pre-rendered COGs replaced it: nothing reaches it any more, because every metric on every release now has a COG. The two paths were verified equivalent before the switch — 100 of 105 sample tiles byte-identical, the remainder differing by 3–6 pixels out of 262,144 from float32 storage. It remains available for exploratory on-the-fly queries.</w:t>
      </w:r>
    </w:p>
    <w:p>
      <w:pPr>
        <w:numPr>
          <w:ilvl w:val="0"/>
          <w:numId w:val="1043"/>
        </w:numPr>
      </w:pPr>
      <w:r>
        <w:rPr>
          <w:b/>
          <w:bCs/>
        </w:rPr>
        <w:t xml:space="preserve">postgis</w:t>
      </w:r>
      <w:r>
        <w:t xml:space="preserve">,</w:t>
      </w:r>
      <w:r>
        <w:t xml:space="preserve"> </w:t>
      </w:r>
      <w:r>
        <w:rPr>
          <w:b/>
          <w:bCs/>
        </w:rPr>
        <w:t xml:space="preserve">tile</w:t>
      </w:r>
      <w:r>
        <w:t xml:space="preserve"> </w:t>
      </w:r>
      <w:r>
        <w:t xml:space="preserve">(</w:t>
      </w:r>
      <w:r>
        <w:rPr>
          <w:rStyle w:val="VerbatimChar"/>
        </w:rPr>
        <w:t xml:space="preserve">pg_tileserv</w:t>
      </w:r>
      <w:r>
        <w:t xml:space="preserve">),</w:t>
      </w:r>
      <w:r>
        <w:t xml:space="preserve"> </w:t>
      </w:r>
      <w:r>
        <w:rPr>
          <w:b/>
          <w:bCs/>
        </w:rPr>
        <w:t xml:space="preserve">tilecache</w:t>
      </w:r>
      <w:r>
        <w:t xml:space="preserve">,</w:t>
      </w:r>
      <w:r>
        <w:t xml:space="preserve"> </w:t>
      </w:r>
      <w:r>
        <w:rPr>
          <w:b/>
          <w:bCs/>
        </w:rPr>
        <w:t xml:space="preserve">rest</w:t>
      </w:r>
      <w:r>
        <w:t xml:space="preserve"> </w:t>
      </w:r>
      <w:r>
        <w:t xml:space="preserve">(PostgREST) and</w:t>
      </w:r>
      <w:r>
        <w:t xml:space="preserve"> </w:t>
      </w:r>
      <w:r>
        <w:rPr>
          <w:b/>
          <w:bCs/>
        </w:rPr>
        <w:t xml:space="preserve">swagger</w:t>
      </w:r>
      <w:r>
        <w:t xml:space="preserve"> </w:t>
      </w:r>
      <w:r>
        <w:t xml:space="preserve">— all</w:t>
      </w:r>
      <w:r>
        <w:t xml:space="preserve"> </w:t>
      </w:r>
      <w:r>
        <w:rPr>
          <w:b/>
          <w:bCs/>
        </w:rPr>
        <w:t xml:space="preserve">commented out</w:t>
      </w:r>
      <w:r>
        <w:t xml:space="preserve"> </w:t>
      </w:r>
      <w:r>
        <w:t xml:space="preserve">in</w:t>
      </w:r>
      <w:r>
        <w:t xml:space="preserve"> </w:t>
      </w:r>
      <w:r>
        <w:rPr>
          <w:rStyle w:val="VerbatimChar"/>
        </w:rPr>
        <w:t xml:space="preserve">docker-compose.yml</w:t>
      </w:r>
      <w:r>
        <w:t xml:space="preserve"> </w:t>
      </w:r>
      <w:r>
        <w:t xml:space="preserve">and</w:t>
      </w:r>
      <w:r>
        <w:t xml:space="preserve"> </w:t>
      </w:r>
      <w:r>
        <w:rPr>
          <w:b/>
          <w:bCs/>
        </w:rPr>
        <w:t xml:space="preserve">not running</w:t>
      </w:r>
      <w:r>
        <w:t xml:space="preserve">. PostgreSQL is no longer part of any serving path; the authoritative store is DuckDB, with the published release as partitioned Parquet on S3. Vector geometry is served as static PMTiles by Caddy’s</w:t>
      </w:r>
      <w:r>
        <w:t xml:space="preserve"> </w:t>
      </w:r>
      <w:r>
        <w:rPr>
          <w:rStyle w:val="VerbatimChar"/>
        </w:rPr>
        <w:t xml:space="preserve">file</w:t>
      </w:r>
      <w:r>
        <w:t xml:space="preserve"> </w:t>
      </w:r>
      <w:r>
        <w:t xml:space="preserve">subdomain, and the</w:t>
      </w:r>
      <w:r>
        <w:t xml:space="preserve"> </w:t>
      </w:r>
      <w:r>
        <w:rPr>
          <w:rStyle w:val="VerbatimChar"/>
        </w:rPr>
        <w:t xml:space="preserve">pgadmin</w:t>
      </w:r>
      <w:r>
        <w:t xml:space="preserve"> </w:t>
      </w:r>
      <w:r>
        <w:t xml:space="preserve">entry above is likewise vestigial.</w:t>
      </w:r>
    </w:p>
    <w:p>
      <w:pPr>
        <w:pStyle w:val="FirstParagraph"/>
      </w:pPr>
      <w:r>
        <w:t xml:space="preserve"> </w:t>
      </w:r>
    </w:p>
    <w:bookmarkEnd w:id="406"/>
    <w:bookmarkEnd w:id="407"/>
    <w:bookmarkEnd w:id="408"/>
    <w:bookmarkStart w:id="443" w:name="sec-db"/>
    <w:p>
      <w:pPr>
        <w:pStyle w:val="Heading1"/>
      </w:pPr>
      <w:r>
        <w:t xml:space="preserve">15. Database</w:t>
      </w:r>
    </w:p>
    <w:p>
      <w:pPr>
        <w:pStyle w:val="FirstParagraph"/>
      </w:pPr>
      <w:r>
        <w:t xml:space="preserve">The</w:t>
      </w:r>
      <w:r>
        <w:t xml:space="preserve"> </w:t>
      </w:r>
      <w:r>
        <w:rPr>
          <w:b/>
          <w:bCs/>
        </w:rPr>
        <w:t xml:space="preserve">source of truth</w:t>
      </w:r>
      <w:r>
        <w:t xml:space="preserve"> </w:t>
      </w:r>
      <w:r>
        <w:t xml:space="preserve">for the Marine Sensitivity Toolkit is DuckDB — a columnar, embedded analytic database. It is fast enough to answer live per-cell queries while remaining a single-file artifact that can be copied, versioned and served read-only to many processes at once.</w:t>
      </w:r>
    </w:p>
    <w:p>
      <w:pPr>
        <w:pStyle w:val="BodyText"/>
      </w:pPr>
      <w:r>
        <w:t xml:space="preserve">The pipeline writes a working database (</w:t>
      </w:r>
      <w:r>
        <w:rPr>
          <w:rStyle w:val="VerbatimChar"/>
        </w:rPr>
        <w:t xml:space="preserve">sdm.duckdb</w:t>
      </w:r>
      <w:r>
        <w:t xml:space="preserve">) on the machine that runs it; a</w:t>
      </w:r>
      <w:r>
        <w:t xml:space="preserve"> </w:t>
      </w:r>
      <w:r>
        <w:rPr>
          <w:b/>
          <w:bCs/>
        </w:rPr>
        <w:t xml:space="preserve">release</w:t>
      </w:r>
      <w:r>
        <w:t xml:space="preserve"> </w:t>
      </w:r>
      <w:r>
        <w:t xml:space="preserve">is the published, immutable form of that database’s tables. Since the marine-atlas release format, each version is published as</w:t>
      </w:r>
      <w:r>
        <w:t xml:space="preserve"> </w:t>
      </w:r>
      <w:r>
        <w:rPr>
          <w:b/>
          <w:bCs/>
        </w:rPr>
        <w:t xml:space="preserve">partitioned Parquet on S3</w:t>
      </w:r>
      <w:r>
        <w:t xml:space="preserve"> </w:t>
      </w:r>
      <w:r>
        <w:t xml:space="preserve">under</w:t>
      </w:r>
      <w:r>
        <w:t xml:space="preserve"> </w:t>
      </w:r>
      <w:r>
        <w:rPr>
          <w:rStyle w:val="VerbatimChar"/>
        </w:rPr>
        <w:t xml:space="preserve">marine-atlas/{ver}/tables/</w:t>
      </w:r>
      <w:r>
        <w:t xml:space="preserve">, and serving reads it through a tiny view-only DuckDB (</w:t>
      </w:r>
      <w:r>
        <w:rPr>
          <w:rStyle w:val="VerbatimChar"/>
        </w:rPr>
        <w:t xml:space="preserve">serve.duckdb</w:t>
      </w:r>
      <w:r>
        <w:t xml:space="preserve">, kilobytes) whose tables are</w:t>
      </w:r>
      <w:r>
        <w:t xml:space="preserve"> </w:t>
      </w:r>
      <w:r>
        <w:rPr>
          <w:i/>
          <w:iCs/>
        </w:rPr>
        <w:t xml:space="preserve">views</w:t>
      </w:r>
      <w:r>
        <w:t xml:space="preserve"> </w:t>
      </w:r>
      <w:r>
        <w:t xml:space="preserve">over those files — never a multi-gigabyte copy.</w:t>
      </w:r>
    </w:p>
    <w:p>
      <w:pPr>
        <w:pStyle w:val="BodyText"/>
      </w:pPr>
      <w:r>
        <w:t xml:space="preserve">Everything below is read from the release this build documents (</w:t>
      </w:r>
      <w:r>
        <w:rPr>
          <w:b/>
          <w:bCs/>
        </w:rPr>
        <w:t xml:space="preserve">v9</w:t>
      </w:r>
      <w:r>
        <w:t xml:space="preserve">), so the tables, columns and row counts are those of that version rather than of whichever version happened to be current when the page was written.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Applications/quarto/share/formats/docx/note.png" id="41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Why DuckDB and not PostgreSQL?</w:t>
            </w:r>
            <w:r>
              <w:t xml:space="preserve"> </w:t>
            </w:r>
            <w:r>
              <w:t xml:space="preserve">Earlier versions of the stack used PostgreSQL + PostGIS as the primary store. As the analysis stabilized around a fixed 0.05° cell grid and a small set of zone layers, live geometry operations and concurrent writes stopped being needed — only fast analytic reads. DuckDB scans tens of millions of rows in well under a second with no separate server process. PostGIS is no longer part of the serving path (see</w:t>
            </w:r>
            <w:r>
              <w:t xml:space="preserve"> </w:t>
            </w:r>
            <w:hyperlink w:anchor="sec-server">
              <w:r>
                <w:rPr>
                  <w:rStyle w:val="Hyperlink"/>
                </w:rPr>
                <w:t xml:space="preserve">Chapter 14</w:t>
              </w:r>
            </w:hyperlink>
            <w:r>
              <w:t xml:space="preserve">).</w:t>
            </w:r>
          </w:p>
          <w:p/>
        </w:tc>
      </w:tr>
    </w:tbl>
    <w:bookmarkStart w:id="416" w:name="table-and-column-naming-conventions"/>
    <w:p>
      <w:pPr>
        <w:pStyle w:val="Heading2"/>
      </w:pPr>
      <w:r>
        <w:t xml:space="preserve">15.1 Table and column naming conventions</w:t>
      </w:r>
    </w:p>
    <w:p>
      <w:pPr>
        <w:pStyle w:val="Compact"/>
        <w:numPr>
          <w:ilvl w:val="0"/>
          <w:numId w:val="1044"/>
        </w:numPr>
      </w:pPr>
      <w:r>
        <w:t xml:space="preserve">Table names are singular and lower case.</w:t>
      </w:r>
    </w:p>
    <w:p>
      <w:pPr>
        <w:pStyle w:val="Compact"/>
        <w:numPr>
          <w:ilvl w:val="0"/>
          <w:numId w:val="1044"/>
        </w:numPr>
      </w:pPr>
      <w:r>
        <w:t xml:space="preserve">Unique identifier columns are suffixed with:</w:t>
      </w:r>
    </w:p>
    <w:p>
      <w:pPr>
        <w:pStyle w:val="Compact"/>
        <w:numPr>
          <w:ilvl w:val="1"/>
          <w:numId w:val="1045"/>
        </w:numPr>
      </w:pPr>
      <w:r>
        <w:rPr>
          <w:rStyle w:val="VerbatimChar"/>
        </w:rPr>
        <w:t xml:space="preserve">*_id</w:t>
      </w:r>
      <w:r>
        <w:t xml:space="preserve"> </w:t>
      </w:r>
      <w:r>
        <w:t xml:space="preserve">for unique integer keys (stable across rebuilds);</w:t>
      </w:r>
    </w:p>
    <w:p>
      <w:pPr>
        <w:pStyle w:val="Compact"/>
        <w:numPr>
          <w:ilvl w:val="1"/>
          <w:numId w:val="1045"/>
        </w:numPr>
      </w:pPr>
      <w:r>
        <w:rPr>
          <w:rStyle w:val="VerbatimChar"/>
        </w:rPr>
        <w:t xml:space="preserve">*_key</w:t>
      </w:r>
      <w:r>
        <w:t xml:space="preserve"> </w:t>
      </w:r>
      <w:r>
        <w:t xml:space="preserve">for unique string keys (human-readable and stable across releases);</w:t>
      </w:r>
    </w:p>
    <w:p>
      <w:pPr>
        <w:pStyle w:val="Compact"/>
        <w:numPr>
          <w:ilvl w:val="1"/>
          <w:numId w:val="1045"/>
        </w:numPr>
      </w:pPr>
      <w:r>
        <w:rPr>
          <w:rStyle w:val="VerbatimChar"/>
        </w:rPr>
        <w:t xml:space="preserve">*_seq</w:t>
      </w:r>
      <w:r>
        <w:t xml:space="preserve"> </w:t>
      </w:r>
      <w:r>
        <w:t xml:space="preserve">for auto-incrementing sequence integer keys (internal join keys,</w:t>
      </w:r>
      <w:r>
        <w:t xml:space="preserve"> </w:t>
      </w:r>
      <w:r>
        <w:rPr>
          <w:b/>
          <w:bCs/>
        </w:rPr>
        <w:t xml:space="preserve">not</w:t>
      </w:r>
      <w:r>
        <w:t xml:space="preserve"> </w:t>
      </w:r>
      <w:r>
        <w:t xml:space="preserve">stable across rebuilds).</w:t>
      </w:r>
    </w:p>
    <w:p>
      <w:pPr>
        <w:pStyle w:val="Compact"/>
        <w:numPr>
          <w:ilvl w:val="0"/>
          <w:numId w:val="1044"/>
        </w:numPr>
      </w:pPr>
      <w:r>
        <w:t xml:space="preserve">Column names are singular and use</w:t>
      </w:r>
      <w:r>
        <w:t xml:space="preserve"> </w:t>
      </w:r>
      <w:r>
        <w:rPr>
          <w:rStyle w:val="VerbatimChar"/>
        </w:rPr>
        <w:t xml:space="preserve">snake_case</w:t>
      </w:r>
      <w:r>
        <w:t xml:space="preserve">.</w:t>
      </w:r>
    </w:p>
    <w:p>
      <w:pPr>
        <w:pStyle w:val="Compact"/>
        <w:numPr>
          <w:ilvl w:val="0"/>
          <w:numId w:val="1044"/>
        </w:numPr>
      </w:pPr>
      <w:r>
        <w:t xml:space="preserve">Foreign keys use the singular form of the referenced table, followed by the primary-key suffix (</w:t>
      </w:r>
      <w:r>
        <w:rPr>
          <w:rStyle w:val="VerbatimChar"/>
        </w:rPr>
        <w:t xml:space="preserve">_id</w:t>
      </w:r>
      <w:r>
        <w:t xml:space="preserve">,</w:t>
      </w:r>
      <w:r>
        <w:t xml:space="preserve"> </w:t>
      </w:r>
      <w:r>
        <w:rPr>
          <w:rStyle w:val="VerbatimChar"/>
        </w:rPr>
        <w:t xml:space="preserve">_key</w:t>
      </w:r>
      <w:r>
        <w:t xml:space="preserve">, or</w:t>
      </w:r>
      <w:r>
        <w:t xml:space="preserve"> </w:t>
      </w:r>
      <w:r>
        <w:rPr>
          <w:rStyle w:val="VerbatimChar"/>
        </w:rPr>
        <w:t xml:space="preserve">_seq</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11" name="Picture"/>
                  <a:graphic>
                    <a:graphicData uri="http://schemas.openxmlformats.org/drawingml/2006/picture">
                      <pic:pic>
                        <pic:nvPicPr>
                          <pic:cNvPr descr="/Applications/quarto/share/formats/docx/important.png" id="41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value</w:t>
            </w:r>
            <w:r>
              <w:t xml:space="preserve"> </w:t>
            </w:r>
            <w:r>
              <w:t xml:space="preserve">is a reserved word in DuckDB</w:t>
            </w:r>
          </w:p>
        </w:tc>
      </w:tr>
      <w:tr>
        <w:trPr>
          <w:cantSplit/>
        </w:trPr>
        <w:tc>
          <w:tcPr>
            <w:tcMar>
              <w:top w:w="108" w:type="dxa"/>
              <w:bottom w:w="108" w:type="dxa"/>
            </w:tcMar>
          </w:tcPr>
          <w:p>
            <w:pPr>
              <w:pStyle w:val="BodyText"/>
            </w:pPr>
            <w:pPr>
              <w:spacing w:before="16" w:after="16"/>
            </w:pPr>
            <w:r>
              <w:t xml:space="preserve">Cell values are stored in a column named</w:t>
            </w:r>
            <w:r>
              <w:t xml:space="preserve"> </w:t>
            </w:r>
            <w:r>
              <w:rPr>
                <w:rStyle w:val="VerbatimChar"/>
                <w:b/>
                <w:bCs/>
              </w:rPr>
              <w:t xml:space="preserve">val</w:t>
            </w:r>
            <w:r>
              <w:t xml:space="preserve">, not</w:t>
            </w:r>
            <w:r>
              <w:t xml:space="preserve"> </w:t>
            </w:r>
            <w:r>
              <w:rPr>
                <w:rStyle w:val="VerbatimChar"/>
              </w:rPr>
              <w:t xml:space="preserve">value</w:t>
            </w:r>
            <w:r>
              <w:t xml:space="preserve">. The serving views expose</w:t>
            </w:r>
            <w:r>
              <w:t xml:space="preserve"> </w:t>
            </w:r>
            <w:r>
              <w:rPr>
                <w:rStyle w:val="VerbatimChar"/>
              </w:rPr>
              <w:t xml:space="preserve">val AS value</w:t>
            </w:r>
            <w:r>
              <w:t xml:space="preserve"> </w:t>
            </w:r>
            <w:r>
              <w:t xml:space="preserve">for backward compatibility with callers written against the older schema.</w:t>
            </w:r>
          </w:p>
          <w:p/>
        </w:tc>
      </w:tr>
    </w:tbl>
    <w:tbl>
      <w:tblPr>
        <w:tblStyle w:val="Table"/>
        <w:tblW w:type="pct" w:w="5000"/>
        <w:tblLayout w:type="fixed"/>
        <w:tblLook w:firstRow="0" w:lastRow="0" w:firstColumn="0" w:lastColumn="0" w:noHBand="0" w:noVBand="0" w:val="0000"/>
      </w:tblPr>
      <w:tblGrid>
        <w:gridCol w:w="7920"/>
      </w:tblGrid>
      <w:tr>
        <w:tc>
          <w:tcPr/>
          <w:bookmarkStart w:id="413" w:name="tbl-db-tables"/>
          <w:p>
            <w:pPr>
              <w:jc w:val="center"/>
            </w:pPr>
            <w:pPr>
              <w:jc w:val="left"/>
              <w:spacing w:before="200"/>
              <w:pStyle w:val="ImageCaption"/>
            </w:pPr>
            <w:r>
              <w:t xml:space="preserve">Table 15.1: Tables published by v9, with row counts read from the release itself.</w:t>
            </w:r>
          </w:p>
          <w:tbl>
            <w:tblPr>
              <w:tblStyle w:val="Table"/>
              <w:tblW w:type="pct" w:w="5000"/>
              <w:tblLayout w:type="fixed"/>
              <w:tblLook w:firstRow="1" w:lastRow="0" w:firstColumn="0" w:lastColumn="0" w:noHBand="0" w:noVBand="0" w:val="0020"/>
            </w:tblPr>
            <w:tblGrid>
              <w:gridCol w:w="649"/>
              <w:gridCol w:w="476"/>
              <w:gridCol w:w="6794"/>
            </w:tblGrid>
            <w:tr>
              <w:trPr>
                <w:tblHeader w:val="on"/>
              </w:trPr>
              <w:tc>
                <w:tcPr/>
                <w:p>
                  <w:pPr>
                    <w:pStyle w:val="Compact"/>
                    <w:jc w:val="left"/>
                    <w:jc w:val="center"/>
                  </w:pPr>
                  <w:r>
                    <w:t xml:space="preserve">Table</w:t>
                  </w:r>
                </w:p>
              </w:tc>
              <w:tc>
                <w:tcPr/>
                <w:p>
                  <w:pPr>
                    <w:pStyle w:val="Compact"/>
                    <w:jc w:val="right"/>
                    <w:jc w:val="center"/>
                  </w:pPr>
                  <w:r>
                    <w:t xml:space="preserve">Rows</w:t>
                  </w:r>
                </w:p>
              </w:tc>
              <w:tc>
                <w:tcPr/>
                <w:p>
                  <w:pPr>
                    <w:pStyle w:val="Compact"/>
                    <w:jc w:val="left"/>
                    <w:jc w:val="center"/>
                  </w:pPr>
                  <w:r>
                    <w:t xml:space="preserve">Purpose</w:t>
                  </w:r>
                </w:p>
              </w:tc>
            </w:tr>
            <w:tr>
              <w:tc>
                <w:tcPr/>
                <w:p>
                  <w:pPr>
                    <w:pStyle w:val="Compact"/>
                    <w:jc w:val="left"/>
                    <w:jc w:val="center"/>
                  </w:pPr>
                  <w:r>
                    <w:rPr>
                      <w:rStyle w:val="VerbatimChar"/>
                    </w:rPr>
                    <w:t xml:space="preserve">cell</w:t>
                  </w:r>
                </w:p>
              </w:tc>
              <w:tc>
                <w:tcPr/>
                <w:p>
                  <w:pPr>
                    <w:pStyle w:val="Compact"/>
                    <w:jc w:val="right"/>
                    <w:jc w:val="center"/>
                  </w:pPr>
                  <w:r>
                    <w:t xml:space="preserve">17,072,105</w:t>
                  </w:r>
                </w:p>
              </w:tc>
              <w:tc>
                <w:tcPr/>
                <w:p>
                  <w:pPr>
                    <w:pStyle w:val="Compact"/>
                    <w:jc w:val="left"/>
                    <w:jc w:val="center"/>
                  </w:pPr>
                  <w:r>
                    <w:t xml:space="preserve">Grid cells of the study area, with environmental covariates and membership flags.</w:t>
                  </w:r>
                </w:p>
              </w:tc>
            </w:tr>
            <w:tr>
              <w:tc>
                <w:tcPr/>
                <w:p>
                  <w:pPr>
                    <w:pStyle w:val="Compact"/>
                    <w:jc w:val="left"/>
                    <w:jc w:val="center"/>
                  </w:pPr>
                  <w:r>
                    <w:rPr>
                      <w:rStyle w:val="VerbatimChar"/>
                    </w:rPr>
                    <w:t xml:space="preserve">taxon</w:t>
                  </w:r>
                </w:p>
              </w:tc>
              <w:tc>
                <w:tcPr/>
                <w:p>
                  <w:pPr>
                    <w:pStyle w:val="Compact"/>
                    <w:jc w:val="right"/>
                    <w:jc w:val="center"/>
                  </w:pPr>
                  <w:r>
                    <w:t xml:space="preserve">37,067</w:t>
                  </w:r>
                </w:p>
              </w:tc>
              <w:tc>
                <w:tcPr/>
                <w:p>
                  <w:pPr>
                    <w:pStyle w:val="Compact"/>
                    <w:jc w:val="left"/>
                    <w:jc w:val="center"/>
                  </w:pPr>
                  <w:r>
                    <w:t xml:space="preserve">One row per taxon: identity, category, extinction risk and validity flags.</w:t>
                  </w:r>
                </w:p>
              </w:tc>
            </w:tr>
            <w:tr>
              <w:tc>
                <w:tcPr/>
                <w:p>
                  <w:pPr>
                    <w:pStyle w:val="Compact"/>
                    <w:jc w:val="left"/>
                    <w:jc w:val="center"/>
                  </w:pPr>
                  <w:r>
                    <w:rPr>
                      <w:rStyle w:val="VerbatimChar"/>
                    </w:rPr>
                    <w:t xml:space="preserve">model</w:t>
                  </w:r>
                </w:p>
              </w:tc>
              <w:tc>
                <w:tcPr/>
                <w:p>
                  <w:pPr>
                    <w:pStyle w:val="Compact"/>
                    <w:jc w:val="right"/>
                    <w:jc w:val="center"/>
                  </w:pPr>
                  <w:r>
                    <w:t xml:space="preserve">91,362</w:t>
                  </w:r>
                </w:p>
              </w:tc>
              <w:tc>
                <w:tcPr/>
                <w:p>
                  <w:pPr>
                    <w:pStyle w:val="Compact"/>
                    <w:jc w:val="left"/>
                    <w:jc w:val="center"/>
                  </w:pPr>
                  <w:r>
                    <w:t xml:space="preserve">Registry of every distribution model, keyed by the stable model identifier.</w:t>
                  </w:r>
                </w:p>
              </w:tc>
            </w:tr>
            <w:tr>
              <w:tc>
                <w:tcPr/>
                <w:p>
                  <w:pPr>
                    <w:pStyle w:val="Compact"/>
                    <w:jc w:val="left"/>
                    <w:jc w:val="center"/>
                  </w:pPr>
                  <w:r>
                    <w:rPr>
                      <w:rStyle w:val="VerbatimChar"/>
                    </w:rPr>
                    <w:t xml:space="preserve">metric</w:t>
                  </w:r>
                </w:p>
              </w:tc>
              <w:tc>
                <w:tcPr/>
                <w:p>
                  <w:pPr>
                    <w:pStyle w:val="Compact"/>
                    <w:jc w:val="right"/>
                    <w:jc w:val="center"/>
                  </w:pPr>
                  <w:r>
                    <w:t xml:space="preserve">41</w:t>
                  </w:r>
                </w:p>
              </w:tc>
              <w:tc>
                <w:tcPr/>
                <w:p>
                  <w:pPr>
                    <w:pStyle w:val="Compact"/>
                    <w:jc w:val="left"/>
                    <w:jc w:val="center"/>
                  </w:pPr>
                  <w:r>
                    <w:t xml:space="preserve">Metric registry: key and description for each scored quantity.</w:t>
                  </w:r>
                </w:p>
              </w:tc>
            </w:tr>
            <w:tr>
              <w:tc>
                <w:tcPr/>
                <w:p>
                  <w:pPr>
                    <w:pStyle w:val="Compact"/>
                    <w:jc w:val="left"/>
                    <w:jc w:val="center"/>
                  </w:pPr>
                  <w:r>
                    <w:rPr>
                      <w:rStyle w:val="VerbatimChar"/>
                    </w:rPr>
                    <w:t xml:space="preserve">cell_metric</w:t>
                  </w:r>
                </w:p>
              </w:tc>
              <w:tc>
                <w:tcPr/>
                <w:p>
                  <w:pPr>
                    <w:pStyle w:val="Compact"/>
                    <w:jc w:val="right"/>
                    <w:jc w:val="center"/>
                  </w:pPr>
                  <w:r>
                    <w:t xml:space="preserve">9,664,461</w:t>
                  </w:r>
                </w:p>
              </w:tc>
              <w:tc>
                <w:tcPr/>
                <w:p>
                  <w:pPr>
                    <w:pStyle w:val="Compact"/>
                    <w:jc w:val="left"/>
                    <w:jc w:val="center"/>
                  </w:pPr>
                  <w:r>
                    <w:t xml:space="preserve">Per-cell score for each metric — the surface the maps draw.</w:t>
                  </w:r>
                </w:p>
              </w:tc>
            </w:tr>
            <w:tr>
              <w:tc>
                <w:tcPr/>
                <w:p>
                  <w:pPr>
                    <w:pStyle w:val="Compact"/>
                    <w:jc w:val="left"/>
                    <w:jc w:val="center"/>
                  </w:pPr>
                  <w:r>
                    <w:rPr>
                      <w:rStyle w:val="VerbatimChar"/>
                    </w:rPr>
                    <w:t xml:space="preserve">zone</w:t>
                  </w:r>
                </w:p>
              </w:tc>
              <w:tc>
                <w:tcPr/>
                <w:p>
                  <w:pPr>
                    <w:pStyle w:val="Compact"/>
                    <w:jc w:val="right"/>
                    <w:jc w:val="center"/>
                  </w:pPr>
                  <w:r>
                    <w:t xml:space="preserve">37</w:t>
                  </w:r>
                </w:p>
              </w:tc>
              <w:tc>
                <w:tcPr/>
                <w:p>
                  <w:pPr>
                    <w:pStyle w:val="Compact"/>
                    <w:jc w:val="left"/>
                    <w:jc w:val="center"/>
                  </w:pPr>
                  <w:r>
                    <w:t xml:space="preserve">Zone registry keyed by source table, field and value, so every spatial unit shares one schema.</w:t>
                  </w:r>
                </w:p>
              </w:tc>
            </w:tr>
            <w:tr>
              <w:tc>
                <w:tcPr/>
                <w:p>
                  <w:pPr>
                    <w:pStyle w:val="Compact"/>
                    <w:jc w:val="left"/>
                    <w:jc w:val="center"/>
                  </w:pPr>
                  <w:r>
                    <w:rPr>
                      <w:rStyle w:val="VerbatimChar"/>
                    </w:rPr>
                    <w:t xml:space="preserve">zone_cell</w:t>
                  </w:r>
                </w:p>
              </w:tc>
              <w:tc>
                <w:tcPr/>
                <w:p>
                  <w:pPr>
                    <w:pStyle w:val="Compact"/>
                    <w:jc w:val="right"/>
                    <w:jc w:val="center"/>
                  </w:pPr>
                  <w:r>
                    <w:t xml:space="preserve">2,241,876</w:t>
                  </w:r>
                </w:p>
              </w:tc>
              <w:tc>
                <w:tcPr/>
                <w:p>
                  <w:pPr>
                    <w:pStyle w:val="Compact"/>
                    <w:jc w:val="left"/>
                    <w:jc w:val="center"/>
                  </w:pPr>
                  <w:r>
                    <w:t xml:space="preserve">Zone membership: which cells belong to which zone.</w:t>
                  </w:r>
                </w:p>
              </w:tc>
            </w:tr>
            <w:tr>
              <w:tc>
                <w:tcPr/>
                <w:p>
                  <w:pPr>
                    <w:pStyle w:val="Compact"/>
                    <w:jc w:val="left"/>
                    <w:jc w:val="center"/>
                  </w:pPr>
                  <w:r>
                    <w:rPr>
                      <w:rStyle w:val="VerbatimChar"/>
                    </w:rPr>
                    <w:t xml:space="preserve">zone_metric</w:t>
                  </w:r>
                </w:p>
              </w:tc>
              <w:tc>
                <w:tcPr/>
                <w:p>
                  <w:pPr>
                    <w:pStyle w:val="Compact"/>
                    <w:jc w:val="right"/>
                    <w:jc w:val="center"/>
                  </w:pPr>
                  <w:r>
                    <w:t xml:space="preserve">795</w:t>
                  </w:r>
                </w:p>
              </w:tc>
              <w:tc>
                <w:tcPr/>
                <w:p>
                  <w:pPr>
                    <w:pStyle w:val="Compact"/>
                    <w:jc w:val="left"/>
                    <w:jc w:val="center"/>
                  </w:pPr>
                  <w:r>
                    <w:t xml:space="preserve">Pre-aggregated per-zone score for each metric — what drives the choropleth.</w:t>
                  </w:r>
                </w:p>
              </w:tc>
            </w:tr>
            <w:tr>
              <w:tc>
                <w:tcPr/>
                <w:p>
                  <w:pPr>
                    <w:pStyle w:val="Compact"/>
                    <w:jc w:val="left"/>
                    <w:jc w:val="center"/>
                  </w:pPr>
                  <w:r>
                    <w:rPr>
                      <w:rStyle w:val="VerbatimChar"/>
                    </w:rPr>
                    <w:t xml:space="preserve">zone_taxon</w:t>
                  </w:r>
                </w:p>
              </w:tc>
              <w:tc>
                <w:tcPr/>
                <w:p>
                  <w:pPr>
                    <w:pStyle w:val="Compact"/>
                    <w:jc w:val="right"/>
                    <w:jc w:val="center"/>
                  </w:pPr>
                  <w:r>
                    <w:t xml:space="preserve">140,717</w:t>
                  </w:r>
                </w:p>
              </w:tc>
              <w:tc>
                <w:tcPr/>
                <w:p>
                  <w:pPr>
                    <w:pStyle w:val="Compact"/>
                    <w:jc w:val="left"/>
                    <w:jc w:val="center"/>
                  </w:pPr>
                  <w:r>
                    <w:t xml:space="preserve">Per-zone species list with each species’ contribution to the zone score.</w:t>
                  </w:r>
                </w:p>
              </w:tc>
            </w:tr>
            <w:tr>
              <w:tc>
                <w:tcPr/>
                <w:p>
                  <w:pPr>
                    <w:pStyle w:val="Compact"/>
                    <w:jc w:val="left"/>
                    <w:jc w:val="center"/>
                  </w:pPr>
                  <w:r>
                    <w:rPr>
                      <w:rStyle w:val="VerbatimChar"/>
                    </w:rPr>
                    <w:t xml:space="preserve">dataset</w:t>
                  </w:r>
                </w:p>
              </w:tc>
              <w:tc>
                <w:tcPr/>
                <w:p>
                  <w:pPr>
                    <w:pStyle w:val="Compact"/>
                    <w:jc w:val="right"/>
                    <w:jc w:val="center"/>
                  </w:pPr>
                  <w:r>
                    <w:t xml:space="preserve">13</w:t>
                  </w:r>
                </w:p>
              </w:tc>
              <w:tc>
                <w:tcPr/>
                <w:p>
                  <w:pPr>
                    <w:pStyle w:val="Compact"/>
                    <w:jc w:val="left"/>
                    <w:jc w:val="center"/>
                  </w:pPr>
                  <w:r>
                    <w:t xml:space="preserve">Source datasets, with citations, vintages and whether each fed the scores.</w:t>
                  </w:r>
                </w:p>
              </w:tc>
            </w:tr>
            <w:tr>
              <w:tc>
                <w:tcPr/>
                <w:p>
                  <w:pPr>
                    <w:pStyle w:val="Compact"/>
                    <w:jc w:val="left"/>
                    <w:jc w:val="center"/>
                  </w:pPr>
                  <w:r>
                    <w:rPr>
                      <w:rStyle w:val="VerbatimChar"/>
                    </w:rPr>
                    <w:t xml:space="preserve">taxon_model</w:t>
                  </w:r>
                </w:p>
              </w:tc>
              <w:tc>
                <w:tcPr/>
                <w:p>
                  <w:pPr>
                    <w:pStyle w:val="Compact"/>
                    <w:jc w:val="right"/>
                    <w:jc w:val="center"/>
                  </w:pPr>
                  <w:r>
                    <w:t xml:space="preserve">51,562</w:t>
                  </w:r>
                </w:p>
              </w:tc>
              <w:tc>
                <w:tcPr/>
                <w:p>
                  <w:pPr>
                    <w:pStyle w:val="Compact"/>
                    <w:jc w:val="left"/>
                    <w:jc w:val="center"/>
                  </w:pPr>
                  <w:r>
                    <w:t xml:space="preserve">Which models fed which taxon — the taxon to model relation.</w:t>
                  </w:r>
                </w:p>
              </w:tc>
            </w:tr>
            <w:tr>
              <w:tc>
                <w:tcPr/>
                <w:p>
                  <w:pPr>
                    <w:pStyle w:val="Compact"/>
                    <w:jc w:val="left"/>
                    <w:jc w:val="center"/>
                  </w:pPr>
                  <w:r>
                    <w:rPr>
                      <w:rStyle w:val="VerbatimChar"/>
                    </w:rPr>
                    <w:t xml:space="preserve">listing</w:t>
                  </w:r>
                </w:p>
              </w:tc>
              <w:tc>
                <w:tcPr/>
                <w:p>
                  <w:pPr>
                    <w:pStyle w:val="Compact"/>
                    <w:jc w:val="right"/>
                    <w:jc w:val="center"/>
                  </w:pPr>
                  <w:r>
                    <w:t xml:space="preserve">11,532</w:t>
                  </w:r>
                </w:p>
              </w:tc>
              <w:tc>
                <w:tcPr/>
                <w:p>
                  <w:pPr>
                    <w:pStyle w:val="Compact"/>
                    <w:jc w:val="left"/>
                    <w:jc w:val="center"/>
                  </w:pPr>
                  <w:r>
                    <w:t xml:space="preserve">US federal listing lookup (ESA status, MMPA and MBTA protection).</w:t>
                  </w:r>
                </w:p>
              </w:tc>
            </w:tr>
            <w:tr>
              <w:tc>
                <w:tcPr/>
                <w:p>
                  <w:pPr>
                    <w:pStyle w:val="Compact"/>
                    <w:jc w:val="left"/>
                    <w:jc w:val="center"/>
                  </w:pPr>
                  <w:r>
                    <w:rPr>
                      <w:rStyle w:val="VerbatimChar"/>
                    </w:rPr>
                    <w:t xml:space="preserve">native_asset</w:t>
                  </w:r>
                </w:p>
              </w:tc>
              <w:tc>
                <w:tcPr/>
                <w:p>
                  <w:pPr>
                    <w:pStyle w:val="Compact"/>
                    <w:jc w:val="right"/>
                    <w:jc w:val="center"/>
                  </w:pPr>
                  <w:r>
                    <w:t xml:space="preserve">93,610</w:t>
                  </w:r>
                </w:p>
              </w:tc>
              <w:tc>
                <w:tcPr/>
                <w:p>
                  <w:pPr>
                    <w:pStyle w:val="Compact"/>
                    <w:jc w:val="left"/>
                    <w:jc w:val="center"/>
                  </w:pPr>
                  <w:r>
                    <w:t xml:space="preserve">Per-release pointers from each model to its distribution files (COGs, PMTiles) in the asset store (</w:t>
                  </w:r>
                  <w:hyperlink w:anchor="sec-asset-store">
                    <w:r>
                      <w:rPr>
                        <w:rStyle w:val="Hyperlink"/>
                      </w:rPr>
                      <w:t xml:space="preserve">Section 15.3</w:t>
                    </w:r>
                  </w:hyperlink>
                  <w:r>
                    <w:t xml:space="preserve">); the Atlas reads it to draw each input.</w:t>
                  </w:r>
                </w:p>
              </w:tc>
            </w:tr>
          </w:tbl>
          <w:bookmarkEnd w:id="413"/>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Applications/quarto/share/formats/docx/note.png" id="4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 published by v9</w:t>
            </w:r>
          </w:p>
        </w:tc>
      </w:tr>
      <w:tr>
        <w:trPr>
          <w:cantSplit/>
        </w:trPr>
        <w:tc>
          <w:tcPr>
            <w:tcMar>
              <w:top w:w="108" w:type="dxa"/>
              <w:bottom w:w="108" w:type="dxa"/>
            </w:tcMar>
          </w:tcPr>
          <w:p>
            <w:pPr>
              <w:pStyle w:val="BodyText"/>
            </w:pPr>
            <w:pPr>
              <w:spacing w:before="16" w:after="16"/>
            </w:pPr>
            <w:r>
              <w:rPr>
                <w:rStyle w:val="VerbatimChar"/>
              </w:rPr>
              <w:t xml:space="preserve">model_asset</w:t>
            </w:r>
            <w:r>
              <w:t xml:space="preserve">. Sections that depend on these are omitted from this build rather than described from another release.</w:t>
            </w:r>
          </w:p>
          <w:p/>
        </w:tc>
      </w:tr>
    </w:tbl>
    <w:bookmarkEnd w:id="416"/>
    <w:bookmarkStart w:id="430" w:name="schema"/>
    <w:p>
      <w:pPr>
        <w:pStyle w:val="Heading2"/>
      </w:pPr>
      <w:r>
        <w:t xml:space="preserve">15.2 Schema</w:t>
      </w:r>
    </w:p>
    <w:p>
      <w:pPr>
        <w:pStyle w:val="FirstParagraph"/>
      </w:pPr>
      <w:r>
        <w:t xml:space="preserve">The columns of each published table, read from the release:</w:t>
      </w:r>
    </w:p>
    <w:bookmarkStart w:id="417" w:name="cell"/>
    <w:p>
      <w:pPr>
        <w:pStyle w:val="Heading3"/>
      </w:pPr>
      <w:r>
        <w:t xml:space="preserve">15.2.1</w:t>
      </w:r>
      <w:r>
        <w:t xml:space="preserve"> </w:t>
      </w:r>
      <w:r>
        <w:rPr>
          <w:rStyle w:val="VerbatimChar"/>
        </w:rPr>
        <w:t xml:space="preserve">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lon</w:t>
            </w:r>
          </w:p>
        </w:tc>
        <w:tc>
          <w:tcPr/>
          <w:p>
            <w:pPr>
              <w:pStyle w:val="Compact"/>
              <w:jc w:val="left"/>
            </w:pPr>
            <w:r>
              <w:t xml:space="preserve">DOUBLE</w:t>
            </w:r>
          </w:p>
        </w:tc>
      </w:tr>
      <w:tr>
        <w:tc>
          <w:tcPr/>
          <w:p>
            <w:pPr>
              <w:pStyle w:val="Compact"/>
              <w:jc w:val="left"/>
            </w:pPr>
            <w:r>
              <w:t xml:space="preserve">lat</w:t>
            </w:r>
          </w:p>
        </w:tc>
        <w:tc>
          <w:tcPr/>
          <w:p>
            <w:pPr>
              <w:pStyle w:val="Compact"/>
              <w:jc w:val="left"/>
            </w:pPr>
            <w:r>
              <w:t xml:space="preserve">DOUBLE</w:t>
            </w:r>
          </w:p>
        </w:tc>
      </w:tr>
      <w:tr>
        <w:tc>
          <w:tcPr/>
          <w:p>
            <w:pPr>
              <w:pStyle w:val="Compact"/>
              <w:jc w:val="left"/>
            </w:pPr>
            <w:r>
              <w:t xml:space="preserve">depth_mean</w:t>
            </w:r>
          </w:p>
        </w:tc>
        <w:tc>
          <w:tcPr/>
          <w:p>
            <w:pPr>
              <w:pStyle w:val="Compact"/>
              <w:jc w:val="left"/>
            </w:pPr>
            <w:r>
              <w:t xml:space="preserve">DOUBLE</w:t>
            </w:r>
          </w:p>
        </w:tc>
      </w:tr>
      <w:tr>
        <w:tc>
          <w:tcPr/>
          <w:p>
            <w:pPr>
              <w:pStyle w:val="Compact"/>
              <w:jc w:val="left"/>
            </w:pPr>
            <w:r>
              <w:t xml:space="preserve">depth_min</w:t>
            </w:r>
          </w:p>
        </w:tc>
        <w:tc>
          <w:tcPr/>
          <w:p>
            <w:pPr>
              <w:pStyle w:val="Compact"/>
              <w:jc w:val="left"/>
            </w:pPr>
            <w:r>
              <w:t xml:space="preserve">DOUBLE</w:t>
            </w:r>
          </w:p>
        </w:tc>
      </w:tr>
      <w:tr>
        <w:tc>
          <w:tcPr/>
          <w:p>
            <w:pPr>
              <w:pStyle w:val="Compact"/>
              <w:jc w:val="left"/>
            </w:pPr>
            <w:r>
              <w:t xml:space="preserve">depth_max</w:t>
            </w:r>
          </w:p>
        </w:tc>
        <w:tc>
          <w:tcPr/>
          <w:p>
            <w:pPr>
              <w:pStyle w:val="Compact"/>
              <w:jc w:val="left"/>
            </w:pPr>
            <w:r>
              <w:t xml:space="preserve">DOUBLE</w:t>
            </w:r>
          </w:p>
        </w:tc>
      </w:tr>
      <w:tr>
        <w:tc>
          <w:tcPr/>
          <w:p>
            <w:pPr>
              <w:pStyle w:val="Compact"/>
              <w:jc w:val="left"/>
            </w:pPr>
            <w:r>
              <w:t xml:space="preserve">oxy_b_mean</w:t>
            </w:r>
          </w:p>
        </w:tc>
        <w:tc>
          <w:tcPr/>
          <w:p>
            <w:pPr>
              <w:pStyle w:val="Compact"/>
              <w:jc w:val="left"/>
            </w:pPr>
            <w:r>
              <w:t xml:space="preserve">DOUBLE</w:t>
            </w:r>
          </w:p>
        </w:tc>
      </w:tr>
      <w:tr>
        <w:tc>
          <w:tcPr/>
          <w:p>
            <w:pPr>
              <w:pStyle w:val="Compact"/>
              <w:jc w:val="left"/>
            </w:pPr>
            <w:r>
              <w:t xml:space="preserve">oxy_mean</w:t>
            </w:r>
          </w:p>
        </w:tc>
        <w:tc>
          <w:tcPr/>
          <w:p>
            <w:pPr>
              <w:pStyle w:val="Compact"/>
              <w:jc w:val="left"/>
            </w:pPr>
            <w:r>
              <w:t xml:space="preserve">DOUBLE</w:t>
            </w:r>
          </w:p>
        </w:tc>
      </w:tr>
      <w:tr>
        <w:tc>
          <w:tcPr/>
          <w:p>
            <w:pPr>
              <w:pStyle w:val="Compact"/>
              <w:jc w:val="left"/>
            </w:pPr>
            <w:r>
              <w:t xml:space="preserve">prim_prod_mean</w:t>
            </w:r>
          </w:p>
        </w:tc>
        <w:tc>
          <w:tcPr/>
          <w:p>
            <w:pPr>
              <w:pStyle w:val="Compact"/>
              <w:jc w:val="left"/>
            </w:pPr>
            <w:r>
              <w:t xml:space="preserve">DOUBLE</w:t>
            </w:r>
          </w:p>
        </w:tc>
      </w:tr>
      <w:tr>
        <w:tc>
          <w:tcPr/>
          <w:p>
            <w:pPr>
              <w:pStyle w:val="Compact"/>
              <w:jc w:val="left"/>
            </w:pPr>
            <w:r>
              <w:t xml:space="preserve">ice_con_ann</w:t>
            </w:r>
          </w:p>
        </w:tc>
        <w:tc>
          <w:tcPr/>
          <w:p>
            <w:pPr>
              <w:pStyle w:val="Compact"/>
              <w:jc w:val="left"/>
            </w:pPr>
            <w:r>
              <w:t xml:space="preserve">DOUBLE</w:t>
            </w:r>
          </w:p>
        </w:tc>
      </w:tr>
      <w:tr>
        <w:tc>
          <w:tcPr/>
          <w:p>
            <w:pPr>
              <w:pStyle w:val="Compact"/>
              <w:jc w:val="left"/>
            </w:pPr>
            <w:r>
              <w:t xml:space="preserve">salinity_b_mean</w:t>
            </w:r>
          </w:p>
        </w:tc>
        <w:tc>
          <w:tcPr/>
          <w:p>
            <w:pPr>
              <w:pStyle w:val="Compact"/>
              <w:jc w:val="left"/>
            </w:pPr>
            <w:r>
              <w:t xml:space="preserve">DOUBLE</w:t>
            </w:r>
          </w:p>
        </w:tc>
      </w:tr>
      <w:tr>
        <w:tc>
          <w:tcPr/>
          <w:p>
            <w:pPr>
              <w:pStyle w:val="Compact"/>
              <w:jc w:val="left"/>
            </w:pPr>
            <w:r>
              <w:t xml:space="preserve">salinity_mean</w:t>
            </w:r>
          </w:p>
        </w:tc>
        <w:tc>
          <w:tcPr/>
          <w:p>
            <w:pPr>
              <w:pStyle w:val="Compact"/>
              <w:jc w:val="left"/>
            </w:pPr>
            <w:r>
              <w:t xml:space="preserve">DOUBLE</w:t>
            </w:r>
          </w:p>
        </w:tc>
      </w:tr>
      <w:tr>
        <w:tc>
          <w:tcPr/>
          <w:p>
            <w:pPr>
              <w:pStyle w:val="Compact"/>
              <w:jc w:val="left"/>
            </w:pPr>
            <w:r>
              <w:t xml:space="preserve">sbt_an_mean</w:t>
            </w:r>
          </w:p>
        </w:tc>
        <w:tc>
          <w:tcPr/>
          <w:p>
            <w:pPr>
              <w:pStyle w:val="Compact"/>
              <w:jc w:val="left"/>
            </w:pPr>
            <w:r>
              <w:t xml:space="preserve">DOUBLE</w:t>
            </w:r>
          </w:p>
        </w:tc>
      </w:tr>
      <w:tr>
        <w:tc>
          <w:tcPr/>
          <w:p>
            <w:pPr>
              <w:pStyle w:val="Compact"/>
              <w:jc w:val="left"/>
            </w:pPr>
            <w:r>
              <w:t xml:space="preserve">sst_an_mean</w:t>
            </w:r>
          </w:p>
        </w:tc>
        <w:tc>
          <w:tcPr/>
          <w:p>
            <w:pPr>
              <w:pStyle w:val="Compact"/>
              <w:jc w:val="left"/>
            </w:pPr>
            <w:r>
              <w:t xml:space="preserve">DOUBLE</w:t>
            </w:r>
          </w:p>
        </w:tc>
      </w:tr>
      <w:tr>
        <w:tc>
          <w:tcPr/>
          <w:p>
            <w:pPr>
              <w:pStyle w:val="Compact"/>
              <w:jc w:val="left"/>
            </w:pPr>
            <w:r>
              <w:t xml:space="preserve">fao_area_m</w:t>
            </w:r>
          </w:p>
        </w:tc>
        <w:tc>
          <w:tcPr/>
          <w:p>
            <w:pPr>
              <w:pStyle w:val="Compact"/>
              <w:jc w:val="left"/>
            </w:pPr>
            <w:r>
              <w:t xml:space="preserve">DOUBLE</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in_usa</w:t>
            </w:r>
          </w:p>
        </w:tc>
        <w:tc>
          <w:tcPr/>
          <w:p>
            <w:pPr>
              <w:pStyle w:val="Compact"/>
              <w:jc w:val="left"/>
            </w:pPr>
            <w:r>
              <w:t xml:space="preserve">BOOLEAN</w:t>
            </w:r>
          </w:p>
        </w:tc>
      </w:tr>
      <w:tr>
        <w:tc>
          <w:tcPr/>
          <w:p>
            <w:pPr>
              <w:pStyle w:val="Compact"/>
              <w:jc w:val="left"/>
            </w:pPr>
            <w:r>
              <w:t xml:space="preserve">in_pra</w:t>
            </w:r>
          </w:p>
        </w:tc>
        <w:tc>
          <w:tcPr/>
          <w:p>
            <w:pPr>
              <w:pStyle w:val="Compact"/>
              <w:jc w:val="left"/>
            </w:pPr>
            <w:r>
              <w:t xml:space="preserve">BOOLEAN</w:t>
            </w:r>
          </w:p>
        </w:tc>
      </w:tr>
    </w:tbl>
    <w:bookmarkEnd w:id="417"/>
    <w:bookmarkStart w:id="418" w:name="taxon"/>
    <w:p>
      <w:pPr>
        <w:pStyle w:val="Heading3"/>
      </w:pPr>
      <w:r>
        <w:t xml:space="preserve">15.2.2</w:t>
      </w:r>
      <w:r>
        <w:t xml:space="preserve"> </w:t>
      </w:r>
      <w:r>
        <w:rPr>
          <w:rStyle w:val="VerbatimChar"/>
        </w:rPr>
        <w:t xml:space="preserve">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VARCHAR</w:t>
            </w:r>
          </w:p>
        </w:tc>
      </w:tr>
      <w:tr>
        <w:tc>
          <w:tcPr/>
          <w:p>
            <w:pPr>
              <w:pStyle w:val="Compact"/>
              <w:jc w:val="left"/>
            </w:pPr>
            <w:r>
              <w:t xml:space="preserve">ms_merge_key</w:t>
            </w:r>
          </w:p>
        </w:tc>
        <w:tc>
          <w:tcPr/>
          <w:p>
            <w:pPr>
              <w:pStyle w:val="Compact"/>
              <w:jc w:val="left"/>
            </w:pPr>
            <w:r>
              <w:t xml:space="preserve">VARCHAR</w:t>
            </w:r>
          </w:p>
        </w:tc>
      </w:tr>
      <w:tr>
        <w:tc>
          <w:tcPr/>
          <w:p>
            <w:pPr>
              <w:pStyle w:val="Compact"/>
              <w:jc w:val="left"/>
            </w:pPr>
            <w:r>
              <w:t xml:space="preserve">scientific_name</w:t>
            </w:r>
          </w:p>
        </w:tc>
        <w:tc>
          <w:tcPr/>
          <w:p>
            <w:pPr>
              <w:pStyle w:val="Compact"/>
              <w:jc w:val="left"/>
            </w:pPr>
            <w:r>
              <w:t xml:space="preserve">VARCHAR</w:t>
            </w:r>
          </w:p>
        </w:tc>
      </w:tr>
      <w:tr>
        <w:tc>
          <w:tcPr/>
          <w:p>
            <w:pPr>
              <w:pStyle w:val="Compact"/>
              <w:jc w:val="left"/>
            </w:pPr>
            <w:r>
              <w:t xml:space="preserve">iucn_code</w:t>
            </w:r>
          </w:p>
        </w:tc>
        <w:tc>
          <w:tcPr/>
          <w:p>
            <w:pPr>
              <w:pStyle w:val="Compact"/>
              <w:jc w:val="left"/>
            </w:pPr>
            <w:r>
              <w:t xml:space="preserve">VARCHAR</w:t>
            </w:r>
          </w:p>
        </w:tc>
      </w:tr>
      <w:tr>
        <w:tc>
          <w:tcPr/>
          <w:p>
            <w:pPr>
              <w:pStyle w:val="Compact"/>
              <w:jc w:val="left"/>
            </w:pPr>
            <w:r>
              <w:t xml:space="preserve">n_models</w:t>
            </w:r>
          </w:p>
        </w:tc>
        <w:tc>
          <w:tcPr/>
          <w:p>
            <w:pPr>
              <w:pStyle w:val="Compact"/>
              <w:jc w:val="left"/>
            </w:pPr>
            <w:r>
              <w:t xml:space="preserve">INTEGER</w:t>
            </w:r>
          </w:p>
        </w:tc>
      </w:tr>
      <w:tr>
        <w:tc>
          <w:tcPr/>
          <w:p>
            <w:pPr>
              <w:pStyle w:val="Compact"/>
              <w:jc w:val="left"/>
            </w:pPr>
            <w:r>
              <w:t xml:space="preserve">n_datasets</w:t>
            </w:r>
          </w:p>
        </w:tc>
        <w:tc>
          <w:tcPr/>
          <w:p>
            <w:pPr>
              <w:pStyle w:val="Compact"/>
              <w:jc w:val="left"/>
            </w:pPr>
            <w:r>
              <w:t xml:space="preserve">INTEGER</w:t>
            </w:r>
          </w:p>
        </w:tc>
      </w:tr>
      <w:tr>
        <w:tc>
          <w:tcPr/>
          <w:p>
            <w:pPr>
              <w:pStyle w:val="Compact"/>
              <w:jc w:val="left"/>
            </w:pPr>
            <w:r>
              <w:t xml:space="preserve">worms_is_marine</w:t>
            </w:r>
          </w:p>
        </w:tc>
        <w:tc>
          <w:tcPr/>
          <w:p>
            <w:pPr>
              <w:pStyle w:val="Compact"/>
              <w:jc w:val="left"/>
            </w:pPr>
            <w:r>
              <w:t xml:space="preserve">BOOLEAN</w:t>
            </w:r>
          </w:p>
        </w:tc>
      </w:tr>
      <w:tr>
        <w:tc>
          <w:tcPr/>
          <w:p>
            <w:pPr>
              <w:pStyle w:val="Compact"/>
              <w:jc w:val="left"/>
            </w:pPr>
            <w:r>
              <w:t xml:space="preserve">worms_is_extinct</w:t>
            </w:r>
          </w:p>
        </w:tc>
        <w:tc>
          <w:tcPr/>
          <w:p>
            <w:pPr>
              <w:pStyle w:val="Compact"/>
              <w:jc w:val="left"/>
            </w:pPr>
            <w:r>
              <w:t xml:space="preserve">BOOLEAN</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n_cells</w:t>
            </w:r>
          </w:p>
        </w:tc>
        <w:tc>
          <w:tcPr/>
          <w:p>
            <w:pPr>
              <w:pStyle w:val="Compact"/>
              <w:jc w:val="left"/>
            </w:pPr>
            <w:r>
              <w:t xml:space="preserve">BIGINT</w:t>
            </w:r>
          </w:p>
        </w:tc>
      </w:tr>
      <w:tr>
        <w:tc>
          <w:tcPr/>
          <w:p>
            <w:pPr>
              <w:pStyle w:val="Compact"/>
              <w:jc w:val="left"/>
            </w:pPr>
            <w:r>
              <w:t xml:space="preserve">n_ocean</w:t>
            </w:r>
          </w:p>
        </w:tc>
        <w:tc>
          <w:tcPr/>
          <w:p>
            <w:pPr>
              <w:pStyle w:val="Compact"/>
              <w:jc w:val="left"/>
            </w:pPr>
            <w:r>
              <w:t xml:space="preserve">BIGINT</w:t>
            </w:r>
          </w:p>
        </w:tc>
      </w:tr>
      <w:tr>
        <w:tc>
          <w:tcPr/>
          <w:p>
            <w:pPr>
              <w:pStyle w:val="Compact"/>
              <w:jc w:val="left"/>
            </w:pPr>
            <w:r>
              <w:t xml:space="preserve">n_usa</w:t>
            </w:r>
          </w:p>
        </w:tc>
        <w:tc>
          <w:tcPr/>
          <w:p>
            <w:pPr>
              <w:pStyle w:val="Compact"/>
              <w:jc w:val="left"/>
            </w:pPr>
            <w:r>
              <w:t xml:space="preserve">BIGINT</w:t>
            </w:r>
          </w:p>
        </w:tc>
      </w:tr>
      <w:tr>
        <w:tc>
          <w:tcPr/>
          <w:p>
            <w:pPr>
              <w:pStyle w:val="Compact"/>
              <w:jc w:val="left"/>
            </w:pPr>
            <w:r>
              <w:t xml:space="preserve">n_pra</w:t>
            </w:r>
          </w:p>
        </w:tc>
        <w:tc>
          <w:tcPr/>
          <w:p>
            <w:pPr>
              <w:pStyle w:val="Compact"/>
              <w:jc w:val="left"/>
            </w:pPr>
            <w:r>
              <w:t xml:space="preserve">BIGINT</w:t>
            </w:r>
          </w:p>
        </w:tc>
      </w:tr>
      <w:tr>
        <w:tc>
          <w:tcPr/>
          <w:p>
            <w:pPr>
              <w:pStyle w:val="Compact"/>
              <w:jc w:val="left"/>
            </w:pPr>
            <w:r>
              <w:t xml:space="preserve">range_km2</w:t>
            </w:r>
          </w:p>
        </w:tc>
        <w:tc>
          <w:tcPr/>
          <w:p>
            <w:pPr>
              <w:pStyle w:val="Compact"/>
              <w:jc w:val="left"/>
            </w:pPr>
            <w:r>
              <w:t xml:space="preserve">DOUBLE</w:t>
            </w:r>
          </w:p>
        </w:tc>
      </w:tr>
      <w:tr>
        <w:tc>
          <w:tcPr/>
          <w:p>
            <w:pPr>
              <w:pStyle w:val="Compact"/>
              <w:jc w:val="left"/>
            </w:pPr>
            <w:r>
              <w:t xml:space="preserve">range_usa_km2</w:t>
            </w:r>
          </w:p>
        </w:tc>
        <w:tc>
          <w:tcPr/>
          <w:p>
            <w:pPr>
              <w:pStyle w:val="Compact"/>
              <w:jc w:val="left"/>
            </w:pPr>
            <w:r>
              <w:t xml:space="preserve">DOUBLE</w:t>
            </w:r>
          </w:p>
        </w:tc>
      </w:tr>
      <w:tr>
        <w:tc>
          <w:tcPr/>
          <w:p>
            <w:pPr>
              <w:pStyle w:val="Compact"/>
              <w:jc w:val="left"/>
            </w:pPr>
            <w:r>
              <w:t xml:space="preserve">n_global</w:t>
            </w:r>
          </w:p>
        </w:tc>
        <w:tc>
          <w:tcPr/>
          <w:p>
            <w:pPr>
              <w:pStyle w:val="Compact"/>
              <w:jc w:val="left"/>
            </w:pPr>
            <w:r>
              <w:t xml:space="preserve">BIGINT</w:t>
            </w:r>
          </w:p>
        </w:tc>
      </w:tr>
      <w:tr>
        <w:tc>
          <w:tcPr/>
          <w:p>
            <w:pPr>
              <w:pStyle w:val="Compact"/>
              <w:jc w:val="left"/>
            </w:pPr>
            <w:r>
              <w:t xml:space="preserve">is_valid_global</w:t>
            </w:r>
          </w:p>
        </w:tc>
        <w:tc>
          <w:tcPr/>
          <w:p>
            <w:pPr>
              <w:pStyle w:val="Compact"/>
              <w:jc w:val="left"/>
            </w:pPr>
            <w:r>
              <w:t xml:space="preserve">BOOLEAN</w:t>
            </w:r>
          </w:p>
        </w:tc>
      </w:tr>
      <w:tr>
        <w:tc>
          <w:tcPr/>
          <w:p>
            <w:pPr>
              <w:pStyle w:val="Compact"/>
              <w:jc w:val="left"/>
            </w:pPr>
            <w:r>
              <w:t xml:space="preserve">is_valid_usa</w:t>
            </w:r>
          </w:p>
        </w:tc>
        <w:tc>
          <w:tcPr/>
          <w:p>
            <w:pPr>
              <w:pStyle w:val="Compact"/>
              <w:jc w:val="left"/>
            </w:pPr>
            <w:r>
              <w:t xml:space="preserve">BOOLEAN</w:t>
            </w:r>
          </w:p>
        </w:tc>
      </w:tr>
      <w:tr>
        <w:tc>
          <w:tcPr/>
          <w:p>
            <w:pPr>
              <w:pStyle w:val="Compact"/>
              <w:jc w:val="left"/>
            </w:pPr>
            <w:r>
              <w:t xml:space="preserve">is_valid_pra</w:t>
            </w:r>
          </w:p>
        </w:tc>
        <w:tc>
          <w:tcPr/>
          <w:p>
            <w:pPr>
              <w:pStyle w:val="Compact"/>
              <w:jc w:val="left"/>
            </w:pPr>
            <w:r>
              <w:t xml:space="preserve">BOOLEAN</w:t>
            </w:r>
          </w:p>
        </w:tc>
      </w:tr>
      <w:tr>
        <w:tc>
          <w:tcPr/>
          <w:p>
            <w:pPr>
              <w:pStyle w:val="Compact"/>
              <w:jc w:val="left"/>
            </w:pPr>
            <w:r>
              <w:t xml:space="preserve">pct_marine</w:t>
            </w:r>
          </w:p>
        </w:tc>
        <w:tc>
          <w:tcPr/>
          <w:p>
            <w:pPr>
              <w:pStyle w:val="Compact"/>
              <w:jc w:val="left"/>
            </w:pPr>
            <w:r>
              <w:t xml:space="preserve">DOUBLE</w:t>
            </w:r>
          </w:p>
        </w:tc>
      </w:tr>
      <w:tr>
        <w:tc>
          <w:tcPr/>
          <w:p>
            <w:pPr>
              <w:pStyle w:val="Compact"/>
              <w:jc w:val="left"/>
            </w:pPr>
            <w:r>
              <w:t xml:space="preserve">us_endemism</w:t>
            </w:r>
          </w:p>
        </w:tc>
        <w:tc>
          <w:tcPr/>
          <w:p>
            <w:pPr>
              <w:pStyle w:val="Compact"/>
              <w:jc w:val="left"/>
            </w:pPr>
            <w:r>
              <w:t xml:space="preserve">DOUBLE</w:t>
            </w:r>
          </w:p>
        </w:tc>
      </w:tr>
      <w:tr>
        <w:tc>
          <w:tcPr/>
          <w:p>
            <w:pPr>
              <w:pStyle w:val="Compact"/>
              <w:jc w:val="left"/>
            </w:pPr>
            <w:r>
              <w:t xml:space="preserve">rarity</w:t>
            </w:r>
          </w:p>
        </w:tc>
        <w:tc>
          <w:tcPr/>
          <w:p>
            <w:pPr>
              <w:pStyle w:val="Compact"/>
              <w:jc w:val="left"/>
            </w:pPr>
            <w:r>
              <w:t xml:space="preserve">VARCHAR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is_marine</w:t>
            </w:r>
          </w:p>
        </w:tc>
        <w:tc>
          <w:tcPr/>
          <w:p>
            <w:pPr>
              <w:pStyle w:val="Compact"/>
              <w:jc w:val="left"/>
            </w:pPr>
            <w:r>
              <w:t xml:space="preserve">BOOLEAN</w:t>
            </w:r>
          </w:p>
        </w:tc>
      </w:tr>
      <w:tr>
        <w:tc>
          <w:tcPr/>
          <w:p>
            <w:pPr>
              <w:pStyle w:val="Compact"/>
              <w:jc w:val="left"/>
            </w:pPr>
            <w:r>
              <w:t xml:space="preserve">pct_marine_bl</w:t>
            </w:r>
          </w:p>
        </w:tc>
        <w:tc>
          <w:tcPr/>
          <w:p>
            <w:pPr>
              <w:pStyle w:val="Compact"/>
              <w:jc w:val="left"/>
            </w:pPr>
            <w:r>
              <w:t xml:space="preserve">DOUBLE</w:t>
            </w:r>
          </w:p>
        </w:tc>
      </w:tr>
      <w:tr>
        <w:tc>
          <w:tcPr/>
          <w:p>
            <w:pPr>
              <w:pStyle w:val="Compact"/>
              <w:jc w:val="left"/>
            </w:pPr>
            <w:r>
              <w:t xml:space="preserve">common_name</w:t>
            </w:r>
          </w:p>
        </w:tc>
        <w:tc>
          <w:tcPr/>
          <w:p>
            <w:pPr>
              <w:pStyle w:val="Compact"/>
              <w:jc w:val="left"/>
            </w:pPr>
            <w:r>
              <w:t xml:space="preserve">VARCHAR</w:t>
            </w:r>
          </w:p>
        </w:tc>
      </w:tr>
      <w:tr>
        <w:tc>
          <w:tcPr/>
          <w:p>
            <w:pPr>
              <w:pStyle w:val="Compact"/>
              <w:jc w:val="left"/>
            </w:pPr>
            <w:r>
              <w:t xml:space="preserve">in_v7</w:t>
            </w:r>
          </w:p>
        </w:tc>
        <w:tc>
          <w:tcPr/>
          <w:p>
            <w:pPr>
              <w:pStyle w:val="Compact"/>
              <w:jc w:val="left"/>
            </w:pPr>
            <w:r>
              <w:t xml:space="preserve">BOOLEAN</w:t>
            </w:r>
          </w:p>
        </w:tc>
      </w:tr>
      <w:tr>
        <w:tc>
          <w:tcPr/>
          <w:p>
            <w:pPr>
              <w:pStyle w:val="Compact"/>
              <w:jc w:val="left"/>
            </w:pPr>
            <w:r>
              <w:t xml:space="preserve">er_mode</w:t>
            </w:r>
          </w:p>
        </w:tc>
        <w:tc>
          <w:tcPr/>
          <w:p>
            <w:pPr>
              <w:pStyle w:val="Compact"/>
              <w:jc w:val="left"/>
            </w:pPr>
            <w:r>
              <w:t xml:space="preserve">VARCHAR</w:t>
            </w:r>
          </w:p>
        </w:tc>
      </w:tr>
      <w:tr>
        <w:tc>
          <w:tcPr/>
          <w:p>
            <w:pPr>
              <w:pStyle w:val="Compact"/>
              <w:jc w:val="left"/>
            </w:pPr>
            <w:r>
              <w:t xml:space="preserve">is_er_spatial</w:t>
            </w:r>
          </w:p>
        </w:tc>
        <w:tc>
          <w:tcPr/>
          <w:p>
            <w:pPr>
              <w:pStyle w:val="Compact"/>
              <w:jc w:val="left"/>
            </w:pPr>
            <w:r>
              <w:t xml:space="preserve">BOOLEAN</w:t>
            </w:r>
          </w:p>
        </w:tc>
      </w:tr>
    </w:tbl>
    <w:bookmarkEnd w:id="418"/>
    <w:bookmarkStart w:id="419" w:name="model"/>
    <w:p>
      <w:pPr>
        <w:pStyle w:val="Heading3"/>
      </w:pPr>
      <w:r>
        <w:t xml:space="preserve">15.2.3</w:t>
      </w:r>
      <w:r>
        <w:t xml:space="preserve"> </w:t>
      </w:r>
      <w:r>
        <w:rPr>
          <w:rStyle w:val="VerbatimChar"/>
        </w:rPr>
        <w:t xml:space="preserve">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mdl_key</w:t>
            </w:r>
          </w:p>
        </w:tc>
        <w:tc>
          <w:tcPr/>
          <w:p>
            <w:pPr>
              <w:pStyle w:val="Compact"/>
              <w:jc w:val="left"/>
            </w:pPr>
            <w:r>
              <w:t xml:space="preserve">VARCHAR</w:t>
            </w:r>
          </w:p>
        </w:tc>
      </w:tr>
      <w:tr>
        <w:tc>
          <w:tcPr/>
          <w:p>
            <w:pPr>
              <w:pStyle w:val="Compact"/>
              <w:jc w:val="left"/>
            </w:pPr>
            <w:r>
              <w:t xml:space="preserve">mdl_id</w:t>
            </w:r>
          </w:p>
        </w:tc>
        <w:tc>
          <w:tcPr/>
          <w:p>
            <w:pPr>
              <w:pStyle w:val="Compact"/>
              <w:jc w:val="left"/>
            </w:pPr>
            <w:r>
              <w:t xml:space="preserve">INTEGER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sp_id</w:t>
            </w:r>
          </w:p>
        </w:tc>
        <w:tc>
          <w:tcPr/>
          <w:p>
            <w:pPr>
              <w:pStyle w:val="Compact"/>
              <w:jc w:val="left"/>
            </w:pPr>
            <w:r>
              <w:t xml:space="preserve">VARCHAR</w:t>
            </w:r>
          </w:p>
        </w:tc>
      </w:tr>
      <w:tr>
        <w:tc>
          <w:tcPr/>
          <w:p>
            <w:pPr>
              <w:pStyle w:val="Compact"/>
              <w:jc w:val="left"/>
            </w:pPr>
            <w:r>
              <w:t xml:space="preserve">sci_name</w:t>
            </w:r>
          </w:p>
        </w:tc>
        <w:tc>
          <w:tcPr/>
          <w:p>
            <w:pPr>
              <w:pStyle w:val="Compact"/>
              <w:jc w:val="left"/>
            </w:pPr>
            <w:r>
              <w:t xml:space="preserve">VARCHAR</w:t>
            </w:r>
          </w:p>
        </w:tc>
      </w:tr>
      <w:tr>
        <w:tc>
          <w:tcPr/>
          <w:p>
            <w:pPr>
              <w:pStyle w:val="Compact"/>
              <w:jc w:val="left"/>
            </w:pPr>
            <w:r>
              <w:t xml:space="preserve">common_name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DOUBLE</w:t>
            </w:r>
          </w:p>
        </w:tc>
      </w:tr>
      <w:tr>
        <w:tc>
          <w:tcPr/>
          <w:p>
            <w:pPr>
              <w:pStyle w:val="Compact"/>
              <w:jc w:val="left"/>
            </w:pPr>
            <w:r>
              <w:t xml:space="preserve">sp_cat</w:t>
            </w:r>
          </w:p>
        </w:tc>
        <w:tc>
          <w:tcPr/>
          <w:p>
            <w:pPr>
              <w:pStyle w:val="Compact"/>
              <w:jc w:val="left"/>
            </w:pPr>
            <w:r>
              <w:t xml:space="preserve">VARCHAR</w:t>
            </w:r>
          </w:p>
        </w:tc>
      </w:tr>
    </w:tbl>
    <w:bookmarkEnd w:id="419"/>
    <w:bookmarkStart w:id="420" w:name="metric"/>
    <w:p>
      <w:pPr>
        <w:pStyle w:val="Heading3"/>
      </w:pPr>
      <w:r>
        <w:t xml:space="preserve">15.2.4</w:t>
      </w:r>
      <w:r>
        <w:t xml:space="preserve"> </w:t>
      </w:r>
      <w:r>
        <w:rPr>
          <w:rStyle w:val="VerbatimChar"/>
        </w:rPr>
        <w:t xml:space="preserve">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metric_key</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bl>
    <w:bookmarkEnd w:id="420"/>
    <w:bookmarkStart w:id="421" w:name="cell_metric"/>
    <w:p>
      <w:pPr>
        <w:pStyle w:val="Heading3"/>
      </w:pPr>
      <w:r>
        <w:t xml:space="preserve">15.2.5</w:t>
      </w:r>
      <w:r>
        <w:t xml:space="preserve"> </w:t>
      </w:r>
      <w:r>
        <w:rPr>
          <w:rStyle w:val="VerbatimChar"/>
        </w:rPr>
        <w:t xml:space="preserve">cell_metric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w:t>
            </w:r>
          </w:p>
        </w:tc>
        <w:tc>
          <w:tcPr/>
          <w:p>
            <w:pPr>
              <w:pStyle w:val="Compact"/>
              <w:jc w:val="left"/>
            </w:pPr>
            <w:r>
              <w:t xml:space="preserve">DOUBLE</w:t>
            </w:r>
          </w:p>
        </w:tc>
      </w:tr>
    </w:tbl>
    <w:bookmarkEnd w:id="421"/>
    <w:bookmarkStart w:id="422" w:name="zone"/>
    <w:p>
      <w:pPr>
        <w:pStyle w:val="Heading3"/>
      </w:pPr>
      <w:r>
        <w:t xml:space="preserve">15.2.6</w:t>
      </w:r>
      <w:r>
        <w:t xml:space="preserve"> </w:t>
      </w:r>
      <w:r>
        <w:rPr>
          <w:rStyle w:val="VerbatimChar"/>
        </w:rPr>
        <w:t xml:space="preserve">zone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zone_set_key</w:t>
            </w:r>
          </w:p>
        </w:tc>
        <w:tc>
          <w:tcPr/>
          <w:p>
            <w:pPr>
              <w:pStyle w:val="Compact"/>
              <w:jc w:val="left"/>
            </w:pPr>
            <w:r>
              <w:t xml:space="preserve">VARCHAR</w:t>
            </w:r>
          </w:p>
        </w:tc>
      </w:tr>
      <w:tr>
        <w:tc>
          <w:tcPr/>
          <w:p>
            <w:pPr>
              <w:pStyle w:val="Compact"/>
              <w:jc w:val="left"/>
            </w:pPr>
            <w:r>
              <w:t xml:space="preserve">tbl</w:t>
            </w:r>
          </w:p>
        </w:tc>
        <w:tc>
          <w:tcPr/>
          <w:p>
            <w:pPr>
              <w:pStyle w:val="Compact"/>
              <w:jc w:val="left"/>
            </w:pPr>
            <w:r>
              <w:t xml:space="preserve">VARCHAR</w:t>
            </w:r>
          </w:p>
        </w:tc>
      </w:tr>
      <w:tr>
        <w:tc>
          <w:tcPr/>
          <w:p>
            <w:pPr>
              <w:pStyle w:val="Compact"/>
              <w:jc w:val="left"/>
            </w:pPr>
            <w:r>
              <w:t xml:space="preserve">fld</w:t>
            </w:r>
          </w:p>
        </w:tc>
        <w:tc>
          <w:tcPr/>
          <w:p>
            <w:pPr>
              <w:pStyle w:val="Compact"/>
              <w:jc w:val="left"/>
            </w:pPr>
            <w:r>
              <w:t xml:space="preserve">VARCHAR</w:t>
            </w:r>
          </w:p>
        </w:tc>
      </w:tr>
      <w:tr>
        <w:tc>
          <w:tcPr/>
          <w:p>
            <w:pPr>
              <w:pStyle w:val="Compact"/>
              <w:jc w:val="left"/>
            </w:pPr>
            <w:r>
              <w:t xml:space="preserve">val</w:t>
            </w:r>
          </w:p>
        </w:tc>
        <w:tc>
          <w:tcPr/>
          <w:p>
            <w:pPr>
              <w:pStyle w:val="Compact"/>
              <w:jc w:val="left"/>
            </w:pPr>
            <w:r>
              <w:t xml:space="preserve">VARCHAR</w:t>
            </w:r>
          </w:p>
        </w:tc>
      </w:tr>
    </w:tbl>
    <w:bookmarkEnd w:id="422"/>
    <w:bookmarkStart w:id="423" w:name="zone_cell"/>
    <w:p>
      <w:pPr>
        <w:pStyle w:val="Heading3"/>
      </w:pPr>
      <w:r>
        <w:t xml:space="preserve">15.2.7</w:t>
      </w:r>
      <w:r>
        <w:t xml:space="preserve"> </w:t>
      </w:r>
      <w:r>
        <w:rPr>
          <w:rStyle w:val="VerbatimChar"/>
        </w:rPr>
        <w:t xml:space="preserve">zone_cell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pct_covered</w:t>
            </w:r>
          </w:p>
        </w:tc>
        <w:tc>
          <w:tcPr/>
          <w:p>
            <w:pPr>
              <w:pStyle w:val="Compact"/>
              <w:jc w:val="left"/>
            </w:pPr>
            <w:r>
              <w:t xml:space="preserve">INTEGER</w:t>
            </w:r>
          </w:p>
        </w:tc>
      </w:tr>
    </w:tbl>
    <w:bookmarkEnd w:id="423"/>
    <w:bookmarkStart w:id="424" w:name="zone_metric"/>
    <w:p>
      <w:pPr>
        <w:pStyle w:val="Heading3"/>
      </w:pPr>
      <w:r>
        <w:t xml:space="preserve">15.2.8</w:t>
      </w:r>
      <w:r>
        <w:t xml:space="preserve"> </w:t>
      </w:r>
      <w:r>
        <w:rPr>
          <w:rStyle w:val="VerbatimChar"/>
        </w:rPr>
        <w:t xml:space="preserve">zone_metric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w:t>
            </w:r>
          </w:p>
        </w:tc>
        <w:tc>
          <w:tcPr/>
          <w:p>
            <w:pPr>
              <w:pStyle w:val="Compact"/>
              <w:jc w:val="left"/>
            </w:pPr>
            <w:r>
              <w:t xml:space="preserve">DOUBLE</w:t>
            </w:r>
          </w:p>
        </w:tc>
      </w:tr>
    </w:tbl>
    <w:bookmarkEnd w:id="424"/>
    <w:bookmarkStart w:id="425" w:name="zone_taxon"/>
    <w:p>
      <w:pPr>
        <w:pStyle w:val="Heading3"/>
      </w:pPr>
      <w:r>
        <w:t xml:space="preserve">15.2.9</w:t>
      </w:r>
      <w:r>
        <w:t xml:space="preserve"> </w:t>
      </w:r>
      <w:r>
        <w:rPr>
          <w:rStyle w:val="VerbatimChar"/>
        </w:rPr>
        <w:t xml:space="preserve">zone_taxon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zone_fld</w:t>
            </w:r>
          </w:p>
        </w:tc>
        <w:tc>
          <w:tcPr/>
          <w:p>
            <w:pPr>
              <w:pStyle w:val="Compact"/>
              <w:jc w:val="left"/>
            </w:pPr>
            <w:r>
              <w:t xml:space="preserve">VARCHAR</w:t>
            </w:r>
          </w:p>
        </w:tc>
      </w:tr>
      <w:tr>
        <w:tc>
          <w:tcPr/>
          <w:p>
            <w:pPr>
              <w:pStyle w:val="Compact"/>
              <w:jc w:val="left"/>
            </w:pPr>
            <w:r>
              <w:t xml:space="preserve">zone_value</w:t>
            </w:r>
          </w:p>
        </w:tc>
        <w:tc>
          <w:tcPr/>
          <w:p>
            <w:pPr>
              <w:pStyle w:val="Compact"/>
              <w:jc w:val="left"/>
            </w:pPr>
            <w:r>
              <w:t xml:space="preserve">VARCHAR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sp_common</w:t>
            </w:r>
          </w:p>
        </w:tc>
        <w:tc>
          <w:tcPr/>
          <w:p>
            <w:pPr>
              <w:pStyle w:val="Compact"/>
              <w:jc w:val="left"/>
            </w:pPr>
            <w:r>
              <w:t xml:space="preserve">VARCHAR</w:t>
            </w:r>
          </w:p>
        </w:tc>
      </w:tr>
      <w:tr>
        <w:tc>
          <w:tcPr/>
          <w:p>
            <w:pPr>
              <w:pStyle w:val="Compact"/>
              <w:jc w:val="left"/>
            </w:pPr>
            <w:r>
              <w:t xml:space="preserve">sp_scientific</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VARCHAR</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er_code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DOUBLE</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mdl_key</w:t>
            </w:r>
          </w:p>
        </w:tc>
        <w:tc>
          <w:tcPr/>
          <w:p>
            <w:pPr>
              <w:pStyle w:val="Compact"/>
              <w:jc w:val="left"/>
            </w:pPr>
            <w:r>
              <w:t xml:space="preserve">VARCHAR</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avg_suit</w:t>
            </w:r>
          </w:p>
        </w:tc>
        <w:tc>
          <w:tcPr/>
          <w:p>
            <w:pPr>
              <w:pStyle w:val="Compact"/>
              <w:jc w:val="left"/>
            </w:pPr>
            <w:r>
              <w:t xml:space="preserve">DOUBLE</w:t>
            </w:r>
          </w:p>
        </w:tc>
      </w:tr>
      <w:tr>
        <w:tc>
          <w:tcPr/>
          <w:p>
            <w:pPr>
              <w:pStyle w:val="Compact"/>
              <w:jc w:val="left"/>
            </w:pPr>
            <w:r>
              <w:t xml:space="preserve">suit_er</w:t>
            </w:r>
          </w:p>
        </w:tc>
        <w:tc>
          <w:tcPr/>
          <w:p>
            <w:pPr>
              <w:pStyle w:val="Compact"/>
              <w:jc w:val="left"/>
            </w:pPr>
            <w:r>
              <w:t xml:space="preserve">DOUBLE</w:t>
            </w:r>
          </w:p>
        </w:tc>
      </w:tr>
      <w:tr>
        <w:tc>
          <w:tcPr/>
          <w:p>
            <w:pPr>
              <w:pStyle w:val="Compact"/>
              <w:jc w:val="left"/>
            </w:pPr>
            <w:r>
              <w:t xml:space="preserve">suit_er_area</w:t>
            </w:r>
          </w:p>
        </w:tc>
        <w:tc>
          <w:tcPr/>
          <w:p>
            <w:pPr>
              <w:pStyle w:val="Compact"/>
              <w:jc w:val="left"/>
            </w:pPr>
            <w:r>
              <w:t xml:space="preserve">DOUBLE</w:t>
            </w:r>
          </w:p>
        </w:tc>
      </w:tr>
      <w:tr>
        <w:tc>
          <w:tcPr/>
          <w:p>
            <w:pPr>
              <w:pStyle w:val="Compact"/>
              <w:jc w:val="left"/>
            </w:pPr>
            <w:r>
              <w:t xml:space="preserve">cat_suit_er_area</w:t>
            </w:r>
          </w:p>
        </w:tc>
        <w:tc>
          <w:tcPr/>
          <w:p>
            <w:pPr>
              <w:pStyle w:val="Compact"/>
              <w:jc w:val="left"/>
            </w:pPr>
            <w:r>
              <w:t xml:space="preserve">DOUBLE</w:t>
            </w:r>
          </w:p>
        </w:tc>
      </w:tr>
      <w:tr>
        <w:tc>
          <w:tcPr/>
          <w:p>
            <w:pPr>
              <w:pStyle w:val="Compact"/>
              <w:jc w:val="left"/>
            </w:pPr>
            <w:r>
              <w:t xml:space="preserve">pct_cat</w:t>
            </w:r>
          </w:p>
        </w:tc>
        <w:tc>
          <w:tcPr/>
          <w:p>
            <w:pPr>
              <w:pStyle w:val="Compact"/>
              <w:jc w:val="left"/>
            </w:pPr>
            <w:r>
              <w:t xml:space="preserve">DOUBLE</w:t>
            </w:r>
          </w:p>
        </w:tc>
      </w:tr>
    </w:tbl>
    <w:bookmarkEnd w:id="425"/>
    <w:bookmarkStart w:id="426" w:name="dataset"/>
    <w:p>
      <w:pPr>
        <w:pStyle w:val="Heading3"/>
      </w:pPr>
      <w:r>
        <w:t xml:space="preserve">15.2.10</w:t>
      </w:r>
      <w:r>
        <w:t xml:space="preserve"> </w:t>
      </w:r>
      <w:r>
        <w:rPr>
          <w:rStyle w:val="VerbatimChar"/>
        </w:rPr>
        <w:t xml:space="preserve">dataset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name_short</w:t>
            </w:r>
          </w:p>
        </w:tc>
        <w:tc>
          <w:tcPr/>
          <w:p>
            <w:pPr>
              <w:pStyle w:val="Compact"/>
              <w:jc w:val="left"/>
            </w:pPr>
            <w:r>
              <w:t xml:space="preserve">VARCHAR</w:t>
            </w:r>
          </w:p>
        </w:tc>
      </w:tr>
      <w:tr>
        <w:tc>
          <w:tcPr/>
          <w:p>
            <w:pPr>
              <w:pStyle w:val="Compact"/>
              <w:jc w:val="left"/>
            </w:pPr>
            <w:r>
              <w:t xml:space="preserve">response_type</w:t>
            </w:r>
          </w:p>
        </w:tc>
        <w:tc>
          <w:tcPr/>
          <w:p>
            <w:pPr>
              <w:pStyle w:val="Compact"/>
              <w:jc w:val="left"/>
            </w:pPr>
            <w:r>
              <w:t xml:space="preserve">VARCHAR</w:t>
            </w:r>
          </w:p>
        </w:tc>
      </w:tr>
      <w:tr>
        <w:tc>
          <w:tcPr/>
          <w:p>
            <w:pPr>
              <w:pStyle w:val="Compact"/>
              <w:jc w:val="left"/>
            </w:pPr>
            <w:r>
              <w:t xml:space="preserve">source_broad</w:t>
            </w:r>
          </w:p>
        </w:tc>
        <w:tc>
          <w:tcPr/>
          <w:p>
            <w:pPr>
              <w:pStyle w:val="Compact"/>
              <w:jc w:val="left"/>
            </w:pPr>
            <w:r>
              <w:t xml:space="preserve">VARCHAR</w:t>
            </w:r>
          </w:p>
        </w:tc>
      </w:tr>
      <w:tr>
        <w:tc>
          <w:tcPr/>
          <w:p>
            <w:pPr>
              <w:pStyle w:val="Compact"/>
              <w:jc w:val="left"/>
            </w:pPr>
            <w:r>
              <w:t xml:space="preserve">temporal_res</w:t>
            </w:r>
          </w:p>
        </w:tc>
        <w:tc>
          <w:tcPr/>
          <w:p>
            <w:pPr>
              <w:pStyle w:val="Compact"/>
              <w:jc w:val="left"/>
            </w:pPr>
            <w:r>
              <w:t xml:space="preserve">VARCHAR</w:t>
            </w:r>
          </w:p>
        </w:tc>
      </w:tr>
      <w:tr>
        <w:tc>
          <w:tcPr/>
          <w:p>
            <w:pPr>
              <w:pStyle w:val="Compact"/>
              <w:jc w:val="left"/>
            </w:pPr>
            <w:r>
              <w:t xml:space="preserve">native_format</w:t>
            </w:r>
          </w:p>
        </w:tc>
        <w:tc>
          <w:tcPr/>
          <w:p>
            <w:pPr>
              <w:pStyle w:val="Compact"/>
              <w:jc w:val="left"/>
            </w:pPr>
            <w:r>
              <w:t xml:space="preserve">VARCHAR</w:t>
            </w:r>
          </w:p>
        </w:tc>
      </w:tr>
      <w:tr>
        <w:tc>
          <w:tcPr/>
          <w:p>
            <w:pPr>
              <w:pStyle w:val="Compact"/>
              <w:jc w:val="left"/>
            </w:pPr>
            <w:r>
              <w:t xml:space="preserve">sort_order</w:t>
            </w:r>
          </w:p>
        </w:tc>
        <w:tc>
          <w:tcPr/>
          <w:p>
            <w:pPr>
              <w:pStyle w:val="Compact"/>
              <w:jc w:val="left"/>
            </w:pPr>
            <w:r>
              <w:t xml:space="preserve">INTEGER</w:t>
            </w:r>
          </w:p>
        </w:tc>
      </w:tr>
      <w:tr>
        <w:tc>
          <w:tcPr/>
          <w:p>
            <w:pPr>
              <w:pStyle w:val="Compact"/>
              <w:jc w:val="left"/>
            </w:pPr>
            <w:r>
              <w:t xml:space="preserve">qmd</w:t>
            </w:r>
          </w:p>
        </w:tc>
        <w:tc>
          <w:tcPr/>
          <w:p>
            <w:pPr>
              <w:pStyle w:val="Compact"/>
              <w:jc w:val="left"/>
            </w:pPr>
            <w:r>
              <w:t xml:space="preserve">VARCHAR</w:t>
            </w:r>
          </w:p>
        </w:tc>
      </w:tr>
      <w:tr>
        <w:tc>
          <w:tcPr/>
          <w:p>
            <w:pPr>
              <w:pStyle w:val="Compact"/>
              <w:jc w:val="left"/>
            </w:pPr>
            <w:r>
              <w:t xml:space="preserve">name_original</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citation</w:t>
            </w:r>
          </w:p>
        </w:tc>
        <w:tc>
          <w:tcPr/>
          <w:p>
            <w:pPr>
              <w:pStyle w:val="Compact"/>
              <w:jc w:val="left"/>
            </w:pPr>
            <w:r>
              <w:t xml:space="preserve">VARCHAR</w:t>
            </w:r>
          </w:p>
        </w:tc>
      </w:tr>
      <w:tr>
        <w:tc>
          <w:tcPr/>
          <w:p>
            <w:pPr>
              <w:pStyle w:val="Compact"/>
              <w:jc w:val="left"/>
            </w:pPr>
            <w:r>
              <w:t xml:space="preserve">source_detail</w:t>
            </w:r>
          </w:p>
        </w:tc>
        <w:tc>
          <w:tcPr/>
          <w:p>
            <w:pPr>
              <w:pStyle w:val="Compact"/>
              <w:jc w:val="left"/>
            </w:pPr>
            <w:r>
              <w:t xml:space="preserve">VARCHAR</w:t>
            </w:r>
          </w:p>
        </w:tc>
      </w:tr>
      <w:tr>
        <w:tc>
          <w:tcPr/>
          <w:p>
            <w:pPr>
              <w:pStyle w:val="Compact"/>
              <w:jc w:val="left"/>
            </w:pPr>
            <w:r>
              <w:t xml:space="preserve">regions</w:t>
            </w:r>
          </w:p>
        </w:tc>
        <w:tc>
          <w:tcPr/>
          <w:p>
            <w:pPr>
              <w:pStyle w:val="Compact"/>
              <w:jc w:val="left"/>
            </w:pPr>
            <w:r>
              <w:t xml:space="preserve">VARCHAR</w:t>
            </w:r>
          </w:p>
        </w:tc>
      </w:tr>
      <w:tr>
        <w:tc>
          <w:tcPr/>
          <w:p>
            <w:pPr>
              <w:pStyle w:val="Compact"/>
              <w:jc w:val="left"/>
            </w:pPr>
            <w:r>
              <w:t xml:space="preserve">taxa_groups</w:t>
            </w:r>
          </w:p>
        </w:tc>
        <w:tc>
          <w:tcPr/>
          <w:p>
            <w:pPr>
              <w:pStyle w:val="Compact"/>
              <w:jc w:val="left"/>
            </w:pPr>
            <w:r>
              <w:t xml:space="preserve">VARCHAR</w:t>
            </w:r>
          </w:p>
        </w:tc>
      </w:tr>
      <w:tr>
        <w:tc>
          <w:tcPr/>
          <w:p>
            <w:pPr>
              <w:pStyle w:val="Compact"/>
              <w:jc w:val="left"/>
            </w:pPr>
            <w:r>
              <w:t xml:space="preserve">year_pub</w:t>
            </w:r>
          </w:p>
        </w:tc>
        <w:tc>
          <w:tcPr/>
          <w:p>
            <w:pPr>
              <w:pStyle w:val="Compact"/>
              <w:jc w:val="left"/>
            </w:pPr>
            <w:r>
              <w:t xml:space="preserve">INTEGER</w:t>
            </w:r>
          </w:p>
        </w:tc>
      </w:tr>
      <w:tr>
        <w:tc>
          <w:tcPr/>
          <w:p>
            <w:pPr>
              <w:pStyle w:val="Compact"/>
              <w:jc w:val="left"/>
            </w:pPr>
            <w:r>
              <w:t xml:space="preserve">date_obs_beg</w:t>
            </w:r>
          </w:p>
        </w:tc>
        <w:tc>
          <w:tcPr/>
          <w:p>
            <w:pPr>
              <w:pStyle w:val="Compact"/>
              <w:jc w:val="left"/>
            </w:pPr>
            <w:r>
              <w:t xml:space="preserve">DATE</w:t>
            </w:r>
          </w:p>
        </w:tc>
      </w:tr>
      <w:tr>
        <w:tc>
          <w:tcPr/>
          <w:p>
            <w:pPr>
              <w:pStyle w:val="Compact"/>
              <w:jc w:val="left"/>
            </w:pPr>
            <w:r>
              <w:t xml:space="preserve">date_obs_end</w:t>
            </w:r>
          </w:p>
        </w:tc>
        <w:tc>
          <w:tcPr/>
          <w:p>
            <w:pPr>
              <w:pStyle w:val="Compact"/>
              <w:jc w:val="left"/>
            </w:pPr>
            <w:r>
              <w:t xml:space="preserve">DATE</w:t>
            </w:r>
          </w:p>
        </w:tc>
      </w:tr>
      <w:tr>
        <w:tc>
          <w:tcPr/>
          <w:p>
            <w:pPr>
              <w:pStyle w:val="Compact"/>
              <w:jc w:val="left"/>
            </w:pPr>
            <w:r>
              <w:t xml:space="preserve">date_env_beg</w:t>
            </w:r>
          </w:p>
        </w:tc>
        <w:tc>
          <w:tcPr/>
          <w:p>
            <w:pPr>
              <w:pStyle w:val="Compact"/>
              <w:jc w:val="left"/>
            </w:pPr>
            <w:r>
              <w:t xml:space="preserve">DATE</w:t>
            </w:r>
          </w:p>
        </w:tc>
      </w:tr>
      <w:tr>
        <w:tc>
          <w:tcPr/>
          <w:p>
            <w:pPr>
              <w:pStyle w:val="Compact"/>
              <w:jc w:val="left"/>
            </w:pPr>
            <w:r>
              <w:t xml:space="preserve">date_env_end</w:t>
            </w:r>
          </w:p>
        </w:tc>
        <w:tc>
          <w:tcPr/>
          <w:p>
            <w:pPr>
              <w:pStyle w:val="Compact"/>
              <w:jc w:val="left"/>
            </w:pPr>
            <w:r>
              <w:t xml:space="preserve">DATE</w:t>
            </w:r>
          </w:p>
        </w:tc>
      </w:tr>
      <w:tr>
        <w:tc>
          <w:tcPr/>
          <w:p>
            <w:pPr>
              <w:pStyle w:val="Compact"/>
              <w:jc w:val="left"/>
            </w:pPr>
            <w:r>
              <w:t xml:space="preserve">link_info</w:t>
            </w:r>
          </w:p>
        </w:tc>
        <w:tc>
          <w:tcPr/>
          <w:p>
            <w:pPr>
              <w:pStyle w:val="Compact"/>
              <w:jc w:val="left"/>
            </w:pPr>
            <w:r>
              <w:t xml:space="preserve">VARCHAR</w:t>
            </w:r>
          </w:p>
        </w:tc>
      </w:tr>
      <w:tr>
        <w:tc>
          <w:tcPr/>
          <w:p>
            <w:pPr>
              <w:pStyle w:val="Compact"/>
              <w:jc w:val="left"/>
            </w:pPr>
            <w:r>
              <w:t xml:space="preserve">link_download</w:t>
            </w:r>
          </w:p>
        </w:tc>
        <w:tc>
          <w:tcPr/>
          <w:p>
            <w:pPr>
              <w:pStyle w:val="Compact"/>
              <w:jc w:val="left"/>
            </w:pPr>
            <w:r>
              <w:t xml:space="preserve">VARCHAR</w:t>
            </w:r>
          </w:p>
        </w:tc>
      </w:tr>
      <w:tr>
        <w:tc>
          <w:tcPr/>
          <w:p>
            <w:pPr>
              <w:pStyle w:val="Compact"/>
              <w:jc w:val="left"/>
            </w:pPr>
            <w:r>
              <w:t xml:space="preserve">link_metadata</w:t>
            </w:r>
          </w:p>
        </w:tc>
        <w:tc>
          <w:tcPr/>
          <w:p>
            <w:pPr>
              <w:pStyle w:val="Compact"/>
              <w:jc w:val="left"/>
            </w:pPr>
            <w:r>
              <w:t xml:space="preserve">VARCHAR</w:t>
            </w:r>
          </w:p>
        </w:tc>
      </w:tr>
      <w:tr>
        <w:tc>
          <w:tcPr/>
          <w:p>
            <w:pPr>
              <w:pStyle w:val="Compact"/>
              <w:jc w:val="left"/>
            </w:pPr>
            <w:r>
              <w:t xml:space="preserve">links_other</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name_display</w:t>
            </w:r>
          </w:p>
        </w:tc>
        <w:tc>
          <w:tcPr/>
          <w:p>
            <w:pPr>
              <w:pStyle w:val="Compact"/>
              <w:jc w:val="left"/>
            </w:pPr>
            <w:r>
              <w:t xml:space="preserve">VARCHAR</w:t>
            </w:r>
          </w:p>
        </w:tc>
      </w:tr>
      <w:tr>
        <w:tc>
          <w:tcPr/>
          <w:p>
            <w:pPr>
              <w:pStyle w:val="Compact"/>
              <w:jc w:val="left"/>
            </w:pPr>
            <w:r>
              <w:t xml:space="preserve">value_info</w:t>
            </w:r>
          </w:p>
        </w:tc>
        <w:tc>
          <w:tcPr/>
          <w:p>
            <w:pPr>
              <w:pStyle w:val="Compact"/>
              <w:jc w:val="left"/>
            </w:pPr>
            <w:r>
              <w:t xml:space="preserve">VARCHAR</w:t>
            </w:r>
          </w:p>
        </w:tc>
      </w:tr>
      <w:tr>
        <w:tc>
          <w:tcPr/>
          <w:p>
            <w:pPr>
              <w:pStyle w:val="Compact"/>
              <w:jc w:val="left"/>
            </w:pPr>
            <w:r>
              <w:t xml:space="preserve">is_mask</w:t>
            </w:r>
          </w:p>
        </w:tc>
        <w:tc>
          <w:tcPr/>
          <w:p>
            <w:pPr>
              <w:pStyle w:val="Compact"/>
              <w:jc w:val="left"/>
            </w:pPr>
            <w:r>
              <w:t xml:space="preserve">BOOLEAN</w:t>
            </w:r>
          </w:p>
        </w:tc>
      </w:tr>
      <w:tr>
        <w:tc>
          <w:tcPr/>
          <w:p>
            <w:pPr>
              <w:pStyle w:val="Compact"/>
              <w:jc w:val="left"/>
            </w:pPr>
            <w:r>
              <w:t xml:space="preserve">is_scored</w:t>
            </w:r>
          </w:p>
        </w:tc>
        <w:tc>
          <w:tcPr/>
          <w:p>
            <w:pPr>
              <w:pStyle w:val="Compact"/>
              <w:jc w:val="left"/>
            </w:pPr>
            <w:r>
              <w:t xml:space="preserve">BOOLEAN</w:t>
            </w:r>
          </w:p>
        </w:tc>
      </w:tr>
      <w:tr>
        <w:tc>
          <w:tcPr/>
          <w:p>
            <w:pPr>
              <w:pStyle w:val="Compact"/>
              <w:jc w:val="left"/>
            </w:pPr>
            <w:r>
              <w:t xml:space="preserve">global_mask_priority</w:t>
            </w:r>
          </w:p>
        </w:tc>
        <w:tc>
          <w:tcPr/>
          <w:p>
            <w:pPr>
              <w:pStyle w:val="Compact"/>
              <w:jc w:val="left"/>
            </w:pPr>
            <w:r>
              <w:t xml:space="preserve">DOUBLE</w:t>
            </w:r>
          </w:p>
        </w:tc>
      </w:tr>
      <w:tr>
        <w:tc>
          <w:tcPr/>
          <w:p>
            <w:pPr>
              <w:pStyle w:val="Compact"/>
              <w:jc w:val="left"/>
            </w:pPr>
            <w:r>
              <w:t xml:space="preserve">env_start</w:t>
            </w:r>
          </w:p>
        </w:tc>
        <w:tc>
          <w:tcPr/>
          <w:p>
            <w:pPr>
              <w:pStyle w:val="Compact"/>
              <w:jc w:val="left"/>
            </w:pPr>
            <w:r>
              <w:t xml:space="preserve">BOOLEAN</w:t>
            </w:r>
          </w:p>
        </w:tc>
      </w:tr>
      <w:tr>
        <w:tc>
          <w:tcPr/>
          <w:p>
            <w:pPr>
              <w:pStyle w:val="Compact"/>
              <w:jc w:val="left"/>
            </w:pPr>
            <w:r>
              <w:t xml:space="preserve">env_end</w:t>
            </w:r>
          </w:p>
        </w:tc>
        <w:tc>
          <w:tcPr/>
          <w:p>
            <w:pPr>
              <w:pStyle w:val="Compact"/>
              <w:jc w:val="left"/>
            </w:pPr>
            <w:r>
              <w:t xml:space="preserve">BOOLEAN</w:t>
            </w:r>
          </w:p>
        </w:tc>
      </w:tr>
      <w:tr>
        <w:tc>
          <w:tcPr/>
          <w:p>
            <w:pPr>
              <w:pStyle w:val="Compact"/>
              <w:jc w:val="left"/>
            </w:pPr>
            <w:r>
              <w:t xml:space="preserve">on_grid</w:t>
            </w:r>
          </w:p>
        </w:tc>
        <w:tc>
          <w:tcPr/>
          <w:p>
            <w:pPr>
              <w:pStyle w:val="Compact"/>
              <w:jc w:val="left"/>
            </w:pPr>
            <w:r>
              <w:t xml:space="preserve">BOOLEAN</w:t>
            </w:r>
          </w:p>
        </w:tc>
      </w:tr>
      <w:tr>
        <w:tc>
          <w:tcPr/>
          <w:p>
            <w:pPr>
              <w:pStyle w:val="Compact"/>
              <w:jc w:val="left"/>
            </w:pPr>
            <w:r>
              <w:t xml:space="preserve">spatial_res_deg</w:t>
            </w:r>
          </w:p>
        </w:tc>
        <w:tc>
          <w:tcPr/>
          <w:p>
            <w:pPr>
              <w:pStyle w:val="Compact"/>
              <w:jc w:val="left"/>
            </w:pPr>
            <w:r>
              <w:t xml:space="preserve">DOUBLE</w:t>
            </w:r>
          </w:p>
        </w:tc>
      </w:tr>
    </w:tbl>
    <w:bookmarkEnd w:id="426"/>
    <w:bookmarkStart w:id="427" w:name="taxon_model"/>
    <w:p>
      <w:pPr>
        <w:pStyle w:val="Heading3"/>
      </w:pPr>
      <w:r>
        <w:t xml:space="preserve">15.2.11</w:t>
      </w:r>
      <w:r>
        <w:t xml:space="preserve"> </w:t>
      </w:r>
      <w:r>
        <w:rPr>
          <w:rStyle w:val="VerbatimChar"/>
        </w:rPr>
        <w:t xml:space="preserve">taxon_model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mdl_key</w:t>
            </w:r>
          </w:p>
        </w:tc>
        <w:tc>
          <w:tcPr/>
          <w:p>
            <w:pPr>
              <w:pStyle w:val="Compact"/>
              <w:jc w:val="left"/>
            </w:pPr>
            <w:r>
              <w:t xml:space="preserve">VARCHAR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VARCHAR</w:t>
            </w:r>
          </w:p>
        </w:tc>
      </w:tr>
      <w:tr>
        <w:tc>
          <w:tcPr/>
          <w:p>
            <w:pPr>
              <w:pStyle w:val="Compact"/>
              <w:jc w:val="left"/>
            </w:pPr>
            <w:r>
              <w:t xml:space="preserve">ms_merge_key</w:t>
            </w:r>
          </w:p>
        </w:tc>
        <w:tc>
          <w:tcPr/>
          <w:p>
            <w:pPr>
              <w:pStyle w:val="Compact"/>
              <w:jc w:val="left"/>
            </w:pPr>
            <w:r>
              <w:t xml:space="preserve">VARCHAR</w:t>
            </w:r>
          </w:p>
        </w:tc>
      </w:tr>
    </w:tbl>
    <w:bookmarkEnd w:id="427"/>
    <w:bookmarkStart w:id="428" w:name="listing"/>
    <w:p>
      <w:pPr>
        <w:pStyle w:val="Heading3"/>
      </w:pPr>
      <w:r>
        <w:t xml:space="preserve">15.2.12</w:t>
      </w:r>
      <w:r>
        <w:t xml:space="preserve"> </w:t>
      </w:r>
      <w:r>
        <w:rPr>
          <w:rStyle w:val="VerbatimChar"/>
        </w:rPr>
        <w:t xml:space="preserve">listing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sci</w:t>
            </w:r>
          </w:p>
        </w:tc>
        <w:tc>
          <w:tcPr/>
          <w:p>
            <w:pPr>
              <w:pStyle w:val="Compact"/>
              <w:jc w:val="left"/>
            </w:pPr>
            <w:r>
              <w:t xml:space="preserve">VARCHAR</w:t>
            </w:r>
          </w:p>
        </w:tc>
      </w:tr>
      <w:tr>
        <w:tc>
          <w:tcPr/>
          <w:p>
            <w:pPr>
              <w:pStyle w:val="Compact"/>
              <w:jc w:val="left"/>
            </w:pPr>
            <w:r>
              <w:t xml:space="preserve">nmfs_esa</w:t>
            </w:r>
          </w:p>
        </w:tc>
        <w:tc>
          <w:tcPr/>
          <w:p>
            <w:pPr>
              <w:pStyle w:val="Compact"/>
              <w:jc w:val="left"/>
            </w:pPr>
            <w:r>
              <w:t xml:space="preserve">VARCHAR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fws_esa</w:t>
            </w:r>
          </w:p>
        </w:tc>
        <w:tc>
          <w:tcPr/>
          <w:p>
            <w:pPr>
              <w:pStyle w:val="Compact"/>
              <w:jc w:val="left"/>
            </w:pPr>
            <w:r>
              <w:t xml:space="preserve">VARCHAR</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bl>
    <w:bookmarkEnd w:id="428"/>
    <w:bookmarkStart w:id="429" w:name="native_asset"/>
    <w:p>
      <w:pPr>
        <w:pStyle w:val="Heading3"/>
      </w:pPr>
      <w:r>
        <w:t xml:space="preserve">15.2.13</w:t>
      </w:r>
      <w:r>
        <w:t xml:space="preserve"> </w:t>
      </w:r>
      <w:r>
        <w:rPr>
          <w:rStyle w:val="VerbatimChar"/>
        </w:rPr>
        <w:t xml:space="preserve">native_asset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ms_merge_key</w:t>
            </w:r>
          </w:p>
        </w:tc>
        <w:tc>
          <w:tcPr/>
          <w:p>
            <w:pPr>
              <w:pStyle w:val="Compact"/>
              <w:jc w:val="left"/>
            </w:pPr>
            <w:r>
              <w:t xml:space="preserve">VARCHAR</w:t>
            </w:r>
          </w:p>
        </w:tc>
      </w:tr>
      <w:tr>
        <w:tc>
          <w:tcPr/>
          <w:p>
            <w:pPr>
              <w:pStyle w:val="Compact"/>
              <w:jc w:val="left"/>
            </w:pPr>
            <w:r>
              <w:t xml:space="preserve">mdl_key</w:t>
            </w:r>
          </w:p>
        </w:tc>
        <w:tc>
          <w:tcPr/>
          <w:p>
            <w:pPr>
              <w:pStyle w:val="Compact"/>
              <w:jc w:val="left"/>
            </w:pPr>
            <w:r>
              <w:t xml:space="preserve">VARCHAR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asset_type</w:t>
            </w:r>
          </w:p>
        </w:tc>
        <w:tc>
          <w:tcPr/>
          <w:p>
            <w:pPr>
              <w:pStyle w:val="Compact"/>
              <w:jc w:val="left"/>
            </w:pPr>
            <w:r>
              <w:t xml:space="preserve">VARCHAR</w:t>
            </w:r>
          </w:p>
        </w:tc>
      </w:tr>
      <w:tr>
        <w:tc>
          <w:tcPr/>
          <w:p>
            <w:pPr>
              <w:pStyle w:val="Compact"/>
              <w:jc w:val="left"/>
            </w:pPr>
            <w:r>
              <w:t xml:space="preserve">representation</w:t>
            </w:r>
          </w:p>
        </w:tc>
        <w:tc>
          <w:tcPr/>
          <w:p>
            <w:pPr>
              <w:pStyle w:val="Compact"/>
              <w:jc w:val="left"/>
            </w:pPr>
            <w:r>
              <w:t xml:space="preserve">VARCHAR</w:t>
            </w:r>
          </w:p>
        </w:tc>
      </w:tr>
      <w:tr>
        <w:tc>
          <w:tcPr/>
          <w:p>
            <w:pPr>
              <w:pStyle w:val="Compact"/>
              <w:jc w:val="left"/>
            </w:pPr>
            <w:r>
              <w:t xml:space="preserve">asset_url</w:t>
            </w:r>
          </w:p>
        </w:tc>
        <w:tc>
          <w:tcPr/>
          <w:p>
            <w:pPr>
              <w:pStyle w:val="Compact"/>
              <w:jc w:val="left"/>
            </w:pPr>
            <w:r>
              <w:t xml:space="preserve">VARCHAR</w:t>
            </w:r>
          </w:p>
        </w:tc>
      </w:tr>
      <w:tr>
        <w:tc>
          <w:tcPr/>
          <w:p>
            <w:pPr>
              <w:pStyle w:val="Compact"/>
              <w:jc w:val="left"/>
            </w:pPr>
            <w:r>
              <w:t xml:space="preserve">rescale_min</w:t>
            </w:r>
          </w:p>
        </w:tc>
        <w:tc>
          <w:tcPr/>
          <w:p>
            <w:pPr>
              <w:pStyle w:val="Compact"/>
              <w:jc w:val="left"/>
            </w:pPr>
            <w:r>
              <w:t xml:space="preserve">INTEGER</w:t>
            </w:r>
          </w:p>
        </w:tc>
      </w:tr>
      <w:tr>
        <w:tc>
          <w:tcPr/>
          <w:p>
            <w:pPr>
              <w:pStyle w:val="Compact"/>
              <w:jc w:val="left"/>
            </w:pPr>
            <w:r>
              <w:t xml:space="preserve">rescale_max</w:t>
            </w:r>
          </w:p>
        </w:tc>
        <w:tc>
          <w:tcPr/>
          <w:p>
            <w:pPr>
              <w:pStyle w:val="Compact"/>
              <w:jc w:val="left"/>
            </w:pPr>
            <w:r>
              <w:t xml:space="preserve">INTEGER</w:t>
            </w:r>
          </w:p>
        </w:tc>
      </w:tr>
      <w:tr>
        <w:tc>
          <w:tcPr/>
          <w:p>
            <w:pPr>
              <w:pStyle w:val="Compact"/>
              <w:jc w:val="left"/>
            </w:pPr>
            <w:r>
              <w:t xml:space="preserve">colormap</w:t>
            </w:r>
          </w:p>
        </w:tc>
        <w:tc>
          <w:tcPr/>
          <w:p>
            <w:pPr>
              <w:pStyle w:val="Compact"/>
              <w:jc w:val="left"/>
            </w:pPr>
            <w:r>
              <w:t xml:space="preserve">VARCHAR</w:t>
            </w:r>
          </w:p>
        </w:tc>
      </w:tr>
      <w:tr>
        <w:tc>
          <w:tcPr/>
          <w:p>
            <w:pPr>
              <w:pStyle w:val="Compact"/>
              <w:jc w:val="left"/>
            </w:pPr>
            <w:r>
              <w:t xml:space="preserve">xmin</w:t>
            </w:r>
          </w:p>
        </w:tc>
        <w:tc>
          <w:tcPr/>
          <w:p>
            <w:pPr>
              <w:pStyle w:val="Compact"/>
              <w:jc w:val="left"/>
            </w:pPr>
            <w:r>
              <w:t xml:space="preserve">DOUBLE</w:t>
            </w:r>
          </w:p>
        </w:tc>
      </w:tr>
      <w:tr>
        <w:tc>
          <w:tcPr/>
          <w:p>
            <w:pPr>
              <w:pStyle w:val="Compact"/>
              <w:jc w:val="left"/>
            </w:pPr>
            <w:r>
              <w:t xml:space="preserve">xmax</w:t>
            </w:r>
          </w:p>
        </w:tc>
        <w:tc>
          <w:tcPr/>
          <w:p>
            <w:pPr>
              <w:pStyle w:val="Compact"/>
              <w:jc w:val="left"/>
            </w:pPr>
            <w:r>
              <w:t xml:space="preserve">DOUBLE</w:t>
            </w:r>
          </w:p>
        </w:tc>
      </w:tr>
      <w:tr>
        <w:tc>
          <w:tcPr/>
          <w:p>
            <w:pPr>
              <w:pStyle w:val="Compact"/>
              <w:jc w:val="left"/>
            </w:pPr>
            <w:r>
              <w:t xml:space="preserve">ymin</w:t>
            </w:r>
          </w:p>
        </w:tc>
        <w:tc>
          <w:tcPr/>
          <w:p>
            <w:pPr>
              <w:pStyle w:val="Compact"/>
              <w:jc w:val="left"/>
            </w:pPr>
            <w:r>
              <w:t xml:space="preserve">DOUBLE</w:t>
            </w:r>
          </w:p>
        </w:tc>
      </w:tr>
      <w:tr>
        <w:tc>
          <w:tcPr/>
          <w:p>
            <w:pPr>
              <w:pStyle w:val="Compact"/>
              <w:jc w:val="left"/>
            </w:pPr>
            <w:r>
              <w:t xml:space="preserve">ymax</w:t>
            </w:r>
          </w:p>
        </w:tc>
        <w:tc>
          <w:tcPr/>
          <w:p>
            <w:pPr>
              <w:pStyle w:val="Compact"/>
              <w:jc w:val="left"/>
            </w:pPr>
            <w:r>
              <w:t xml:space="preserve">DOUBLE</w:t>
            </w:r>
          </w:p>
        </w:tc>
      </w:tr>
      <w:tr>
        <w:tc>
          <w:tcPr/>
          <w:p>
            <w:pPr>
              <w:pStyle w:val="Compact"/>
              <w:jc w:val="left"/>
            </w:pPr>
            <w:r>
              <w:t xml:space="preserve">source_layer</w:t>
            </w:r>
          </w:p>
        </w:tc>
        <w:tc>
          <w:tcPr/>
          <w:p>
            <w:pPr>
              <w:pStyle w:val="Compact"/>
              <w:jc w:val="left"/>
            </w:pPr>
            <w:r>
              <w:t xml:space="preserve">VARCHAR</w:t>
            </w:r>
          </w:p>
        </w:tc>
      </w:tr>
      <w:tr>
        <w:tc>
          <w:tcPr/>
          <w:p>
            <w:pPr>
              <w:pStyle w:val="Compact"/>
              <w:jc w:val="left"/>
            </w:pPr>
            <w:r>
              <w:t xml:space="preserve">content_hash</w:t>
            </w:r>
          </w:p>
        </w:tc>
        <w:tc>
          <w:tcPr/>
          <w:p>
            <w:pPr>
              <w:pStyle w:val="Compact"/>
              <w:jc w:val="left"/>
            </w:pPr>
            <w:r>
              <w:t xml:space="preserve">VARCHAR</w:t>
            </w:r>
          </w:p>
        </w:tc>
      </w:tr>
      <w:tr>
        <w:tc>
          <w:tcPr/>
          <w:p>
            <w:pPr>
              <w:pStyle w:val="Compact"/>
              <w:jc w:val="left"/>
            </w:pPr>
            <w:r>
              <w:t xml:space="preserve">source_key</w:t>
            </w:r>
          </w:p>
        </w:tc>
        <w:tc>
          <w:tcPr/>
          <w:p>
            <w:pPr>
              <w:pStyle w:val="Compact"/>
              <w:jc w:val="left"/>
            </w:pPr>
            <w:r>
              <w:t xml:space="preserve">VARCHAR</w:t>
            </w:r>
          </w:p>
        </w:tc>
      </w:tr>
    </w:tbl>
    <w:bookmarkEnd w:id="429"/>
    <w:bookmarkEnd w:id="430"/>
    <w:bookmarkStart w:id="441" w:name="sec-asset-store"/>
    <w:p>
      <w:pPr>
        <w:pStyle w:val="Heading2"/>
      </w:pPr>
      <w:r>
        <w:t xml:space="preserve">15.3 Asset store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Applications/quarto/share/formats/docx/note.png" id="43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Old copies remain until the prune</w:t>
            </w:r>
          </w:p>
        </w:tc>
      </w:tr>
      <w:tr>
        <w:trPr>
          <w:cantSplit/>
        </w:trPr>
        <w:tc>
          <w:tcPr>
            <w:tcMar>
              <w:top w:w="108" w:type="dxa"/>
              <w:bottom w:w="108" w:type="dxa"/>
            </w:tcMar>
          </w:tcPr>
          <w:p>
            <w:pPr>
              <w:pStyle w:val="BodyText"/>
            </w:pPr>
            <w:pPr>
              <w:spacing w:before="16" w:after="16"/>
            </w:pPr>
            <w:r>
              <w:t xml:space="preserve">Every published release (v7, v7b, v8, v9) has pointed only into the store since the</w:t>
            </w:r>
            <w:r>
              <w:t xml:space="preserve"> </w:t>
            </w:r>
            <w:r>
              <w:rPr>
                <w:b/>
                <w:bCs/>
              </w:rPr>
              <w:t xml:space="preserve">asset-store migration of 2026-10-02</w:t>
            </w:r>
            <w:r>
              <w:t xml:space="preserve">. The copies the v8 and v9 releases carried before it still exist under their release prefixes (</w:t>
            </w:r>
            <w:r>
              <w:rPr>
                <w:rStyle w:val="VerbatimChar"/>
              </w:rPr>
              <w:t xml:space="preserve">v8/native/</w:t>
            </w:r>
            <w:r>
              <w:t xml:space="preserve">,</w:t>
            </w:r>
            <w:r>
              <w:t xml:space="preserve"> </w:t>
            </w:r>
            <w:r>
              <w:rPr>
                <w:rStyle w:val="VerbatimChar"/>
              </w:rPr>
              <w:t xml:space="preserve">v9/native/</w:t>
            </w:r>
            <w:r>
              <w:t xml:space="preserve">) and on the file host, unreferenced, until a prune that follows a soak period. The migration’s listing on 2026-10-01 found 145,452 objects (33.08 GB) under those two prefixes, which collapse to 86,421 distinct keys (19.63 GB) in the store, because the two releases carry the same files for most datasets.</w:t>
            </w:r>
          </w:p>
          <w:p/>
        </w:tc>
      </w:tr>
    </w:tbl>
    <w:p>
      <w:pPr>
        <w:pStyle w:val="BodyText"/>
      </w:pPr>
      <w:r>
        <w:rPr>
          <w:b/>
          <w:bCs/>
        </w:rPr>
        <w:t xml:space="preserve">A release owns pointers, never distribution files.</w:t>
      </w:r>
      <w:r>
        <w:t xml:space="preserve"> </w:t>
      </w:r>
      <w:r>
        <w:t xml:space="preserve">Every cloud-optimized distribution file lives exactly once in an unversioned, content-addressed store, and each release publishes tables whose rows point into it. Nothing ending in</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is written under a release’s</w:t>
      </w:r>
      <w:r>
        <w:t xml:space="preserve"> </w:t>
      </w:r>
      <w:r>
        <w:rPr>
          <w:rStyle w:val="VerbatimChar"/>
        </w:rPr>
        <w:t xml:space="preserve">{ver}/</w:t>
      </w:r>
      <w:r>
        <w:t xml:space="preserve"> </w:t>
      </w:r>
      <w:r>
        <w:t xml:space="preserve">prefix. A release prefix holds only its manifest, its tables, its app bundle and its serving files.</w:t>
      </w:r>
    </w:p>
    <w:p>
      <w:pPr>
        <w:pStyle w:val="BodyText"/>
      </w:pPr>
      <w:r>
        <w:t xml:space="preserve">There are two stores, both in the project’s public S3 bucket:</w:t>
      </w:r>
    </w:p>
    <w:tbl>
      <w:tblPr>
        <w:tblStyle w:val="Table"/>
        <w:tblW w:type="pct" w:w="5000"/>
        <w:tblLayout w:type="fixed"/>
        <w:tblLook w:firstRow="1" w:lastRow="0" w:firstColumn="0" w:lastColumn="0" w:noHBand="0" w:noVBand="0" w:val="0020"/>
      </w:tblPr>
      <w:tblGrid>
        <w:gridCol w:w="2917"/>
        <w:gridCol w:w="2084"/>
        <w:gridCol w:w="2917"/>
      </w:tblGrid>
      <w:tr>
        <w:trPr>
          <w:tblHeader w:val="on"/>
        </w:trPr>
        <w:tc>
          <w:tcPr/>
          <w:p>
            <w:pPr>
              <w:pStyle w:val="Compact"/>
              <w:jc w:val="left"/>
            </w:pPr>
            <w:r>
              <w:t xml:space="preserve">Store</w:t>
            </w:r>
          </w:p>
        </w:tc>
        <w:tc>
          <w:tcPr/>
          <w:p>
            <w:pPr>
              <w:pStyle w:val="Compact"/>
              <w:jc w:val="left"/>
            </w:pPr>
            <w:r>
              <w:t xml:space="preserve">Key</w:t>
            </w:r>
          </w:p>
        </w:tc>
        <w:tc>
          <w:tcPr/>
          <w:p>
            <w:pPr>
              <w:pStyle w:val="Compact"/>
              <w:jc w:val="left"/>
            </w:pPr>
            <w:r>
              <w:t xml:space="preserve">Holds</w:t>
            </w:r>
          </w:p>
        </w:tc>
      </w:tr>
      <w:tr>
        <w:tc>
          <w:tcPr/>
          <w:p>
            <w:pPr>
              <w:pStyle w:val="Compact"/>
              <w:jc w:val="left"/>
            </w:pPr>
            <w:r>
              <w:rPr>
                <w:rStyle w:val="VerbatimChar"/>
              </w:rPr>
              <w:t xml:space="preserve">cog/</w:t>
            </w:r>
          </w:p>
        </w:tc>
        <w:tc>
          <w:tcPr/>
          <w:p>
            <w:pPr>
              <w:pStyle w:val="Compact"/>
              <w:jc w:val="left"/>
            </w:pPr>
            <w:r>
              <w:rPr>
                <w:rStyle w:val="VerbatimChar"/>
              </w:rPr>
              <w:t xml:space="preserve">cog/{grid_id}/{hash}.tif</w:t>
            </w:r>
          </w:p>
        </w:tc>
        <w:tc>
          <w:tcPr/>
          <w:p>
            <w:pPr>
              <w:pStyle w:val="Compact"/>
              <w:jc w:val="left"/>
            </w:pPr>
            <w:r>
              <w:t xml:space="preserve">rasters</w:t>
            </w:r>
            <w:r>
              <w:t xml:space="preserve"> </w:t>
            </w:r>
            <w:r>
              <w:rPr>
                <w:i/>
                <w:iCs/>
              </w:rPr>
              <w:t xml:space="preserve">on an analysis grid</w:t>
            </w:r>
            <w:r>
              <w:t xml:space="preserve">: each input’s gridded surface, merged models and score surfaces</w:t>
            </w:r>
          </w:p>
        </w:tc>
      </w:tr>
      <w:tr>
        <w:tc>
          <w:tcPr/>
          <w:p>
            <w:pPr>
              <w:pStyle w:val="Compact"/>
              <w:jc w:val="left"/>
            </w:pPr>
            <w:r>
              <w:rPr>
                <w:rStyle w:val="VerbatimChar"/>
              </w:rPr>
              <w:t xml:space="preserve">native/</w:t>
            </w:r>
          </w:p>
        </w:tc>
        <w:tc>
          <w:tcPr/>
          <w:p>
            <w:pPr>
              <w:pStyle w:val="Compact"/>
              <w:jc w:val="left"/>
            </w:pPr>
            <w:r>
              <w:rPr>
                <w:rStyle w:val="VerbatimChar"/>
              </w:rPr>
              <w:t xml:space="preserve">native/{ds_key}/{hash}.{tif\|pmtiles}</w:t>
            </w:r>
          </w:p>
        </w:tc>
        <w:tc>
          <w:tcPr/>
          <w:p>
            <w:pPr>
              <w:pStyle w:val="Compact"/>
              <w:jc w:val="left"/>
            </w:pPr>
            <w:r>
              <w:t xml:space="preserve">each source dataset’s own resolution original: a raster (</w:t>
            </w:r>
            <w:r>
              <w:rPr>
                <w:rStyle w:val="VerbatimChar"/>
              </w:rPr>
              <w:t xml:space="preserve">.tif</w:t>
            </w:r>
            <w:r>
              <w:t xml:space="preserve">) or a vector range (</w:t>
            </w:r>
            <w:r>
              <w:rPr>
                <w:rStyle w:val="VerbatimChar"/>
              </w:rPr>
              <w:t xml:space="preserve">.pmtiles</w:t>
            </w:r>
            <w:r>
              <w:t xml:space="preserve">)</w:t>
            </w:r>
          </w:p>
        </w:tc>
      </w:tr>
    </w:tbl>
    <w:bookmarkStart w:id="437" w:name="the-key-comes-from-the-content"/>
    <w:p>
      <w:pPr>
        <w:pStyle w:val="Heading3"/>
      </w:pPr>
      <w:r>
        <w:t xml:space="preserve">15.3.1 The key comes from the content</w:t>
      </w:r>
    </w:p>
    <w:p>
      <w:pPr>
        <w:pStyle w:val="FirstParagraph"/>
      </w:pPr>
      <w:r>
        <w:t xml:space="preserve">The</w:t>
      </w:r>
      <w:r>
        <w:t xml:space="preserve"> </w:t>
      </w:r>
      <w:r>
        <w:rPr>
          <w:rStyle w:val="VerbatimChar"/>
        </w:rPr>
        <w:t xml:space="preserve">hash</w:t>
      </w:r>
      <w:r>
        <w:t xml:space="preserve"> </w:t>
      </w:r>
      <w:r>
        <w:t xml:space="preserve">in a key is computed</w:t>
      </w:r>
      <w:r>
        <w:t xml:space="preserve"> </w:t>
      </w:r>
      <w:r>
        <w:rPr>
          <w:b/>
          <w:bCs/>
        </w:rPr>
        <w:t xml:space="preserve">before</w:t>
      </w:r>
      <w:r>
        <w:t xml:space="preserve"> </w:t>
      </w:r>
      <w:r>
        <w:t xml:space="preserve">any file is built, from the</w:t>
      </w:r>
      <w:r>
        <w:t xml:space="preserve"> </w:t>
      </w:r>
      <w:r>
        <w:rPr>
          <w:i/>
          <w:iCs/>
        </w:rPr>
        <w:t xml:space="preserve">source content</w:t>
      </w:r>
      <w:r>
        <w:t xml:space="preserve"> </w:t>
      </w:r>
      <w:r>
        <w:t xml:space="preserve">of the model plus an</w:t>
      </w:r>
      <w:r>
        <w:t xml:space="preserve"> </w:t>
      </w:r>
      <w:r>
        <w:rPr>
          <w:b/>
          <w:bCs/>
        </w:rPr>
        <w:t xml:space="preserve">encoding tag</w:t>
      </w:r>
      <w:r>
        <w:t xml:space="preserve">, and never from the bytes of the file or from the release:</w:t>
      </w:r>
    </w:p>
    <w:p>
      <w:pPr>
        <w:pStyle w:val="Compact"/>
        <w:numPr>
          <w:ilvl w:val="0"/>
          <w:numId w:val="1046"/>
        </w:numPr>
      </w:pPr>
      <w:r>
        <w:t xml:space="preserve">for a gridded surface, the model’s</w:t>
      </w:r>
      <w:r>
        <w:t xml:space="preserve"> </w:t>
      </w:r>
      <w:r>
        <w:rPr>
          <w:rStyle w:val="VerbatimChar"/>
        </w:rPr>
        <w:t xml:space="preserve">(cell_id, val)</w:t>
      </w:r>
      <w:r>
        <w:t xml:space="preserve"> </w:t>
      </w:r>
      <w:r>
        <w:t xml:space="preserve">rows;</w:t>
      </w:r>
    </w:p>
    <w:p>
      <w:pPr>
        <w:pStyle w:val="Compact"/>
        <w:numPr>
          <w:ilvl w:val="0"/>
          <w:numId w:val="1046"/>
        </w:numPr>
      </w:pPr>
      <w:r>
        <w:t xml:space="preserve">for a native raster, the source grid’s</w:t>
      </w:r>
      <w:r>
        <w:t xml:space="preserve"> </w:t>
      </w:r>
      <w:r>
        <w:rPr>
          <w:rStyle w:val="VerbatimChar"/>
        </w:rPr>
        <w:t xml:space="preserve">(cell_id, val)</w:t>
      </w:r>
      <w:r>
        <w:t xml:space="preserve"> </w:t>
      </w:r>
      <w:r>
        <w:t xml:space="preserve">rows;</w:t>
      </w:r>
    </w:p>
    <w:p>
      <w:pPr>
        <w:pStyle w:val="Compact"/>
        <w:numPr>
          <w:ilvl w:val="0"/>
          <w:numId w:val="1046"/>
        </w:numPr>
      </w:pPr>
      <w:r>
        <w:t xml:space="preserve">for a native vector range, the normalized geometry and the attributes that reach the tile;</w:t>
      </w:r>
    </w:p>
    <w:p>
      <w:pPr>
        <w:pStyle w:val="Compact"/>
        <w:numPr>
          <w:ilvl w:val="0"/>
          <w:numId w:val="1046"/>
        </w:numPr>
      </w:pPr>
      <w:r>
        <w:t xml:space="preserve">the encoding tag names how the file is written (data type, nodata, overviews, tile scheme), so a different encoding of the same content is deliberately a different object.</w:t>
      </w:r>
    </w:p>
    <w:p>
      <w:pPr>
        <w:pStyle w:val="FirstParagraph"/>
      </w:pPr>
      <w:r>
        <w:t xml:space="preserve">Two consequences follow. A surface that did not change between releases is found in the store by its key, so it costs neither a build nor an upload; a source dataset such as AquaMaps that is unchanged between releases is registered by a new pointer row and nothing else. And a merged model that equals its only input has the same rows, hence the same key, hence is the same object as that input, with no special case. A re-ingested dataset adds objects only for the models whose content changed; the old objects stay for the releases that still point at them. Scores are always new, because they are per-release tables.</w:t>
      </w:r>
    </w:p>
    <w:tbl>
      <w:tblPr>
        <w:tblStyle w:val="Table"/>
        <w:tblW w:type="pct" w:w="5000"/>
        <w:tblLayout w:type="fixed"/>
        <w:tblLook w:firstRow="0" w:lastRow="0" w:firstColumn="0" w:lastColumn="0" w:noHBand="0" w:noVBand="0" w:val="0000"/>
      </w:tblPr>
      <w:tblGrid>
        <w:gridCol w:w="7920"/>
      </w:tblGrid>
      <w:tr>
        <w:tc>
          <w:tcPr/>
          <w:bookmarkStart w:id="436" w:name="fig-asset-store"/>
          <w:p>
            <w:pPr>
              <w:jc w:val="center"/>
            </w:pPr>
            <w:r>
              <w:drawing>
                <wp:inline>
                  <wp:extent cx="4517136" cy="3639312"/>
                  <wp:effectExtent b="0" l="0" r="0" t="0"/>
                  <wp:docPr descr="" title="" id="434" name="Picture"/>
                  <a:graphic>
                    <a:graphicData uri="http://schemas.openxmlformats.org/drawingml/2006/picture">
                      <pic:pic>
                        <pic:nvPicPr>
                          <pic:cNvPr descr="db_files/figure-docx/mermaid-figure-2.png" id="435" name="Picture"/>
                          <pic:cNvPicPr>
                            <a:picLocks noChangeArrowheads="1" noChangeAspect="1"/>
                          </pic:cNvPicPr>
                        </pic:nvPicPr>
                        <pic:blipFill>
                          <a:blip r:embed="rId433"/>
                          <a:stretch>
                            <a:fillRect/>
                          </a:stretch>
                        </pic:blipFill>
                        <pic:spPr bwMode="auto">
                          <a:xfrm>
                            <a:off x="0" y="0"/>
                            <a:ext cx="4517136" cy="36393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15.1: A release’s pointer table refers to objects in the shared stores; the catalog lists every stored object.</w:t>
            </w:r>
          </w:p>
          <w:bookmarkEnd w:id="436"/>
        </w:tc>
      </w:tr>
    </w:tbl>
    <w:bookmarkEnd w:id="437"/>
    <w:bookmarkStart w:id="438" w:name="the-catalog-and-the-pointer-table"/>
    <w:p>
      <w:pPr>
        <w:pStyle w:val="Heading3"/>
      </w:pPr>
      <w:r>
        <w:t xml:space="preserve">15.3.2 The catalog and the pointer table</w:t>
      </w:r>
    </w:p>
    <w:p>
      <w:pPr>
        <w:pStyle w:val="Compact"/>
        <w:numPr>
          <w:ilvl w:val="0"/>
          <w:numId w:val="1047"/>
        </w:numPr>
      </w:pPr>
      <w:r>
        <w:rPr>
          <w:rStyle w:val="VerbatimChar"/>
          <w:b/>
          <w:bCs/>
        </w:rPr>
        <w:t xml:space="preserve">assets.parquet</w:t>
      </w:r>
      <w:r>
        <w:t xml:space="preserve"> </w:t>
      </w:r>
      <w:r>
        <w:t xml:space="preserve">at the atlas root (beside the</w:t>
      </w:r>
      <w:r>
        <w:t xml:space="preserve"> </w:t>
      </w:r>
      <w:r>
        <w:rPr>
          <w:rStyle w:val="VerbatimChar"/>
        </w:rPr>
        <w:t xml:space="preserve">cog/</w:t>
      </w:r>
      <w:r>
        <w:t xml:space="preserve"> </w:t>
      </w:r>
      <w:r>
        <w:t xml:space="preserve">and</w:t>
      </w:r>
      <w:r>
        <w:t xml:space="preserve"> </w:t>
      </w:r>
      <w:r>
        <w:rPr>
          <w:rStyle w:val="VerbatimChar"/>
        </w:rPr>
        <w:t xml:space="preserve">native/</w:t>
      </w:r>
      <w:r>
        <w:t xml:space="preserve"> </w:t>
      </w:r>
      <w:r>
        <w:t xml:space="preserve">stores, under the same</w:t>
      </w:r>
      <w:r>
        <w:t xml:space="preserve"> </w:t>
      </w:r>
      <w:r>
        <w:rPr>
          <w:rStyle w:val="VerbatimChar"/>
        </w:rPr>
        <w:t xml:space="preserve">marine-atlas/</w:t>
      </w:r>
      <w:r>
        <w:t xml:space="preserve"> </w:t>
      </w:r>
      <w:r>
        <w:t xml:space="preserve">prefix as the releases) is the catalog, with one row per stored object (store, key, content hash, encoding tag, asset type, grid or dataset key, size, MD5, creation time and the first release that used it).</w:t>
      </w:r>
      <w:r>
        <w:t xml:space="preserve"> </w:t>
      </w:r>
      <w:r>
        <w:t xml:space="preserve">“Is it already stored?”</w:t>
      </w:r>
      <w:r>
        <w:t xml:space="preserve"> </w:t>
      </w:r>
      <w:r>
        <w:t xml:space="preserve">is an anti-join against this file, not a bucket listing.</w:t>
      </w:r>
    </w:p>
    <w:p>
      <w:pPr>
        <w:pStyle w:val="Compact"/>
        <w:numPr>
          <w:ilvl w:val="0"/>
          <w:numId w:val="1047"/>
        </w:numPr>
      </w:pPr>
      <w:r>
        <w:rPr>
          <w:rStyle w:val="VerbatimChar"/>
          <w:b/>
          <w:bCs/>
        </w:rPr>
        <w:t xml:space="preserve">native_asset</w:t>
      </w:r>
      <w:r>
        <w:t xml:space="preserve"> </w:t>
      </w:r>
      <w:r>
        <w:t xml:space="preserve">is the per-release pointer table (</w:t>
      </w:r>
      <w:hyperlink w:anchor="tbl-db-tables">
        <w:r>
          <w:rPr>
            <w:rStyle w:val="Hyperlink"/>
          </w:rPr>
          <w:t xml:space="preserve">Table 15.1</w:t>
        </w:r>
      </w:hyperlink>
      <w:r>
        <w:t xml:space="preserve">). Its</w:t>
      </w:r>
      <w:r>
        <w:t xml:space="preserve"> </w:t>
      </w:r>
      <w:r>
        <w:rPr>
          <w:rStyle w:val="VerbatimChar"/>
        </w:rPr>
        <w:t xml:space="preserve">representation = model</w:t>
      </w:r>
      <w:r>
        <w:t xml:space="preserve"> </w:t>
      </w:r>
      <w:r>
        <w:t xml:space="preserve">rows point into</w:t>
      </w:r>
      <w:r>
        <w:t xml:space="preserve"> </w:t>
      </w:r>
      <w:r>
        <w:rPr>
          <w:rStyle w:val="VerbatimChar"/>
        </w:rPr>
        <w:t xml:space="preserve">cog/</w:t>
      </w:r>
      <w:r>
        <w:t xml:space="preserve">, its</w:t>
      </w:r>
      <w:r>
        <w:t xml:space="preserve"> </w:t>
      </w:r>
      <w:r>
        <w:rPr>
          <w:rStyle w:val="VerbatimChar"/>
        </w:rPr>
        <w:t xml:space="preserve">native</w:t>
      </w:r>
      <w:r>
        <w:t xml:space="preserve"> </w:t>
      </w:r>
      <w:r>
        <w:t xml:space="preserve">rows point into</w:t>
      </w:r>
      <w:r>
        <w:t xml:space="preserve"> </w:t>
      </w:r>
      <w:r>
        <w:rPr>
          <w:rStyle w:val="VerbatimChar"/>
        </w:rPr>
        <w:t xml:space="preserve">native/</w:t>
      </w:r>
      <w:r>
        <w:t xml:space="preserve">, and a merged model is a row with</w:t>
      </w:r>
      <w:r>
        <w:t xml:space="preserve"> </w:t>
      </w:r>
      <w:r>
        <w:rPr>
          <w:rStyle w:val="VerbatimChar"/>
        </w:rPr>
        <w:t xml:space="preserve">ds_key = ms_merge</w:t>
      </w:r>
      <w:r>
        <w:t xml:space="preserve">. Each row carries the content hash and the asset URL; a PMTiles row also carries</w:t>
      </w:r>
      <w:r>
        <w:t xml:space="preserve"> </w:t>
      </w:r>
      <w:r>
        <w:rPr>
          <w:rStyle w:val="VerbatimChar"/>
        </w:rPr>
        <w:t xml:space="preserve">source_key</w:t>
      </w:r>
      <w:r>
        <w:t xml:space="preserve">, the model key the tile’s features are tagged with, which is how a viewer filters one range out of the archive. Every published release has one in this shape; the earlier releases keep</w:t>
      </w:r>
      <w:r>
        <w:t xml:space="preserve"> </w:t>
      </w:r>
      <w:r>
        <w:rPr>
          <w:rStyle w:val="VerbatimChar"/>
        </w:rPr>
        <w:t xml:space="preserve">model_asset</w:t>
      </w:r>
      <w:r>
        <w:t xml:space="preserve"> </w:t>
      </w:r>
      <w:r>
        <w:t xml:space="preserve">beside it so that old links still resolve.</w:t>
      </w:r>
    </w:p>
    <w:p>
      <w:pPr>
        <w:pStyle w:val="Compact"/>
        <w:numPr>
          <w:ilvl w:val="0"/>
          <w:numId w:val="1047"/>
        </w:numPr>
      </w:pPr>
      <w:r>
        <w:t xml:space="preserve">An object no release points at is garbage. Nothing is deleted except through a check that joins the catalog against every release’s pointer tables.</w:t>
      </w:r>
    </w:p>
    <w:bookmarkEnd w:id="438"/>
    <w:bookmarkStart w:id="439" w:name="finding-a-file"/>
    <w:p>
      <w:pPr>
        <w:pStyle w:val="Heading3"/>
      </w:pPr>
      <w:r>
        <w:t xml:space="preserve">15.3.3 Finding a file</w:t>
      </w:r>
    </w:p>
    <w:p>
      <w:pPr>
        <w:pStyle w:val="FirstParagraph"/>
      </w:pPr>
      <w:r>
        <w:t xml:space="preserve">The bucket denies anonymous listing, so a file is found through a pointer, not by browsing:</w:t>
      </w:r>
    </w:p>
    <w:p>
      <w:pPr>
        <w:pStyle w:val="Compact"/>
        <w:numPr>
          <w:ilvl w:val="0"/>
          <w:numId w:val="1048"/>
        </w:numPr>
      </w:pPr>
      <w:r>
        <w:t xml:space="preserve">read the catalog</w:t>
      </w:r>
      <w:r>
        <w:t xml:space="preserve"> </w:t>
      </w:r>
      <w:r>
        <w:rPr>
          <w:rStyle w:val="VerbatimChar"/>
        </w:rPr>
        <w:t xml:space="preserve">assets.parquet</w:t>
      </w:r>
      <w:r>
        <w:t xml:space="preserve"> </w:t>
      </w:r>
      <w:r>
        <w:t xml:space="preserve">to see what exists and where;</w:t>
      </w:r>
    </w:p>
    <w:p>
      <w:pPr>
        <w:pStyle w:val="Compact"/>
        <w:numPr>
          <w:ilvl w:val="0"/>
          <w:numId w:val="1048"/>
        </w:numPr>
      </w:pPr>
      <w:r>
        <w:t xml:space="preserve">read a release’s</w:t>
      </w:r>
      <w:r>
        <w:t xml:space="preserve"> </w:t>
      </w:r>
      <w:r>
        <w:rPr>
          <w:rStyle w:val="VerbatimChar"/>
        </w:rPr>
        <w:t xml:space="preserve">native_asset</w:t>
      </w:r>
      <w:r>
        <w:t xml:space="preserve"> </w:t>
      </w:r>
      <w:r>
        <w:t xml:space="preserve">table (</w:t>
      </w:r>
      <w:r>
        <w:rPr>
          <w:rStyle w:val="VerbatimChar"/>
        </w:rPr>
        <w:t xml:space="preserve">{ver}/tables/native_asset.parquet</w:t>
      </w:r>
      <w:r>
        <w:t xml:space="preserve">) to see which objects that release uses for each model;</w:t>
      </w:r>
    </w:p>
    <w:p>
      <w:pPr>
        <w:pStyle w:val="Compact"/>
        <w:numPr>
          <w:ilvl w:val="0"/>
          <w:numId w:val="1048"/>
        </w:numPr>
      </w:pPr>
      <w:r>
        <w:t xml:space="preserve">or ask STAC: the searchable STAC API is built from the pointer table, so each Item’s</w:t>
      </w:r>
      <w:r>
        <w:t xml:space="preserve"> </w:t>
      </w:r>
      <w:r>
        <w:rPr>
          <w:rStyle w:val="VerbatimChar"/>
        </w:rPr>
        <w:t xml:space="preserve">model</w:t>
      </w:r>
      <w:r>
        <w:t xml:space="preserve"> </w:t>
      </w:r>
      <w:r>
        <w:t xml:space="preserve">and</w:t>
      </w:r>
      <w:r>
        <w:t xml:space="preserve"> </w:t>
      </w:r>
      <w:r>
        <w:rPr>
          <w:rStyle w:val="VerbatimChar"/>
        </w:rPr>
        <w:t xml:space="preserve">native</w:t>
      </w:r>
      <w:r>
        <w:t xml:space="preserve"> </w:t>
      </w:r>
      <w:r>
        <w:t xml:space="preserve">assets carry the same store URLs, and the static STAC catalog of a release links them once its tree is rebuilt from the pointer table (every published release today).</w:t>
      </w:r>
    </w:p>
    <w:bookmarkEnd w:id="439"/>
    <w:bookmarkStart w:id="440" w:name="verify-before-store"/>
    <w:p>
      <w:pPr>
        <w:pStyle w:val="Heading3"/>
      </w:pPr>
      <w:r>
        <w:t xml:space="preserve">15.3.4 Verify before store</w:t>
      </w:r>
    </w:p>
    <w:p>
      <w:pPr>
        <w:pStyle w:val="FirstParagraph"/>
      </w:pPr>
      <w:r>
        <w:t xml:space="preserve">An object is admitted to the store under key</w:t>
      </w:r>
      <w:r>
        <w:t xml:space="preserve"> </w:t>
      </w:r>
      <w:r>
        <w:rPr>
          <w:i/>
          <w:iCs/>
        </w:rPr>
        <w:t xml:space="preserve">K</w:t>
      </w:r>
      <w:r>
        <w:t xml:space="preserve"> </w:t>
      </w:r>
      <w:r>
        <w:t xml:space="preserve">only if its decoded pixels equal the rows</w:t>
      </w:r>
      <w:r>
        <w:t xml:space="preserve"> </w:t>
      </w:r>
      <w:r>
        <w:rPr>
          <w:i/>
          <w:iCs/>
        </w:rPr>
        <w:t xml:space="preserve">K</w:t>
      </w:r>
      <w:r>
        <w:t xml:space="preserve"> </w:t>
      </w:r>
      <w:r>
        <w:t xml:space="preserve">was computed from. In the migration, a file that failed the check was repainted from the model’s current rows and uploaded under its key (2,934 of the raster objects; the rest were copied once their pixels had been verified). A publish applies the same check to every new file before it is uploaded. This keeps what a map draws identical to what the scores used.</w:t>
      </w:r>
    </w:p>
    <w:p>
      <w:pPr>
        <w:pStyle w:val="BodyText"/>
      </w:pPr>
      <w:r>
        <w:t xml:space="preserve">See</w:t>
      </w:r>
      <w:r>
        <w:t xml:space="preserve"> </w:t>
      </w:r>
      <w:hyperlink w:anchor="sec-workflows-asset-store">
        <w:r>
          <w:rPr>
            <w:rStyle w:val="Hyperlink"/>
          </w:rPr>
          <w:t xml:space="preserve">Section 16.3</w:t>
        </w:r>
      </w:hyperlink>
      <w:r>
        <w:t xml:space="preserve"> </w:t>
      </w:r>
      <w:r>
        <w:t xml:space="preserve">for how a publish writes to the store and what the publish gate checks.</w:t>
      </w:r>
    </w:p>
    <w:bookmarkEnd w:id="440"/>
    <w:bookmarkEnd w:id="441"/>
    <w:bookmarkStart w:id="442" w:name="how-the-tables-feed-the-serving-tier"/>
    <w:p>
      <w:pPr>
        <w:pStyle w:val="Heading2"/>
      </w:pPr>
      <w:r>
        <w:t xml:space="preserve">15.4 How the tables feed the serving tier</w:t>
      </w:r>
    </w:p>
    <w:p>
      <w:pPr>
        <w:pStyle w:val="Compact"/>
        <w:numPr>
          <w:ilvl w:val="0"/>
          <w:numId w:val="1049"/>
        </w:numPr>
      </w:pPr>
      <w:r>
        <w:rPr>
          <w:b/>
          <w:bCs/>
        </w:rPr>
        <w:t xml:space="preserve">Score rasters</w:t>
      </w:r>
      <w:r>
        <w:t xml:space="preserve"> </w:t>
      </w:r>
      <w:r>
        <w:t xml:space="preserve">— per-cell scores are published as</w:t>
      </w:r>
      <w:r>
        <w:t xml:space="preserve"> </w:t>
      </w:r>
      <w:r>
        <w:rPr>
          <w:b/>
          <w:bCs/>
        </w:rPr>
        <w:t xml:space="preserve">Cloud-Optimized GeoTIFFs</w:t>
      </w:r>
      <w:r>
        <w:t xml:space="preserve">, one per metric × subregion, and the app reads the href and rescale range straight from the release manifest. Earlier releases rendered them by sending SQL to a tile factory per request; that path is retired (see</w:t>
      </w:r>
      <w:r>
        <w:t xml:space="preserve"> </w:t>
      </w:r>
      <w:hyperlink w:anchor="sec-server">
        <w:r>
          <w:rPr>
            <w:rStyle w:val="Hyperlink"/>
          </w:rPr>
          <w:t xml:space="preserve">Chapter 14</w:t>
        </w:r>
      </w:hyperlink>
      <w:r>
        <w:t xml:space="preserve">).</w:t>
      </w:r>
    </w:p>
    <w:p>
      <w:pPr>
        <w:pStyle w:val="Compact"/>
        <w:numPr>
          <w:ilvl w:val="0"/>
          <w:numId w:val="1049"/>
        </w:numPr>
      </w:pPr>
      <w:r>
        <w:rPr>
          <w:b/>
          <w:bCs/>
        </w:rPr>
        <w:t xml:space="preserve">Per-model distributions</w:t>
      </w:r>
      <w:r>
        <w:t xml:space="preserve"> </w:t>
      </w:r>
      <w:r>
        <w:t xml:space="preserve">—</w:t>
      </w:r>
      <w:r>
        <w:t xml:space="preserve"> </w:t>
      </w:r>
      <w:r>
        <w:rPr>
          <w:rStyle w:val="VerbatimChar"/>
        </w:rPr>
        <w:t xml:space="preserve">model_cell</w:t>
      </w:r>
      <w:r>
        <w:t xml:space="preserve"> </w:t>
      </w:r>
      <w:r>
        <w:t xml:space="preserve">is published partitioned by a dense integer model id, so a tile request reads exactly one partition as a point read rather than scanning the surface.</w:t>
      </w:r>
    </w:p>
    <w:p>
      <w:pPr>
        <w:pStyle w:val="Compact"/>
        <w:numPr>
          <w:ilvl w:val="0"/>
          <w:numId w:val="1049"/>
        </w:numPr>
      </w:pPr>
      <w:r>
        <w:rPr>
          <w:b/>
          <w:bCs/>
        </w:rPr>
        <w:t xml:space="preserve">Zone choropleths</w:t>
      </w:r>
      <w:r>
        <w:t xml:space="preserve"> </w:t>
      </w:r>
      <w:r>
        <w:t xml:space="preserve">—</w:t>
      </w:r>
      <w:r>
        <w:t xml:space="preserve"> </w:t>
      </w:r>
      <w:r>
        <w:rPr>
          <w:rStyle w:val="VerbatimChar"/>
        </w:rPr>
        <w:t xml:space="preserve">zone_metric</w:t>
      </w:r>
      <w:r>
        <w:t xml:space="preserve"> </w:t>
      </w:r>
      <w:r>
        <w:t xml:space="preserve">joined to</w:t>
      </w:r>
      <w:r>
        <w:t xml:space="preserve"> </w:t>
      </w:r>
      <w:r>
        <w:rPr>
          <w:rStyle w:val="VerbatimChar"/>
        </w:rPr>
        <w:t xml:space="preserve">zone</w:t>
      </w:r>
      <w:r>
        <w:t xml:space="preserve"> </w:t>
      </w:r>
      <w:r>
        <w:t xml:space="preserve">gives the per-zone score; the geometry comes from PMTiles published per zone-set</w:t>
      </w:r>
      <w:r>
        <w:t xml:space="preserve"> </w:t>
      </w:r>
      <w:r>
        <w:rPr>
          <w:b/>
          <w:bCs/>
        </w:rPr>
        <w:t xml:space="preserve">vintage</w:t>
      </w:r>
      <w:r>
        <w:t xml:space="preserve">, and the manifest names the vintage each release used. Only the paint specification changes when the reader switches metric.</w:t>
      </w:r>
    </w:p>
    <w:p>
      <w:pPr>
        <w:pStyle w:val="Compact"/>
        <w:numPr>
          <w:ilvl w:val="0"/>
          <w:numId w:val="1049"/>
        </w:numPr>
      </w:pPr>
      <w:r>
        <w:rPr>
          <w:b/>
          <w:bCs/>
        </w:rPr>
        <w:t xml:space="preserve">Per-cell and per-area species lists</w:t>
      </w:r>
      <w:r>
        <w:t xml:space="preserve"> </w:t>
      </w:r>
      <w:r>
        <w:t xml:space="preserve">— the same rows partitioned by a spatial tile instead (</w:t>
      </w:r>
      <w:r>
        <w:rPr>
          <w:rStyle w:val="VerbatimChar"/>
        </w:rPr>
        <w:t xml:space="preserve">cell_model</w:t>
      </w:r>
      <w:r>
        <w:t xml:space="preserve">), because a per-cell question against a model-partitioned surface would scan everything.</w:t>
      </w:r>
    </w:p>
    <w:p>
      <w:pPr>
        <w:pStyle w:val="FirstParagraph"/>
      </w:pPr>
      <w:r>
        <w:t xml:space="preserve">See</w:t>
      </w:r>
      <w:r>
        <w:t xml:space="preserve"> </w:t>
      </w:r>
      <w:hyperlink w:anchor="sec-workflows">
        <w:r>
          <w:rPr>
            <w:rStyle w:val="Hyperlink"/>
          </w:rPr>
          <w:t xml:space="preserve">Chapter 16</w:t>
        </w:r>
      </w:hyperlink>
      <w:r>
        <w:t xml:space="preserve"> </w:t>
      </w:r>
      <w:r>
        <w:t xml:space="preserve">for the notebooks that build each of these tables.</w:t>
      </w:r>
    </w:p>
    <w:bookmarkEnd w:id="442"/>
    <w:bookmarkEnd w:id="443"/>
    <w:bookmarkStart w:id="452" w:name="sec-workflows"/>
    <w:p>
      <w:pPr>
        <w:pStyle w:val="Heading1"/>
      </w:pPr>
      <w:r>
        <w:t xml:space="preserve">16. Workflows</w:t>
      </w:r>
    </w:p>
    <w:p>
      <w:pPr>
        <w:pStyle w:val="FirstParagraph"/>
      </w:pPr>
      <w:r>
        <w:t xml:space="preserve">Workflows are</w:t>
      </w:r>
      <w:r>
        <w:t xml:space="preserve"> </w:t>
      </w:r>
      <w:hyperlink r:id="rId444">
        <w:r>
          <w:rPr>
            <w:rStyle w:val="Hyperlink"/>
          </w:rPr>
          <w:t xml:space="preserve">Quarto</w:t>
        </w:r>
      </w:hyperlink>
      <w:r>
        <w:t xml:space="preserve"> </w:t>
      </w:r>
      <w:r>
        <w:t xml:space="preserve">notebooks that ingest source datasets, resolve taxonomy, merge models, compute scores and publish a release. They are the only writers of the pipeline database; everything downstream reads published artifacts.</w:t>
      </w:r>
    </w:p>
    <w:p>
      <w:pPr>
        <w:pStyle w:val="BodyText"/>
      </w:pPr>
      <w:r>
        <w:t xml:space="preserve">Links:</w:t>
      </w:r>
    </w:p>
    <w:p>
      <w:pPr>
        <w:pStyle w:val="Compact"/>
        <w:numPr>
          <w:ilvl w:val="0"/>
          <w:numId w:val="1050"/>
        </w:numPr>
      </w:pPr>
      <w:hyperlink r:id="rId292">
        <w:r>
          <w:rPr>
            <w:rStyle w:val="Hyperlink"/>
          </w:rPr>
          <w:t xml:space="preserve">marinesensitivity.org/workflows</w:t>
        </w:r>
      </w:hyperlink>
      <w:r>
        <w:t xml:space="preserve"> </w:t>
      </w:r>
      <w:r>
        <w:t xml:space="preserve">— every notebook, rendered, with the current dependency graph</w:t>
      </w:r>
    </w:p>
    <w:p>
      <w:pPr>
        <w:pStyle w:val="Compact"/>
        <w:numPr>
          <w:ilvl w:val="0"/>
          <w:numId w:val="1050"/>
        </w:numPr>
      </w:pPr>
      <w:hyperlink r:id="rId351">
        <w:r>
          <w:rPr>
            <w:rStyle w:val="Hyperlink"/>
          </w:rPr>
          <w:t xml:space="preserve">github.com/MarineSensitivity/workflows</w:t>
        </w:r>
      </w:hyperlink>
      <w:r>
        <w:t xml:space="preserve"> </w:t>
      </w:r>
      <w:r>
        <w:t xml:space="preserve">— source</w:t>
      </w:r>
    </w:p>
    <w:p>
      <w:pPr>
        <w:pStyle w:val="FirstParagraph"/>
      </w:pPr>
      <w:r>
        <w:t xml:space="preserve">The notebook list is deliberately</w:t>
      </w:r>
      <w:r>
        <w:t xml:space="preserve"> </w:t>
      </w:r>
      <w:r>
        <w:rPr>
          <w:b/>
          <w:bCs/>
        </w:rPr>
        <w:t xml:space="preserve">not</w:t>
      </w:r>
      <w:r>
        <w:t xml:space="preserve"> </w:t>
      </w:r>
      <w:r>
        <w:t xml:space="preserve">reproduced here: it is generated from the pipeline’s own metadata and changes whenever a dataset is added. What is documented here is the contract that generates it.</w:t>
      </w:r>
    </w:p>
    <w:bookmarkStart w:id="446" w:name="Xae628da37a91019466d260d772fb0a37c78255d"/>
    <w:p>
      <w:pPr>
        <w:pStyle w:val="Heading2"/>
      </w:pPr>
      <w:r>
        <w:t xml:space="preserve">16.1 The pipeline is a graph, generated from the notebooks</w:t>
      </w:r>
    </w:p>
    <w:p>
      <w:pPr>
        <w:pStyle w:val="FirstParagraph"/>
      </w:pPr>
      <w:r>
        <w:t xml:space="preserve">The pipeline is a</w:t>
      </w:r>
      <w:r>
        <w:t xml:space="preserve"> </w:t>
      </w:r>
      <w:hyperlink r:id="rId445">
        <w:r>
          <w:rPr>
            <w:rStyle w:val="VerbatimChar"/>
          </w:rPr>
          <w:t xml:space="preserve">targets</w:t>
        </w:r>
      </w:hyperlink>
      <w:r>
        <w:t xml:space="preserve"> </w:t>
      </w:r>
      <w:r>
        <w:t xml:space="preserve">directed acyclic graph, and the graph is</w:t>
      </w:r>
      <w:r>
        <w:t xml:space="preserve"> </w:t>
      </w:r>
      <w:r>
        <w:rPr>
          <w:b/>
          <w:bCs/>
        </w:rPr>
        <w:t xml:space="preserve">not hand-maintained</w:t>
      </w:r>
      <w:r>
        <w:t xml:space="preserve">. Each notebook declares its own place in it, in YAML front-matter:</w:t>
      </w:r>
    </w:p>
    <w:p>
      <w:pPr>
        <w:pStyle w:val="SourceCode"/>
      </w:pPr>
      <w:r>
        <w:rPr>
          <w:rStyle w:val="FunctionTok"/>
        </w:rPr>
        <w:t xml:space="preserve">msens</w:t>
      </w:r>
      <w:r>
        <w:rPr>
          <w:rStyle w:val="KeywordTok"/>
        </w:rPr>
        <w:t xml:space="preserve">:</w:t>
      </w:r>
      <w:r>
        <w:br/>
      </w:r>
      <w:r>
        <w:rPr>
          <w:rStyle w:val="AttributeTok"/>
        </w:rPr>
        <w:t xml:space="preserve">  </w:t>
      </w:r>
      <w:r>
        <w:rPr>
          <w:rStyle w:val="FunctionTok"/>
        </w:rPr>
        <w:t xml:space="preserve">target_name</w:t>
      </w:r>
      <w:r>
        <w:rPr>
          <w:rStyle w:val="KeywordTok"/>
        </w:rPr>
        <w:t xml:space="preserve">:</w:t>
      </w:r>
      <w:r>
        <w:rPr>
          <w:rStyle w:val="AttributeTok"/>
        </w:rPr>
        <w:t xml:space="preserve"> ingest_aquamaps</w:t>
      </w:r>
      <w:r>
        <w:br/>
      </w:r>
      <w:r>
        <w:rPr>
          <w:rStyle w:val="AttributeTok"/>
        </w:rPr>
        <w:t xml:space="preserve">  </w:t>
      </w:r>
      <w:r>
        <w:rPr>
          <w:rStyle w:val="FunctionTok"/>
        </w:rPr>
        <w:t xml:space="preserve">workflow_type</w:t>
      </w:r>
      <w:r>
        <w:rPr>
          <w:rStyle w:val="KeywordTok"/>
        </w:rPr>
        <w:t xml:space="preserve">:</w:t>
      </w:r>
      <w:r>
        <w:rPr>
          <w:rStyle w:val="AttributeTok"/>
        </w:rPr>
        <w:t xml:space="preserve"> ingest</w:t>
      </w:r>
      <w:r>
        <w:br/>
      </w:r>
      <w:r>
        <w:rPr>
          <w:rStyle w:val="AttributeTok"/>
        </w:rPr>
        <w:t xml:space="preserve">  </w:t>
      </w:r>
      <w:r>
        <w:rPr>
          <w:rStyle w:val="FunctionTok"/>
        </w:rPr>
        <w:t xml:space="preserve">dependency</w:t>
      </w:r>
      <w:r>
        <w:rPr>
          <w:rStyle w:val="KeywordTok"/>
        </w:rPr>
        <w:t xml:space="preserve">:</w:t>
      </w:r>
      <w:r>
        <w:rPr>
          <w:rStyle w:val="AttributeTok"/>
        </w:rPr>
        <w:t xml:space="preserve"> </w:t>
      </w:r>
      <w:r>
        <w:rPr>
          <w:rStyle w:val="KeywordTok"/>
        </w:rPr>
        <w:t xml:space="preserve">[</w:t>
      </w:r>
      <w:r>
        <w:rPr>
          <w:rStyle w:val="AttributeTok"/>
        </w:rPr>
        <w:t xml:space="preserve">build_cell_grid</w:t>
      </w:r>
      <w:r>
        <w:rPr>
          <w:rStyle w:val="KeywordTok"/>
        </w:rPr>
        <w:t xml:space="preserve">]</w:t>
      </w:r>
      <w:r>
        <w:br/>
      </w:r>
      <w:r>
        <w:rPr>
          <w:rStyle w:val="AttributeTok"/>
        </w:rPr>
        <w:t xml:space="preserve">  </w:t>
      </w:r>
      <w:r>
        <w:rPr>
          <w:rStyle w:val="FunctionTok"/>
        </w:rPr>
        <w:t xml:space="preserve">output</w:t>
      </w:r>
      <w:r>
        <w:rPr>
          <w:rStyle w:val="KeywordTok"/>
        </w:rPr>
        <w:t xml:space="preserve">:</w:t>
      </w:r>
      <w:r>
        <w:rPr>
          <w:rStyle w:val="AttributeTok"/>
        </w:rPr>
        <w:t xml:space="preserve"> data/manifests/ingest_aquamaps.json</w:t>
      </w:r>
      <w:r>
        <w:br/>
      </w:r>
      <w:r>
        <w:rPr>
          <w:rStyle w:val="AttributeTok"/>
        </w:rPr>
        <w:t xml:space="preserve">  </w:t>
      </w:r>
      <w:r>
        <w:rPr>
          <w:rStyle w:val="FunctionTok"/>
        </w:rPr>
        <w:t xml:space="preserve">dataset</w:t>
      </w:r>
      <w:r>
        <w:rPr>
          <w:rStyle w:val="KeywordTok"/>
        </w:rPr>
        <w:t xml:space="preserve">:</w:t>
      </w:r>
      <w:r>
        <w:rPr>
          <w:rStyle w:val="AttributeTok"/>
        </w:rPr>
        <w:t xml:space="preserve"> </w:t>
      </w:r>
      <w:r>
        <w:rPr>
          <w:rStyle w:val="KeywordTok"/>
        </w:rPr>
        <w:t xml:space="preserve">{</w:t>
      </w:r>
      <w:r>
        <w:rPr>
          <w:rStyle w:val="FunctionTok"/>
        </w:rPr>
        <w:t xml:space="preserve">ds_key</w:t>
      </w:r>
      <w:r>
        <w:rPr>
          <w:rStyle w:val="KeywordTok"/>
        </w:rPr>
        <w:t xml:space="preserve">:</w:t>
      </w:r>
      <w:r>
        <w:rPr>
          <w:rStyle w:val="AttributeTok"/>
        </w:rPr>
        <w:t xml:space="preserve"> am</w:t>
      </w:r>
      <w:r>
        <w:rPr>
          <w:rStyle w:val="KeywordTok"/>
        </w:rPr>
        <w:t xml:space="preserve">,</w:t>
      </w:r>
      <w:r>
        <w:rPr>
          <w:rStyle w:val="AttributeTok"/>
        </w:rPr>
        <w:t xml:space="preserve"> </w:t>
      </w:r>
      <w:r>
        <w:rPr>
          <w:rStyle w:val="FunctionTok"/>
        </w:rPr>
        <w:t xml:space="preserve">response_type</w:t>
      </w:r>
      <w:r>
        <w:rPr>
          <w:rStyle w:val="KeywordTok"/>
        </w:rPr>
        <w:t xml:space="preserve">:</w:t>
      </w:r>
      <w:r>
        <w:rPr>
          <w:rStyle w:val="AttributeTok"/>
        </w:rPr>
        <w:t xml:space="preserve"> suitability</w:t>
      </w:r>
      <w:r>
        <w:rPr>
          <w:rStyle w:val="KeywordTok"/>
        </w:rPr>
        <w:t xml:space="preserve">,</w:t>
      </w:r>
      <w:r>
        <w:rPr>
          <w:rStyle w:val="AttributeTok"/>
        </w:rPr>
        <w:t xml:space="preserve"> </w:t>
      </w:r>
      <w:r>
        <w:rPr>
          <w:rStyle w:val="FunctionTok"/>
        </w:rPr>
        <w:t xml:space="preserve">source_authority</w:t>
      </w:r>
      <w:r>
        <w:rPr>
          <w:rStyle w:val="KeywordTok"/>
        </w:rPr>
        <w:t xml:space="preserve">:</w:t>
      </w:r>
      <w:r>
        <w:rPr>
          <w:rStyle w:val="AttributeTok"/>
        </w:rPr>
        <w:t xml:space="preserve"> AquaMaps</w:t>
      </w:r>
      <w:r>
        <w:rPr>
          <w:rStyle w:val="KeywordTok"/>
        </w:rPr>
        <w:t xml:space="preserve">,</w:t>
      </w:r>
      <w:r>
        <w:br/>
      </w:r>
      <w:r>
        <w:rPr>
          <w:rStyle w:val="AttributeTok"/>
        </w:rPr>
        <w:t xml:space="preserve">            </w:t>
      </w:r>
      <w:r>
        <w:rPr>
          <w:rStyle w:val="FunctionTok"/>
        </w:rPr>
        <w:t xml:space="preserve">temporal_interval</w:t>
      </w:r>
      <w:r>
        <w:rPr>
          <w:rStyle w:val="KeywordTok"/>
        </w:rPr>
        <w:t xml:space="preserve">:</w:t>
      </w:r>
      <w:r>
        <w:rPr>
          <w:rStyle w:val="AttributeTok"/>
        </w:rPr>
        <w:t xml:space="preserve"> static</w:t>
      </w:r>
      <w:r>
        <w:rPr>
          <w:rStyle w:val="KeywordTok"/>
        </w:rPr>
        <w:t xml:space="preserve">,</w:t>
      </w:r>
      <w:r>
        <w:rPr>
          <w:rStyle w:val="AttributeTok"/>
        </w:rPr>
        <w:t xml:space="preserve"> </w:t>
      </w:r>
      <w:r>
        <w:rPr>
          <w:rStyle w:val="FunctionTok"/>
        </w:rPr>
        <w:t xml:space="preserve">native_format</w:t>
      </w:r>
      <w:r>
        <w:rPr>
          <w:rStyle w:val="KeywordTok"/>
        </w:rPr>
        <w:t xml:space="preserve">:</w:t>
      </w:r>
      <w:r>
        <w:rPr>
          <w:rStyle w:val="AttributeTok"/>
        </w:rPr>
        <w:t xml:space="preserve"> raster</w:t>
      </w:r>
      <w:r>
        <w:rPr>
          <w:rStyle w:val="KeywordTok"/>
        </w:rPr>
        <w:t xml:space="preserve">}</w:t>
      </w:r>
    </w:p>
    <w:p>
      <w:pPr>
        <w:pStyle w:val="FirstParagraph"/>
      </w:pPr>
      <w:r>
        <w:t xml:space="preserve">The target list is built by parsing those blocks, so</w:t>
      </w:r>
      <w:r>
        <w:t xml:space="preserve"> </w:t>
      </w:r>
      <w:r>
        <w:rPr>
          <w:b/>
          <w:bCs/>
        </w:rPr>
        <w:t xml:space="preserve">adding a dataset means adding a notebook</w:t>
      </w:r>
      <w:r>
        <w:t xml:space="preserve"> </w:t>
      </w:r>
      <w:r>
        <w:t xml:space="preserve">— not editing a pipeline definition that could disagree with it. The</w:t>
      </w:r>
      <w:r>
        <w:t xml:space="preserve"> </w:t>
      </w:r>
      <w:r>
        <w:rPr>
          <w:rStyle w:val="VerbatimChar"/>
        </w:rPr>
        <w:t xml:space="preserve">dataset:</w:t>
      </w:r>
      <w:r>
        <w:t xml:space="preserve"> </w:t>
      </w:r>
      <w:r>
        <w:t xml:space="preserve">block is also the single source of truth from which the</w:t>
      </w:r>
      <w:r>
        <w:t xml:space="preserve"> </w:t>
      </w:r>
      <w:r>
        <w:rPr>
          <w:rStyle w:val="VerbatimChar"/>
        </w:rPr>
        <w:t xml:space="preserve">dataset</w:t>
      </w:r>
      <w:r>
        <w:t xml:space="preserve"> </w:t>
      </w:r>
      <w:r>
        <w:t xml:space="preserve">registry table is consolidated; a dataset that is ingested without one fails the build loudly rather than appearing in the data with no metadata.</w:t>
      </w:r>
    </w:p>
    <w:bookmarkEnd w:id="446"/>
    <w:bookmarkStart w:id="447" w:name="stages"/>
    <w:p>
      <w:pPr>
        <w:pStyle w:val="Heading2"/>
      </w:pPr>
      <w:r>
        <w:t xml:space="preserve">16.2 Stages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jc w:val="left"/>
            </w:pPr>
            <w:r>
              <w:t xml:space="preserve">Stage</w:t>
            </w:r>
          </w:p>
        </w:tc>
        <w:tc>
          <w:tcPr/>
          <w:p>
            <w:pPr>
              <w:pStyle w:val="Compact"/>
              <w:jc w:val="left"/>
            </w:pPr>
            <w:r>
              <w:t xml:space="preserve">What it does</w:t>
            </w:r>
          </w:p>
        </w:tc>
      </w:tr>
      <w:tr>
        <w:tc>
          <w:tcPr/>
          <w:p>
            <w:pPr>
              <w:pStyle w:val="Compact"/>
              <w:jc w:val="left"/>
            </w:pPr>
            <w:r>
              <w:rPr>
                <w:b/>
                <w:bCs/>
              </w:rPr>
              <w:t xml:space="preserve">grid</w:t>
            </w:r>
          </w:p>
        </w:tc>
        <w:tc>
          <w:tcPr/>
          <w:p>
            <w:pPr>
              <w:pStyle w:val="Compact"/>
              <w:jc w:val="left"/>
            </w:pPr>
            <w:r>
              <w:t xml:space="preserve">Builds the global 0.05° cell grid — the sampling unit every model is rasterized onto — with environmental covariates and study-area membership.</w:t>
            </w:r>
          </w:p>
        </w:tc>
      </w:tr>
      <w:tr>
        <w:tc>
          <w:tcPr/>
          <w:p>
            <w:pPr>
              <w:pStyle w:val="Compact"/>
              <w:jc w:val="left"/>
            </w:pPr>
            <w:r>
              <w:rPr>
                <w:b/>
                <w:bCs/>
              </w:rPr>
              <w:t xml:space="preserve">ingest</w:t>
            </w:r>
          </w:p>
        </w:tc>
        <w:tc>
          <w:tcPr/>
          <w:p>
            <w:pPr>
              <w:pStyle w:val="Compact"/>
              <w:jc w:val="left"/>
            </w:pPr>
            <w:r>
              <w:t xml:space="preserve">One notebook per source dataset, writing one distribution per model keyed by this release’s model id (</w:t>
            </w:r>
            <w:r>
              <w:rPr>
                <w:rStyle w:val="VerbatimChar"/>
              </w:rPr>
              <w:t xml:space="preserve">mdl_key</w:t>
            </w:r>
            <w:r>
              <w:t xml:space="preserve">). Vector ranges are rasterized by exact area coverage; rasters are interpolated onto the grid.</w:t>
            </w:r>
          </w:p>
        </w:tc>
      </w:tr>
      <w:tr>
        <w:tc>
          <w:tcPr/>
          <w:p>
            <w:pPr>
              <w:pStyle w:val="Compact"/>
              <w:jc w:val="left"/>
            </w:pPr>
            <w:r>
              <w:rPr>
                <w:b/>
                <w:bCs/>
              </w:rPr>
              <w:t xml:space="preserve">merge</w:t>
            </w:r>
          </w:p>
        </w:tc>
        <w:tc>
          <w:tcPr/>
          <w:p>
            <w:pPr>
              <w:pStyle w:val="Compact"/>
              <w:jc w:val="left"/>
            </w:pPr>
            <w:r>
              <w:t xml:space="preserve">Resolves every model to a common taxon, computes each taxon’s governing extinction risk, and merges the per-dataset surfaces into one surface per taxon (</w:t>
            </w:r>
            <w:hyperlink w:anchor="sec-model-merging">
              <w:r>
                <w:rPr>
                  <w:rStyle w:val="Hyperlink"/>
                </w:rPr>
                <w:t xml:space="preserve">Chapter 9</w:t>
              </w:r>
            </w:hyperlink>
            <w:r>
              <w:t xml:space="preserve">).</w:t>
            </w:r>
          </w:p>
        </w:tc>
      </w:tr>
      <w:tr>
        <w:tc>
          <w:tcPr/>
          <w:p>
            <w:pPr>
              <w:pStyle w:val="Compact"/>
              <w:jc w:val="left"/>
            </w:pPr>
            <w:r>
              <w:rPr>
                <w:b/>
                <w:bCs/>
              </w:rPr>
              <w:t xml:space="preserve">score</w:t>
            </w:r>
          </w:p>
        </w:tc>
        <w:tc>
          <w:tcPr/>
          <w:p>
            <w:pPr>
              <w:pStyle w:val="Compact"/>
              <w:jc w:val="left"/>
            </w:pPr>
            <w:r>
              <w:t xml:space="preserve">Computes per-cell metrics, rescales within ecoregions, and aggregates to each spatial unit (</w:t>
            </w:r>
            <w:hyperlink w:anchor="sec-scoring">
              <w:r>
                <w:rPr>
                  <w:rStyle w:val="Hyperlink"/>
                </w:rPr>
                <w:t xml:space="preserve">Chapter 10</w:t>
              </w:r>
            </w:hyperlink>
            <w:r>
              <w:t xml:space="preserve">).</w:t>
            </w:r>
          </w:p>
        </w:tc>
      </w:tr>
      <w:tr>
        <w:tc>
          <w:tcPr/>
          <w:p>
            <w:pPr>
              <w:pStyle w:val="Compact"/>
              <w:jc w:val="left"/>
            </w:pPr>
            <w:r>
              <w:rPr>
                <w:b/>
                <w:bCs/>
              </w:rPr>
              <w:t xml:space="preserve">schema</w:t>
            </w:r>
          </w:p>
        </w:tc>
        <w:tc>
          <w:tcPr/>
          <w:p>
            <w:pPr>
              <w:pStyle w:val="Compact"/>
              <w:jc w:val="left"/>
            </w:pPr>
            <w:r>
              <w:t xml:space="preserve">Consolidates the registry tables —</w:t>
            </w:r>
            <w:r>
              <w:t xml:space="preserve"> </w:t>
            </w:r>
            <w:r>
              <w:rPr>
                <w:rStyle w:val="VerbatimChar"/>
              </w:rPr>
              <w:t xml:space="preserve">dataset</w:t>
            </w:r>
            <w:r>
              <w:t xml:space="preserve">,</w:t>
            </w:r>
            <w:r>
              <w:t xml:space="preserve"> </w:t>
            </w:r>
            <w:r>
              <w:rPr>
                <w:rStyle w:val="VerbatimChar"/>
              </w:rPr>
              <w:t xml:space="preserve">model</w:t>
            </w:r>
            <w:r>
              <w:t xml:space="preserve">,</w:t>
            </w:r>
            <w:r>
              <w:t xml:space="preserve"> </w:t>
            </w:r>
            <w:r>
              <w:rPr>
                <w:rStyle w:val="VerbatimChar"/>
              </w:rPr>
              <w:t xml:space="preserve">taxon_model</w:t>
            </w:r>
            <w:r>
              <w:t xml:space="preserve">,</w:t>
            </w:r>
            <w:r>
              <w:t xml:space="preserve"> </w:t>
            </w:r>
            <w:r>
              <w:rPr>
                <w:rStyle w:val="VerbatimChar"/>
              </w:rPr>
              <w:t xml:space="preserve">listing</w:t>
            </w:r>
            <w:r>
              <w:t xml:space="preserve"> </w:t>
            </w:r>
            <w:r>
              <w:t xml:space="preserve">— that describe what the release contains.</w:t>
            </w:r>
          </w:p>
        </w:tc>
      </w:tr>
      <w:tr>
        <w:tc>
          <w:tcPr/>
          <w:p>
            <w:pPr>
              <w:pStyle w:val="Compact"/>
              <w:jc w:val="left"/>
            </w:pPr>
            <w:r>
              <w:rPr>
                <w:b/>
                <w:bCs/>
              </w:rPr>
              <w:t xml:space="preserve">release</w:t>
            </w:r>
          </w:p>
        </w:tc>
        <w:tc>
          <w:tcPr/>
          <w:p>
            <w:pPr>
              <w:pStyle w:val="Compact"/>
              <w:jc w:val="left"/>
            </w:pPr>
            <w:r>
              <w:t xml:space="preserve">Publishes the release to S3 as partitioned Parquet, COGs, PMTiles and a STAC catalog, writes the version manifest, and (gated) deploys the serving tier. The COG and PMTiles files are written to the shared store, not to the release (</w:t>
            </w:r>
            <w:hyperlink w:anchor="sec-asset-store">
              <w:r>
                <w:rPr>
                  <w:rStyle w:val="Hyperlink"/>
                </w:rPr>
                <w:t xml:space="preserve">Section 15.3</w:t>
              </w:r>
            </w:hyperlink>
            <w:r>
              <w:t xml:space="preserve">).</w:t>
            </w:r>
          </w:p>
        </w:tc>
      </w:tr>
    </w:tbl>
    <w:bookmarkEnd w:id="447"/>
    <w:bookmarkStart w:id="448" w:name="sec-workflows-asset-store"/>
    <w:p>
      <w:pPr>
        <w:pStyle w:val="Heading2"/>
      </w:pPr>
      <w:r>
        <w:t xml:space="preserve">16.3 Publishing to the asset store</w:t>
      </w:r>
    </w:p>
    <w:p>
      <w:pPr>
        <w:pStyle w:val="FirstParagraph"/>
      </w:pPr>
      <w:r>
        <w:t xml:space="preserve">The publisher of distribution files (</w:t>
      </w:r>
      <w:r>
        <w:rPr>
          <w:rStyle w:val="VerbatimChar"/>
        </w:rPr>
        <w:t xml:space="preserve">publish_native.qmd</w:t>
      </w:r>
      <w:r>
        <w:t xml:space="preserve">) writes only to the content-addressed stores (</w:t>
      </w:r>
      <w:r>
        <w:rPr>
          <w:rStyle w:val="VerbatimChar"/>
        </w:rPr>
        <w:t xml:space="preserve">cog/</w:t>
      </w:r>
      <w:r>
        <w:t xml:space="preserve">,</w:t>
      </w:r>
      <w:r>
        <w:t xml:space="preserve"> </w:t>
      </w:r>
      <w:r>
        <w:rPr>
          <w:rStyle w:val="VerbatimChar"/>
        </w:rPr>
        <w:t xml:space="preserve">native/</w:t>
      </w:r>
      <w:r>
        <w:t xml:space="preserve">) and to the catalog</w:t>
      </w:r>
      <w:r>
        <w:t xml:space="preserve"> </w:t>
      </w:r>
      <w:r>
        <w:rPr>
          <w:rStyle w:val="VerbatimChar"/>
        </w:rPr>
        <w:t xml:space="preserve">assets.parquet</w:t>
      </w:r>
      <w:r>
        <w:t xml:space="preserve">; a release prefix receives tables, a manifest and an app bundle, never a distribution file (</w:t>
      </w:r>
      <w:hyperlink w:anchor="sec-asset-store">
        <w:r>
          <w:rPr>
            <w:rStyle w:val="Hyperlink"/>
          </w:rPr>
          <w:t xml:space="preserve">Section 15.3</w:t>
        </w:r>
      </w:hyperlink>
      <w:r>
        <w:t xml:space="preserve">). The order is fixed: the key of every file is computed from its content first, a file whose key is already in the catalog is neither built nor uploaded, each new file is decoded and checked against its key before upload, the uploaded objects are appended to the catalog, and only then is the release’s</w:t>
      </w:r>
      <w:r>
        <w:t xml:space="preserve"> </w:t>
      </w:r>
      <w:r>
        <w:rPr>
          <w:rStyle w:val="VerbatimChar"/>
        </w:rPr>
        <w:t xml:space="preserve">native_asset</w:t>
      </w:r>
      <w:r>
        <w:t xml:space="preserve"> </w:t>
      </w:r>
      <w:r>
        <w:t xml:space="preserve">table written. A</w:t>
      </w:r>
      <w:r>
        <w:t xml:space="preserve"> </w:t>
      </w:r>
      <w:r>
        <w:rPr>
          <w:b/>
          <w:bCs/>
        </w:rPr>
        <w:t xml:space="preserve">publish gate</w:t>
      </w:r>
      <w:r>
        <w:t xml:space="preserve"> </w:t>
      </w:r>
      <w:r>
        <w:t xml:space="preserve">stops the run before that last step if any URL in the pointer table is not a catalogued store object, or if any</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object is listed under</w:t>
      </w:r>
      <w:r>
        <w:t xml:space="preserve"> </w:t>
      </w:r>
      <w:r>
        <w:rPr>
          <w:rStyle w:val="VerbatimChar"/>
        </w:rPr>
        <w:t xml:space="preserve">{ver}/</w:t>
      </w:r>
      <w:r>
        <w:t xml:space="preserve"> </w:t>
      </w:r>
      <w:r>
        <w:t xml:space="preserve">(for v8 and v9 that check is a warning rather than a stop until their pre-migration copies are pruned).</w:t>
      </w:r>
    </w:p>
    <w:bookmarkEnd w:id="448"/>
    <w:bookmarkStart w:id="449" w:name="reproducibility-rules"/>
    <w:p>
      <w:pPr>
        <w:pStyle w:val="Heading2"/>
      </w:pPr>
      <w:r>
        <w:t xml:space="preserve">16.4 Reproducibility rules</w:t>
      </w:r>
    </w:p>
    <w:p>
      <w:pPr>
        <w:pStyle w:val="FirstParagraph"/>
      </w:pPr>
      <w:r>
        <w:t xml:space="preserve">These are load-bearing, not stylistic. Each one exists because its absence caused a specific failure.</w:t>
      </w:r>
    </w:p>
    <w:p>
      <w:pPr>
        <w:pStyle w:val="BodyText"/>
      </w:pPr>
      <w:r>
        <w:rPr>
          <w:b/>
          <w:bCs/>
        </w:rPr>
        <w:t xml:space="preserve">Every process is a chunk in a committed notebook, run by rendering to HTML.</w:t>
      </w:r>
      <w:r>
        <w:t xml:space="preserve"> </w:t>
      </w:r>
      <w:r>
        <w:t xml:space="preserve">Including the parts that touch the outside world — the S3 sync, the server deploy, the app reload. Not an ad-hoc shell command. Rendering is what produces the tracked HTML output and the content-hash checkpoint; executing the code without rendering skips both, so it is a diagnostic, never a run.</w:t>
      </w:r>
    </w:p>
    <w:p>
      <w:pPr>
        <w:pStyle w:val="BodyText"/>
      </w:pPr>
      <w:r>
        <w:rPr>
          <w:b/>
          <w:bCs/>
        </w:rPr>
        <w:t xml:space="preserve">Side effects are opt-in.</w:t>
      </w:r>
      <w:r>
        <w:t xml:space="preserve"> </w:t>
      </w:r>
      <w:r>
        <w:t xml:space="preserve">Anything expensive or outward-facing sits behind an environment flag that defaults to off, so a routine render cannot publish or restart anything by accident.</w:t>
      </w:r>
    </w:p>
    <w:p>
      <w:pPr>
        <w:pStyle w:val="BodyText"/>
      </w:pPr>
      <w:r>
        <w:rPr>
          <w:b/>
          <w:bCs/>
        </w:rPr>
        <w:t xml:space="preserve">The orchestration is part of the process.</w:t>
      </w:r>
      <w:r>
        <w:t xml:space="preserve"> </w:t>
      </w:r>
      <w:r>
        <w:t xml:space="preserve">A notebook parameterized by version is only half reproducible if the loop</w:t>
      </w:r>
      <w:r>
        <w:t xml:space="preserve"> </w:t>
      </w:r>
      <w:r>
        <w:rPr>
          <w:i/>
          <w:iCs/>
        </w:rPr>
        <w:t xml:space="preserve">over</w:t>
      </w:r>
      <w:r>
        <w:t xml:space="preserve"> </w:t>
      </w:r>
      <w:r>
        <w:t xml:space="preserve">versions lives in a throwaway shell script, so the multi-version drivers are committed too. Likewise, forcing a rebuild is a flag — never moving output directories aside by hand, which leaves no record of what was rebuilt or why.</w:t>
      </w:r>
    </w:p>
    <w:p>
      <w:pPr>
        <w:pStyle w:val="BodyText"/>
      </w:pPr>
      <w:r>
        <w:rPr>
          <w:b/>
          <w:bCs/>
        </w:rPr>
        <w:t xml:space="preserve">A version number is not proof.</w:t>
      </w:r>
      <w:r>
        <w:t xml:space="preserve"> </w:t>
      </w:r>
      <w:r>
        <w:t xml:space="preserve">A notebook whose logic lives in the</w:t>
      </w:r>
      <w:r>
        <w:t xml:space="preserve"> </w:t>
      </w:r>
      <w:r>
        <w:rPr>
          <w:rStyle w:val="VerbatimChar"/>
        </w:rPr>
        <w:t xml:space="preserve">msens</w:t>
      </w:r>
      <w:r>
        <w:t xml:space="preserve"> </w:t>
      </w:r>
      <w:r>
        <w:t xml:space="preserve">package is only as current as the</w:t>
      </w:r>
      <w:r>
        <w:t xml:space="preserve"> </w:t>
      </w:r>
      <w:r>
        <w:rPr>
          <w:i/>
          <w:iCs/>
        </w:rPr>
        <w:t xml:space="preserve">installed</w:t>
      </w:r>
      <w:r>
        <w:t xml:space="preserve"> </w:t>
      </w:r>
      <w:r>
        <w:t xml:space="preserve">package. The server once reported the right package version while running an older function, and seven release manifests were regenerated missing their zone tiles as a result — with nothing failing. So every behavior change gets a version bump</w:t>
      </w:r>
      <w:r>
        <w:t xml:space="preserve"> </w:t>
      </w:r>
      <w:r>
        <w:rPr>
          <w:i/>
          <w:iCs/>
        </w:rPr>
        <w:t xml:space="preserve">and</w:t>
      </w:r>
      <w:r>
        <w:t xml:space="preserve"> </w:t>
      </w:r>
      <w:r>
        <w:t xml:space="preserve">a changelog entry, and the container pins move with it.</w:t>
      </w:r>
    </w:p>
    <w:p>
      <w:pPr>
        <w:pStyle w:val="BodyText"/>
      </w:pPr>
      <w:r>
        <w:rPr>
          <w:b/>
          <w:bCs/>
        </w:rPr>
        <w:t xml:space="preserve">Reproducibility beats uptime.</w:t>
      </w:r>
      <w:r>
        <w:t xml:space="preserve"> </w:t>
      </w:r>
      <w:r>
        <w:t xml:space="preserve">Where a reproducible fix and a fast in-place workaround are both available, the reproducible one wins even at the cost of brief downtime. Drift between a running container and the image it was built from is a bug to fix immediately, not a reason to avoid rebuilding.</w:t>
      </w:r>
    </w:p>
    <w:bookmarkEnd w:id="449"/>
    <w:bookmarkStart w:id="450" w:name="content-addressed-checkpoints"/>
    <w:p>
      <w:pPr>
        <w:pStyle w:val="Heading2"/>
      </w:pPr>
      <w:r>
        <w:t xml:space="preserve">16.5 Content-addressed checkpoints</w:t>
      </w:r>
    </w:p>
    <w:p>
      <w:pPr>
        <w:pStyle w:val="FirstParagraph"/>
      </w:pPr>
      <w:r>
        <w:t xml:space="preserve">Each notebook writes a manifest recording a</w:t>
      </w:r>
      <w:r>
        <w:t xml:space="preserve"> </w:t>
      </w:r>
      <w:r>
        <w:rPr>
          <w:b/>
          <w:bCs/>
        </w:rPr>
        <w:t xml:space="preserve">content hash</w:t>
      </w:r>
      <w:r>
        <w:t xml:space="preserve"> </w:t>
      </w:r>
      <w:r>
        <w:t xml:space="preserve">of what it produced. A downstream stage can then tell whether its input actually changed, rather than trusting a timestamp — which is what makes a re-run cheap when nothing moved, and what makes an unexpected change visible.</w:t>
      </w:r>
    </w:p>
    <w:bookmarkEnd w:id="450"/>
    <w:bookmarkStart w:id="451" w:name="guarding-the-science"/>
    <w:p>
      <w:pPr>
        <w:pStyle w:val="Heading2"/>
      </w:pPr>
      <w:r>
        <w:t xml:space="preserve">16.6 Guarding the science</w:t>
      </w:r>
    </w:p>
    <w:p>
      <w:pPr>
        <w:pStyle w:val="FirstParagraph"/>
      </w:pPr>
      <w:r>
        <w:t xml:space="preserve">Scientific rules live in the</w:t>
      </w:r>
      <w:r>
        <w:t xml:space="preserve"> </w:t>
      </w:r>
      <w:r>
        <w:rPr>
          <w:rStyle w:val="VerbatimChar"/>
        </w:rPr>
        <w:t xml:space="preserve">msens</w:t>
      </w:r>
      <w:r>
        <w:t xml:space="preserve"> </w:t>
      </w:r>
      <w:r>
        <w:t xml:space="preserve">package as documented functions, not as SQL strings inside a notebook — so a notebook</w:t>
      </w:r>
      <w:r>
        <w:t xml:space="preserve"> </w:t>
      </w:r>
      <w:r>
        <w:rPr>
          <w:i/>
          <w:iCs/>
        </w:rPr>
        <w:t xml:space="preserve">calls</w:t>
      </w:r>
      <w:r>
        <w:t xml:space="preserve"> </w:t>
      </w:r>
      <w:r>
        <w:t xml:space="preserve">the rule and a unit test</w:t>
      </w:r>
      <w:r>
        <w:t xml:space="preserve"> </w:t>
      </w:r>
      <w:r>
        <w:rPr>
          <w:i/>
          <w:iCs/>
        </w:rPr>
        <w:t xml:space="preserve">asserts</w:t>
      </w:r>
      <w:r>
        <w:t xml:space="preserve"> </w:t>
      </w:r>
      <w:r>
        <w:t xml:space="preserve">it, and the two cannot drift. Every non-trivial rule has a test with a small fixture asserting its exact expected output, and every bug that is found becomes a permanent named assertion.</w:t>
      </w:r>
    </w:p>
    <w:p>
      <w:pPr>
        <w:pStyle w:val="BodyText"/>
      </w:pPr>
      <w:r>
        <w:t xml:space="preserve">This matters more than the aggregate checks. Whole-pipeline validation — comparing a release’s zone scores against the previous one — catches broad drift but hides rule-level breakage: one lost exclusion affected ~750 species while barely moving any aggregate score (</w:t>
      </w:r>
      <w:hyperlink w:anchor="sec-model-merging">
        <w:r>
          <w:rPr>
            <w:rStyle w:val="Hyperlink"/>
          </w:rPr>
          <w:t xml:space="preserve">Chapter 9</w:t>
        </w:r>
      </w:hyperlink>
      <w:r>
        <w:t xml:space="preserve">).</w:t>
      </w:r>
    </w:p>
    <w:p>
      <w:pPr>
        <w:pStyle w:val="BodyText"/>
      </w:pPr>
      <w:r>
        <w:t xml:space="preserve">See</w:t>
      </w:r>
      <w:r>
        <w:t xml:space="preserve"> </w:t>
      </w:r>
      <w:hyperlink w:anchor="sec-db">
        <w:r>
          <w:rPr>
            <w:rStyle w:val="Hyperlink"/>
          </w:rPr>
          <w:t xml:space="preserve">Chapter 15</w:t>
        </w:r>
      </w:hyperlink>
      <w:r>
        <w:t xml:space="preserve"> </w:t>
      </w:r>
      <w:r>
        <w:t xml:space="preserve">for the schema these workflows produce, and</w:t>
      </w:r>
      <w:r>
        <w:t xml:space="preserve"> </w:t>
      </w:r>
      <w:hyperlink w:anchor="sec-releases">
        <w:r>
          <w:rPr>
            <w:rStyle w:val="Hyperlink"/>
          </w:rPr>
          <w:t xml:space="preserve">Chapter 2</w:t>
        </w:r>
      </w:hyperlink>
      <w:r>
        <w:t xml:space="preserve"> </w:t>
      </w:r>
      <w:r>
        <w:t xml:space="preserve">for what each release changed.</w:t>
      </w:r>
    </w:p>
    <w:bookmarkEnd w:id="451"/>
    <w:bookmarkEnd w:id="452"/>
    <w:bookmarkStart w:id="475" w:name="sec-apis"/>
    <w:p>
      <w:pPr>
        <w:pStyle w:val="Heading1"/>
      </w:pPr>
      <w:r>
        <w:t xml:space="preserve">17. APIs</w:t>
      </w:r>
    </w:p>
    <w:p>
      <w:pPr>
        <w:pStyle w:val="FirstParagraph"/>
      </w:pPr>
      <w:r>
        <w:t xml:space="preserve">Three services sit in front of the published data:</w:t>
      </w:r>
    </w:p>
    <w:p>
      <w:pPr>
        <w:pStyle w:val="Compact"/>
        <w:numPr>
          <w:ilvl w:val="0"/>
          <w:numId w:val="1051"/>
        </w:numPr>
      </w:pPr>
      <w:hyperlink r:id="rId394">
        <w:r>
          <w:rPr>
            <w:rStyle w:val="Hyperlink"/>
            <w:b/>
            <w:bCs/>
          </w:rPr>
          <w:t xml:space="preserve">titiler.marinesensitivity.org</w:t>
        </w:r>
      </w:hyperlink>
      <w:r>
        <w:t xml:space="preserve"> </w:t>
      </w:r>
      <w:r>
        <w:t xml:space="preserve">—</w:t>
      </w:r>
      <w:r>
        <w:t xml:space="preserve"> </w:t>
      </w:r>
      <w:hyperlink r:id="rId304">
        <w:r>
          <w:rPr>
            <w:rStyle w:val="Hyperlink"/>
          </w:rPr>
          <w:t xml:space="preserve">TiTiler</w:t>
        </w:r>
      </w:hyperlink>
      <w:r>
        <w:t xml:space="preserve">, serving the pre-rendered Cloud-Optimized GeoTIFFs that every map layer now draws.</w:t>
      </w:r>
    </w:p>
    <w:p>
      <w:pPr>
        <w:pStyle w:val="Compact"/>
        <w:numPr>
          <w:ilvl w:val="0"/>
          <w:numId w:val="1051"/>
        </w:numPr>
      </w:pPr>
      <w:hyperlink r:id="rId395">
        <w:r>
          <w:rPr>
            <w:rStyle w:val="Hyperlink"/>
            <w:b/>
            <w:bCs/>
          </w:rPr>
          <w:t xml:space="preserve">api.marinesensitivity.org</w:t>
        </w:r>
      </w:hyperlink>
      <w:r>
        <w:t xml:space="preserve"> </w:t>
      </w:r>
      <w:r>
        <w:t xml:space="preserve">— a custom R</w:t>
      </w:r>
      <w:r>
        <w:t xml:space="preserve"> </w:t>
      </w:r>
      <w:hyperlink r:id="rId453">
        <w:r>
          <w:rPr>
            <w:rStyle w:val="VerbatimChar"/>
          </w:rPr>
          <w:t xml:space="preserve">plumber</w:t>
        </w:r>
      </w:hyperlink>
      <w:r>
        <w:t xml:space="preserve"> </w:t>
      </w:r>
      <w:r>
        <w:t xml:space="preserve">API for programmatic (non-tile) data access.</w:t>
      </w:r>
    </w:p>
    <w:p>
      <w:pPr>
        <w:pStyle w:val="Compact"/>
        <w:numPr>
          <w:ilvl w:val="0"/>
          <w:numId w:val="1051"/>
        </w:numPr>
      </w:pPr>
      <w:r>
        <w:rPr>
          <w:b/>
          <w:bCs/>
        </w:rPr>
        <w:t xml:space="preserve">A searchable STAC API</w:t>
      </w:r>
      <w:r>
        <w:t xml:space="preserve"> </w:t>
      </w:r>
      <w:r>
        <w:t xml:space="preserve">— one Item per model, with real asset hrefs and real footprints, so a client can ask</w:t>
      </w:r>
      <w:r>
        <w:t xml:space="preserve"> </w:t>
      </w:r>
      <w:r>
        <w:rPr>
          <w:i/>
          <w:iCs/>
        </w:rPr>
        <w:t xml:space="preserve">which models cover this area</w:t>
      </w:r>
      <w:r>
        <w:t xml:space="preserve">.</w:t>
      </w:r>
    </w:p>
    <w:p>
      <w:pPr>
        <w:pStyle w:val="FirstParagraph"/>
      </w:pPr>
      <w:r>
        <w:t xml:space="preserve">Static vector data (PMTiles) is served directly by Caddy’s file server and needs no API — see</w:t>
      </w:r>
      <w:r>
        <w:t xml:space="preserve"> </w:t>
      </w:r>
      <w:hyperlink w:anchor="sec-server">
        <w:r>
          <w:rPr>
            <w:rStyle w:val="Hyperlink"/>
          </w:rPr>
          <w:t xml:space="preserve">Chapter 14</w:t>
        </w:r>
      </w:hyperlink>
      <w:r>
        <w:t xml:space="preserve">. The published Parquet tables can also be range-read straight from S3, including by DuckDB-WASM in a browser.</w:t>
      </w:r>
    </w:p>
    <w:bookmarkStart w:id="454" w:name="raster-tiles-cogs-not-sql-per-request"/>
    <w:p>
      <w:pPr>
        <w:pStyle w:val="Heading2"/>
      </w:pPr>
      <w:r>
        <w:t xml:space="preserve">17.1 Raster tiles: COGs, not SQL per request</w:t>
      </w:r>
    </w:p>
    <w:p>
      <w:pPr>
        <w:pStyle w:val="FirstParagraph"/>
      </w:pPr>
      <w:r>
        <w:t xml:space="preserve">Score surfaces are published as one COG per metric × subregion, and per-model distributions as one COG per model. A release’s manifest carries each raster’s URL and its build-time rescale range, so an application reads the href and hands it to titiler’s stock</w:t>
      </w:r>
      <w:r>
        <w:t xml:space="preserve"> </w:t>
      </w:r>
      <w:r>
        <w:rPr>
          <w:rStyle w:val="VerbatimChar"/>
        </w:rPr>
        <w:t xml:space="preserve">/cog</w:t>
      </w:r>
      <w:r>
        <w:t xml:space="preserve"> </w:t>
      </w:r>
      <w:r>
        <w:t xml:space="preserve">routes — no custom endpoint, no query in the tile path.</w:t>
      </w:r>
    </w:p>
    <w:p>
      <w:pPr>
        <w:pStyle w:val="BodyText"/>
      </w:pPr>
      <w:r>
        <w:t xml:space="preserve">The COGs are stored</w:t>
      </w:r>
      <w:r>
        <w:t xml:space="preserve"> </w:t>
      </w:r>
      <w:r>
        <w:rPr>
          <w:b/>
          <w:bCs/>
        </w:rPr>
        <w:t xml:space="preserve">without overviews</w:t>
      </w:r>
      <w:r>
        <w:t xml:space="preserve">, deliberately: the renderer decimates from full resolution on each request, so a pre-built pyramid would disagree with it at low zoom. Their object keys are</w:t>
      </w:r>
      <w:r>
        <w:t xml:space="preserve"> </w:t>
      </w:r>
      <w:r>
        <w:rPr>
          <w:b/>
          <w:bCs/>
        </w:rPr>
        <w:t xml:space="preserve">content-addressed including the encoding</w:t>
      </w:r>
      <w:r>
        <w:t xml:space="preserve">, because rewriting an object at a stable URL once left</w:t>
      </w:r>
      <w:r>
        <w:t xml:space="preserve"> </w:t>
      </w:r>
      <w:r>
        <w:rPr>
          <w:rStyle w:val="VerbatimChar"/>
        </w:rPr>
        <w:t xml:space="preserve">/vsicurl</w:t>
      </w:r>
      <w:r>
        <w:t xml:space="preserve"> </w:t>
      </w:r>
      <w:r>
        <w:t xml:space="preserve">serving a cached header for bytes that no longer existed — fine at z5+, HTTP 500 at z2–z4.</w:t>
      </w:r>
    </w:p>
    <w:bookmarkEnd w:id="454"/>
    <w:bookmarkStart w:id="466" w:name="the-msens-factory-retired-kept"/>
    <w:p>
      <w:pPr>
        <w:pStyle w:val="Heading2"/>
      </w:pPr>
      <w:r>
        <w:t xml:space="preserve">17.2 The</w:t>
      </w:r>
      <w:r>
        <w:t xml:space="preserve"> </w:t>
      </w:r>
      <w:r>
        <w:rPr>
          <w:rStyle w:val="VerbatimChar"/>
        </w:rPr>
        <w:t xml:space="preserve">/msens</w:t>
      </w:r>
      <w:r>
        <w:t xml:space="preserve"> </w:t>
      </w:r>
      <w:r>
        <w:t xml:space="preserve">factory (retired, kept)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55" name="Picture"/>
                  <a:graphic>
                    <a:graphicData uri="http://schemas.openxmlformats.org/drawingml/2006/picture">
                      <pic:pic>
                        <pic:nvPicPr>
                          <pic:cNvPr descr="/Applications/quarto/share/formats/docx/important.png" id="456"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custom factory below is</w:t>
            </w:r>
            <w:r>
              <w:t xml:space="preserve"> </w:t>
            </w:r>
            <w:r>
              <w:rPr>
                <w:b/>
                <w:bCs/>
              </w:rPr>
              <w:t xml:space="preserve">no longer in the serving path</w:t>
            </w:r>
            <w:r>
              <w:t xml:space="preserve">. It is retained in the image behind</w:t>
            </w:r>
            <w:r>
              <w:t xml:space="preserve"> </w:t>
            </w:r>
            <w:r>
              <w:rPr>
                <w:rStyle w:val="VerbatimChar"/>
              </w:rPr>
              <w:t xml:space="preserve">MSENS_FACTORY=1</w:t>
            </w:r>
            <w:r>
              <w:t xml:space="preserve"> </w:t>
            </w:r>
            <w:r>
              <w:t xml:space="preserve">for exploratory on-the-fly queries, and is documented here because published reports reference its endpoints.</w:t>
            </w:r>
          </w:p>
          <w:p>
            <w:pPr>
              <w:pStyle w:val="BodyText"/>
            </w:pPr>
            <w:pPr>
              <w:spacing w:after="16"/>
            </w:pPr>
            <w:r>
              <w:t xml:space="preserve">It was replaced by pre-rendered COGs after verifying the two produce the same picture: of 105 sample tiles, 100 were byte-identical and the rest differed by 3–6 pixels out of 262,144, from float32 storage. Nothing reaches it now — every metric on every release has a COG.</w:t>
            </w:r>
          </w:p>
          <w:p/>
        </w:tc>
      </w:tr>
    </w:tbl>
    <w:p>
      <w:pPr>
        <w:pStyle w:val="BodyText"/>
      </w:pPr>
      <w:r>
        <w:t xml:space="preserve">The factory is a FastAPI subclass of</w:t>
      </w:r>
      <w:r>
        <w:t xml:space="preserve"> </w:t>
      </w:r>
      <w:r>
        <w:rPr>
          <w:rStyle w:val="VerbatimChar"/>
        </w:rPr>
        <w:t xml:space="preserve">titiler.core.factory.TilerFactory</w:t>
      </w:r>
      <w:r>
        <w:t xml:space="preserve">, registered at the</w:t>
      </w:r>
      <w:r>
        <w:t xml:space="preserve"> </w:t>
      </w:r>
      <w:r>
        <w:rPr>
          <w:rStyle w:val="VerbatimChar"/>
        </w:rPr>
        <w:t xml:space="preserve">/msens</w:t>
      </w:r>
      <w:r>
        <w:t xml:space="preserve"> </w:t>
      </w:r>
      <w:r>
        <w:t xml:space="preserve">prefix on top of the default TiTiler application.</w:t>
      </w:r>
    </w:p>
    <w:p>
      <w:pPr>
        <w:pStyle w:val="BodyText"/>
      </w:pPr>
      <w:r>
        <w:t xml:space="preserve">Source:</w:t>
      </w:r>
      <w:r>
        <w:t xml:space="preserve"> </w:t>
      </w:r>
      <w:hyperlink r:id="rId457">
        <w:r>
          <w:rPr>
            <w:rStyle w:val="Hyperlink"/>
          </w:rPr>
          <w:t xml:space="preserve">server/titiler/factory.py</w:t>
        </w:r>
      </w:hyperlink>
      <w:r>
        <w:t xml:space="preserve">.</w:t>
      </w:r>
    </w:p>
    <w:bookmarkStart w:id="460" w:name="endpoints"/>
    <w:p>
      <w:pPr>
        <w:pStyle w:val="Heading3"/>
      </w:pPr>
      <w:r>
        <w:t xml:space="preserve">17.2.1 Endpoints</w:t>
      </w:r>
    </w:p>
    <w:p>
      <w:pPr>
        <w:pStyle w:val="FirstParagraph"/>
      </w:pPr>
      <w:r>
        <w:t xml:space="preserve">All</w:t>
      </w:r>
      <w:r>
        <w:t xml:space="preserve"> </w:t>
      </w:r>
      <w:r>
        <w:rPr>
          <w:rStyle w:val="VerbatimChar"/>
        </w:rPr>
        <w:t xml:space="preserve">/msens/*</w:t>
      </w:r>
      <w:r>
        <w:t xml:space="preserve"> </w:t>
      </w:r>
      <w:r>
        <w:t xml:space="preserve">routes accept a</w:t>
      </w:r>
      <w:r>
        <w:t xml:space="preserve"> </w:t>
      </w:r>
      <w:r>
        <w:rPr>
          <w:rStyle w:val="VerbatimChar"/>
        </w:rPr>
        <w:t xml:space="preserve">sql</w:t>
      </w:r>
      <w:r>
        <w:t xml:space="preserve"> </w:t>
      </w:r>
      <w:r>
        <w:t xml:space="preserve">query parameter: a</w:t>
      </w:r>
      <w:r>
        <w:t xml:space="preserve"> </w:t>
      </w:r>
      <w:r>
        <w:rPr>
          <w:b/>
          <w:bCs/>
        </w:rPr>
        <w:t xml:space="preserve">base64url-encoded SELECT</w:t>
      </w:r>
      <w:r>
        <w:t xml:space="preserve"> </w:t>
      </w:r>
      <w:r>
        <w:t xml:space="preserve">returning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The SQL is parsed with</w:t>
      </w:r>
      <w:r>
        <w:t xml:space="preserve"> </w:t>
      </w:r>
      <w:r>
        <w:rPr>
          <w:rStyle w:val="VerbatimChar"/>
        </w:rPr>
        <w:t xml:space="preserve">sqlglot</w:t>
      </w:r>
      <w:r>
        <w:t xml:space="preserve"> </w:t>
      </w:r>
      <w:r>
        <w:t xml:space="preserve">(SELECT-only, no write ops, no dynamic I/O like</w:t>
      </w:r>
      <w:r>
        <w:t xml:space="preserve"> </w:t>
      </w:r>
      <w:r>
        <w:rPr>
          <w:rStyle w:val="VerbatimChar"/>
        </w:rPr>
        <w:t xml:space="preserve">read_*</w:t>
      </w:r>
      <w:r>
        <w:t xml:space="preserve"> </w:t>
      </w:r>
      <w:r>
        <w:t xml:space="preserve">/</w:t>
      </w:r>
      <w:r>
        <w:t xml:space="preserve"> </w:t>
      </w:r>
      <w:r>
        <w:rPr>
          <w:rStyle w:val="VerbatimChar"/>
        </w:rPr>
        <w:t xml:space="preserve">httpfs</w:t>
      </w:r>
      <w:r>
        <w:t xml:space="preserve"> </w:t>
      </w:r>
      <w:r>
        <w:t xml:space="preserve">/</w:t>
      </w:r>
      <w:r>
        <w:t xml:space="preserve"> </w:t>
      </w:r>
      <w:r>
        <w:rPr>
          <w:rStyle w:val="VerbatimChar"/>
        </w:rPr>
        <w:t xml:space="preserve">load_*</w:t>
      </w:r>
      <w:r>
        <w:t xml:space="preserve">), executed against a read-only DuckDB connection, and the resulting</w:t>
      </w:r>
      <w:r>
        <w:t xml:space="preserve"> </w:t>
      </w:r>
      <w:r>
        <w:rPr>
          <w:rStyle w:val="VerbatimChar"/>
        </w:rPr>
        <w:t xml:space="preserve">cell_id → value</w:t>
      </w:r>
      <w:r>
        <w:t xml:space="preserve"> </w:t>
      </w:r>
      <w:r>
        <w:t xml:space="preserve">map is cached in-process with an LRU keyed on the canonical SQL string. A</w:t>
      </w:r>
      <w:r>
        <w:t xml:space="preserve"> </w:t>
      </w:r>
      <w:r>
        <w:rPr>
          <w:rStyle w:val="VerbatimChar"/>
        </w:rPr>
        <w:t xml:space="preserve">mtime</w:t>
      </w:r>
      <w:r>
        <w:t xml:space="preserve"> </w:t>
      </w:r>
      <w:r>
        <w:t xml:space="preserve">parameter can be passed for cache-busting (typically the mtime of</w:t>
      </w:r>
      <w:r>
        <w:t xml:space="preserve"> </w:t>
      </w:r>
      <w:r>
        <w:rPr>
          <w:rStyle w:val="VerbatimChar"/>
        </w:rPr>
        <w:t xml:space="preserve">sdm.duckdb</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Purpose</w:t>
            </w:r>
          </w:p>
        </w:tc>
      </w:tr>
      <w:tr>
        <w:tc>
          <w:tcPr/>
          <w:p>
            <w:pPr>
              <w:pStyle w:val="Compact"/>
            </w:pPr>
            <w:r>
              <w:rPr>
                <w:rStyle w:val="VerbatimChar"/>
              </w:rPr>
              <w:t xml:space="preserve">GET /msens/bounds</w:t>
            </w:r>
          </w:p>
        </w:tc>
        <w:tc>
          <w:tcPr/>
          <w:p>
            <w:pPr>
              <w:pStyle w:val="Compact"/>
            </w:pPr>
            <w:r>
              <w:t xml:space="preserve">Geographic (EPSG:4326) bounds of the cell-id COG.</w:t>
            </w:r>
          </w:p>
        </w:tc>
      </w:tr>
      <w:tr>
        <w:tc>
          <w:tcPr/>
          <w:p>
            <w:pPr>
              <w:pStyle w:val="Compact"/>
            </w:pPr>
            <w:r>
              <w:rPr>
                <w:rStyle w:val="VerbatimChar"/>
              </w:rPr>
              <w:t xml:space="preserve">GET /msens/statistics?sql=…</w:t>
            </w:r>
          </w:p>
        </w:tc>
        <w:tc>
          <w:tcPr/>
          <w:p>
            <w:pPr>
              <w:pStyle w:val="Compact"/>
            </w:pPr>
            <w:r>
              <w:rPr>
                <w:rStyle w:val="VerbatimChar"/>
              </w:rPr>
              <w:t xml:space="preserve">{n, min, max, mean, std, p2, p50, p98}</w:t>
            </w:r>
            <w:r>
              <w:t xml:space="preserve"> </w:t>
            </w:r>
            <w:r>
              <w:t xml:space="preserve">of the SQL result — used by clients to set a stable legend rescale without fetching any tiles. Cached by Varnish.</w:t>
            </w:r>
          </w:p>
        </w:tc>
      </w:tr>
      <w:tr>
        <w:tc>
          <w:tcPr/>
          <w:p>
            <w:pPr>
              <w:pStyle w:val="Compact"/>
            </w:pPr>
            <w:r>
              <w:rPr>
                <w:rStyle w:val="VerbatimChar"/>
              </w:rPr>
              <w:t xml:space="preserve">GET /msens/tilejson.json?sql=…&amp;colormap=…&amp;rescale=…</w:t>
            </w:r>
          </w:p>
        </w:tc>
        <w:tc>
          <w:tcPr/>
          <w:p>
            <w:pPr>
              <w:pStyle w:val="Compact"/>
            </w:pPr>
            <w:r>
              <w:t xml:space="preserve">TileJSON 2.2.0 document with the tile URL template — lets any TileJSON-aware client (QGIS, MapLibre, Mapbox GL) consume the layer.</w:t>
            </w:r>
          </w:p>
        </w:tc>
      </w:tr>
      <w:tr>
        <w:tc>
          <w:tcPr/>
          <w:p>
            <w:pPr>
              <w:pStyle w:val="Compact"/>
            </w:pPr>
            <w:r>
              <w:rPr>
                <w:rStyle w:val="VerbatimChar"/>
              </w:rPr>
              <w:t xml:space="preserve">GET /msens/tiles/{z}/{x}/{y}.png?sql=…&amp;colormap=…&amp;rescale=…</w:t>
            </w:r>
          </w:p>
        </w:tc>
        <w:tc>
          <w:tcPr/>
          <w:p>
            <w:pPr>
              <w:pStyle w:val="Compact"/>
            </w:pPr>
            <w:r>
              <w:t xml:space="preserve">The tile endpoint. Renders a 256×256 RGBA PNG by: (a) executing the SQL and LRU-caching the</w:t>
            </w:r>
            <w:r>
              <w:t xml:space="preserve"> </w:t>
            </w:r>
            <w:r>
              <w:rPr>
                <w:rStyle w:val="VerbatimChar"/>
              </w:rPr>
              <w:t xml:space="preserve">cell_id → value</w:t>
            </w:r>
            <w:r>
              <w:t xml:space="preserve"> </w:t>
            </w:r>
            <w:r>
              <w:t xml:space="preserve">map; (b) reading the z/x/y window of the cell-id COG with nearest-neighbor resampling; (c) looking the value up per pixel, rescaling and colorizing; (d) returning PNG with</w:t>
            </w:r>
            <w:r>
              <w:t xml:space="preserve"> </w:t>
            </w:r>
            <w:r>
              <w:rPr>
                <w:rStyle w:val="VerbatimChar"/>
              </w:rPr>
              <w:t xml:space="preserve">Cache-Control: public, max-age=604800</w:t>
            </w:r>
            <w:r>
              <w:t xml:space="preserve">.</w:t>
            </w:r>
          </w:p>
        </w:tc>
      </w:tr>
      <w:tr>
        <w:tc>
          <w:tcPr/>
          <w:p>
            <w:pPr>
              <w:pStyle w:val="Compact"/>
            </w:pPr>
            <w:r>
              <w:rPr>
                <w:rStyle w:val="VerbatimChar"/>
              </w:rPr>
              <w:t xml:space="preserve">GET /msens/tiles/{z}/{x}/{y}.png?sql=…&amp;color=#rrggbb[aa]</w:t>
            </w:r>
          </w:p>
        </w:tc>
        <w:tc>
          <w:tcPr/>
          <w:p>
            <w:pPr>
              <w:pStyle w:val="Compact"/>
            </w:pPr>
            <w:r>
              <w:rPr>
                <w:b/>
                <w:bCs/>
              </w:rPr>
              <w:t xml:space="preserve">Single-color mask</w:t>
            </w:r>
            <w:r>
              <w:t xml:space="preserve"> </w:t>
            </w:r>
            <w:r>
              <w:t xml:space="preserve">variant: every valid (in-range, finite-value) pixel is painted with the given hex color;</w:t>
            </w:r>
            <w:r>
              <w:t xml:space="preserve"> </w:t>
            </w:r>
            <w:r>
              <w:rPr>
                <w:rStyle w:val="VerbatimChar"/>
              </w:rPr>
              <w:t xml:space="preserve">colormap</w:t>
            </w:r>
            <w:r>
              <w:t xml:space="preserve"> </w:t>
            </w:r>
            <w:r>
              <w:t xml:space="preserve">and</w:t>
            </w:r>
            <w:r>
              <w:t xml:space="preserve"> </w:t>
            </w:r>
            <w:r>
              <w:rPr>
                <w:rStyle w:val="VerbatimChar"/>
              </w:rPr>
              <w:t xml:space="preserve">rescale</w:t>
            </w:r>
            <w:r>
              <w:t xml:space="preserve"> </w:t>
            </w:r>
            <w:r>
              <w:t xml:space="preserve">are ignored. Used for binary overlays like</w:t>
            </w:r>
            <w:r>
              <w:t xml:space="preserve"> </w:t>
            </w:r>
            <w:r>
              <w:t xml:space="preserve">“cells outside Program Areas”</w:t>
            </w:r>
            <w:r>
              <w:t xml:space="preserve">.</w:t>
            </w:r>
          </w:p>
        </w:tc>
      </w:tr>
      <w:tr>
        <w:tc>
          <w:tcPr/>
          <w:p>
            <w:pPr>
              <w:pStyle w:val="Compact"/>
            </w:pPr>
            <w:r>
              <w:rPr>
                <w:rStyle w:val="VerbatimChar"/>
              </w:rPr>
              <w:t xml:space="preserve">GET /msens/debug/cog</w:t>
            </w:r>
          </w:p>
        </w:tc>
        <w:tc>
          <w:tcPr/>
          <w:p>
            <w:pPr>
              <w:pStyle w:val="Compact"/>
            </w:pPr>
            <w:r>
              <w:t xml:space="preserve">Inspect the underlying cell-id COG (bounds, CRS, dtype, nodata, overviews,</w:t>
            </w:r>
            <w:r>
              <w:t xml:space="preserve"> </w:t>
            </w:r>
            <w:r>
              <w:rPr>
                <w:rStyle w:val="VerbatimChar"/>
              </w:rPr>
              <w:t xml:space="preserve">rio_tiler</w:t>
            </w:r>
            <w:r>
              <w:t xml:space="preserve"> </w:t>
            </w:r>
            <w:r>
              <w:t xml:space="preserve">/</w:t>
            </w:r>
            <w:r>
              <w:t xml:space="preserve"> </w:t>
            </w:r>
            <w:r>
              <w:rPr>
                <w:rStyle w:val="VerbatimChar"/>
              </w:rPr>
              <w:t xml:space="preserve">rasterio</w:t>
            </w:r>
            <w:r>
              <w:t xml:space="preserve"> </w:t>
            </w:r>
            <w:r>
              <w:t xml:space="preserve">versions).</w:t>
            </w:r>
          </w:p>
        </w:tc>
      </w:tr>
      <w:tr>
        <w:tc>
          <w:tcPr/>
          <w:p>
            <w:pPr>
              <w:pStyle w:val="Compact"/>
            </w:pPr>
            <w:r>
              <w:rPr>
                <w:rStyle w:val="VerbatimChar"/>
              </w:rPr>
              <w:t xml:space="preserve">GET /msens/debug/tile/{z}/{x}/{y}</w:t>
            </w:r>
          </w:p>
        </w:tc>
        <w:tc>
          <w:tcPr/>
          <w:p>
            <w:pPr>
              <w:pStyle w:val="Compact"/>
            </w:pPr>
            <w:r>
              <w:t xml:space="preserve">Inspect what</w:t>
            </w:r>
            <w:r>
              <w:t xml:space="preserve"> </w:t>
            </w:r>
            <w:r>
              <w:rPr>
                <w:rStyle w:val="VerbatimChar"/>
              </w:rPr>
              <w:t xml:space="preserve">rio_tiler.Reader.tile()</w:t>
            </w:r>
            <w:r>
              <w:t xml:space="preserve"> </w:t>
            </w:r>
            <w:r>
              <w:t xml:space="preserve">returns for a given tile (cell-id range, mask valid-pixel count, top-10 cell-ids by count).</w:t>
            </w:r>
          </w:p>
        </w:tc>
      </w:tr>
    </w:tbl>
    <w:p>
      <w:pPr>
        <w:pStyle w:val="BodyText"/>
      </w:pPr>
      <w:r>
        <w:t xml:space="preserve">Tile URLs were composed via</w:t>
      </w:r>
      <w:r>
        <w:t xml:space="preserve"> </w:t>
      </w:r>
      <w:hyperlink r:id="rId458">
        <w:r>
          <w:rPr>
            <w:rStyle w:val="VerbatimChar"/>
          </w:rPr>
          <w:t xml:space="preserve">msens::cell_tile_url()</w:t>
        </w:r>
      </w:hyperlink>
      <w:r>
        <w:t xml:space="preserve"> </w:t>
      </w:r>
      <w:r>
        <w:t xml:space="preserve">with stats from</w:t>
      </w:r>
      <w:r>
        <w:t xml:space="preserve"> </w:t>
      </w:r>
      <w:hyperlink r:id="rId459">
        <w:r>
          <w:rPr>
            <w:rStyle w:val="VerbatimChar"/>
          </w:rPr>
          <w:t xml:space="preserve">msens::cell_stats()</w:t>
        </w:r>
      </w:hyperlink>
      <w:r>
        <w:t xml:space="preserve">; see</w:t>
      </w:r>
      <w:r>
        <w:t xml:space="preserve"> </w:t>
      </w:r>
      <w:hyperlink w:anchor="sec-libraries">
        <w:r>
          <w:rPr>
            <w:rStyle w:val="Hyperlink"/>
          </w:rPr>
          <w:t xml:space="preserve">Chapter 18</w:t>
        </w:r>
      </w:hyperlink>
      <w:r>
        <w:t xml:space="preserve">.</w:t>
      </w:r>
    </w:p>
    <w:bookmarkEnd w:id="460"/>
    <w:bookmarkStart w:id="462" w:name="caching-v7-factory-only"/>
    <w:p>
      <w:pPr>
        <w:pStyle w:val="Heading3"/>
      </w:pPr>
      <w:r>
        <w:t xml:space="preserve">17.2.2 Caching (v7 factory only)</w:t>
      </w:r>
    </w:p>
    <w:p>
      <w:pPr>
        <w:pStyle w:val="FirstParagraph"/>
      </w:pPr>
      <w:hyperlink r:id="rId461">
        <w:r>
          <w:rPr>
            <w:rStyle w:val="Hyperlink"/>
          </w:rPr>
          <w:t xml:space="preserve">Varnish</w:t>
        </w:r>
      </w:hyperlink>
      <w:r>
        <w:t xml:space="preserve"> </w:t>
      </w:r>
      <w:r>
        <w:t xml:space="preserve">fronts the factory at</w:t>
      </w:r>
      <w:r>
        <w:t xml:space="preserve"> </w:t>
      </w:r>
      <w:r>
        <w:rPr>
          <w:rStyle w:val="VerbatimChar"/>
        </w:rPr>
        <w:t xml:space="preserve">titilecache:6082</w:t>
      </w:r>
      <w:r>
        <w:t xml:space="preserve">. The custom VCL (</w:t>
      </w:r>
      <w:r>
        <w:rPr>
          <w:rStyle w:val="VerbatimChar"/>
        </w:rPr>
        <w:t xml:space="preserve">server/varnish/titiler.vcl</w:t>
      </w:r>
      <w:r>
        <w:t xml:space="preserve">):</w:t>
      </w:r>
    </w:p>
    <w:p>
      <w:pPr>
        <w:pStyle w:val="Compact"/>
        <w:numPr>
          <w:ilvl w:val="0"/>
          <w:numId w:val="1052"/>
        </w:numPr>
      </w:pPr>
      <w:r>
        <w:t xml:space="preserve">Normalizes query-param order via</w:t>
      </w:r>
      <w:r>
        <w:t xml:space="preserve"> </w:t>
      </w:r>
      <w:r>
        <w:rPr>
          <w:rStyle w:val="VerbatimChar"/>
        </w:rPr>
        <w:t xml:space="preserve">std.querysort()</w:t>
      </w:r>
      <w:r>
        <w:t xml:space="preserve"> </w:t>
      </w:r>
      <w:r>
        <w:t xml:space="preserve">so semantically-identical URLs share a cache entry.</w:t>
      </w:r>
    </w:p>
    <w:p>
      <w:pPr>
        <w:pStyle w:val="Compact"/>
        <w:numPr>
          <w:ilvl w:val="0"/>
          <w:numId w:val="1052"/>
        </w:numPr>
      </w:pPr>
      <w:r>
        <w:t xml:space="preserve">Strips</w:t>
      </w:r>
      <w:r>
        <w:t xml:space="preserve"> </w:t>
      </w:r>
      <w:r>
        <w:rPr>
          <w:rStyle w:val="VerbatimChar"/>
        </w:rPr>
        <w:t xml:space="preserve">Cookie</w:t>
      </w:r>
      <w:r>
        <w:t xml:space="preserve"> </w:t>
      </w:r>
      <w:r>
        <w:t xml:space="preserve">/</w:t>
      </w:r>
      <w:r>
        <w:t xml:space="preserve"> </w:t>
      </w:r>
      <w:r>
        <w:rPr>
          <w:rStyle w:val="VerbatimChar"/>
        </w:rPr>
        <w:t xml:space="preserve">Authorization</w:t>
      </w:r>
      <w:r>
        <w:t xml:space="preserve"> </w:t>
      </w:r>
      <w:r>
        <w:t xml:space="preserve">(the factory is stateless).</w:t>
      </w:r>
    </w:p>
    <w:p>
      <w:pPr>
        <w:pStyle w:val="Compact"/>
        <w:numPr>
          <w:ilvl w:val="0"/>
          <w:numId w:val="1052"/>
        </w:numPr>
      </w:pPr>
      <w:r>
        <w:t xml:space="preserve">Caches 2xx responses on</w:t>
      </w:r>
      <w:r>
        <w:t xml:space="preserve"> </w:t>
      </w:r>
      <w:r>
        <w:rPr>
          <w:rStyle w:val="VerbatimChar"/>
        </w:rPr>
        <w:t xml:space="preserve">/msens/(tiles/|tilejson|bounds|statistics)</w:t>
      </w:r>
      <w:r>
        <w:t xml:space="preserve"> </w:t>
      </w:r>
      <w:r>
        <w:t xml:space="preserve">for 7 days (</w:t>
      </w:r>
      <w:r>
        <w:rPr>
          <w:rStyle w:val="VerbatimChar"/>
        </w:rPr>
        <w:t xml:space="preserve">grace=1h</w:t>
      </w:r>
      <w:r>
        <w:t xml:space="preserve">,</w:t>
      </w:r>
      <w:r>
        <w:t xml:space="preserve"> </w:t>
      </w:r>
      <w:r>
        <w:rPr>
          <w:rStyle w:val="VerbatimChar"/>
        </w:rPr>
        <w:t xml:space="preserve">keep=24h</w:t>
      </w:r>
      <w:r>
        <w:t xml:space="preserve">); errors for 60 s to prevent stampede.</w:t>
      </w:r>
    </w:p>
    <w:p>
      <w:pPr>
        <w:pStyle w:val="Compact"/>
        <w:numPr>
          <w:ilvl w:val="0"/>
          <w:numId w:val="1052"/>
        </w:numPr>
      </w:pPr>
      <w:r>
        <w:t xml:space="preserve">Adds</w:t>
      </w:r>
      <w:r>
        <w:t xml:space="preserve"> </w:t>
      </w:r>
      <w:r>
        <w:rPr>
          <w:rStyle w:val="VerbatimChar"/>
        </w:rPr>
        <w:t xml:space="preserve">X-Cache: HIT | MISS</w:t>
      </w:r>
      <w:r>
        <w:t xml:space="preserve"> </w:t>
      </w:r>
      <w:r>
        <w:t xml:space="preserve">for debugging.</w:t>
      </w:r>
    </w:p>
    <w:p>
      <w:pPr>
        <w:pStyle w:val="FirstParagraph"/>
      </w:pPr>
      <w:r>
        <w:t xml:space="preserve">When the source DuckDB regenerates, the retired Shiny apps bumped the</w:t>
      </w:r>
      <w:r>
        <w:t xml:space="preserve"> </w:t>
      </w:r>
      <w:r>
        <w:rPr>
          <w:rStyle w:val="VerbatimChar"/>
        </w:rPr>
        <w:t xml:space="preserve">mtime</w:t>
      </w:r>
      <w:r>
        <w:t xml:space="preserve"> </w:t>
      </w:r>
      <w:r>
        <w:t xml:space="preserve">query parameter to invalidate all cached tiles at once.</w:t>
      </w:r>
    </w:p>
    <w:bookmarkEnd w:id="462"/>
    <w:bookmarkStart w:id="465" w:name="derived-cell-id-cog"/>
    <w:p>
      <w:pPr>
        <w:pStyle w:val="Heading3"/>
      </w:pPr>
      <w:r>
        <w:t xml:space="preserve">17.2.3 Derived cell-id COG</w:t>
      </w:r>
    </w:p>
    <w:p>
      <w:pPr>
        <w:pStyle w:val="FirstParagraph"/>
      </w:pPr>
      <w:r>
        <w:t xml:space="preserve">The factory looks values up against a single-band uint32</w:t>
      </w:r>
      <w:r>
        <w:t xml:space="preserve"> </w:t>
      </w:r>
      <w:r>
        <w:rPr>
          <w:b/>
          <w:bCs/>
        </w:rPr>
        <w:t xml:space="preserve">cell-id COG</w:t>
      </w:r>
      <w:r>
        <w:t xml:space="preserve"> </w:t>
      </w:r>
      <w:r>
        <w:t xml:space="preserve">— one per grid, since the grid changed at v8:</w:t>
      </w:r>
      <w:r>
        <w:t xml:space="preserve"> </w:t>
      </w:r>
      <w:r>
        <w:rPr>
          <w:rStyle w:val="VerbatimChar"/>
        </w:rPr>
        <w:t xml:space="preserve">r_cellid.tif</w:t>
      </w:r>
      <w:r>
        <w:t xml:space="preserve"> </w:t>
      </w:r>
      <w:r>
        <w:t xml:space="preserve">for the v1–v7 regional grid,</w:t>
      </w:r>
      <w:r>
        <w:t xml:space="preserve"> </w:t>
      </w:r>
      <w:r>
        <w:rPr>
          <w:rStyle w:val="VerbatimChar"/>
        </w:rPr>
        <w:t xml:space="preserve">r_cellid_global.tif</w:t>
      </w:r>
      <w:r>
        <w:t xml:space="preserve"> </w:t>
      </w:r>
      <w:r>
        <w:t xml:space="preserve">for the v8 global one.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3" name="Picture"/>
                  <a:graphic>
                    <a:graphicData uri="http://schemas.openxmlformats.org/drawingml/2006/picture">
                      <pic:pic>
                        <pic:nvPicPr>
                          <pic:cNvPr descr="/Applications/quarto/share/formats/docx/warning.png" id="464"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are</w:t>
            </w:r>
            <w:r>
              <w:t xml:space="preserve"> </w:t>
            </w:r>
            <w:r>
              <w:rPr>
                <w:b/>
                <w:bCs/>
              </w:rPr>
              <w:t xml:space="preserve">lookup images</w:t>
            </w:r>
            <w:r>
              <w:t xml:space="preserve">: a pixel’s value is a cell id, not a measurement. A grid’s geometry therefore cannot be inferred from the COG — use the grid registry (</w:t>
            </w:r>
            <w:r>
              <w:rPr>
                <w:rStyle w:val="VerbatimChar"/>
              </w:rPr>
              <w:t xml:space="preserve">msens::grid_spec_for()</w:t>
            </w:r>
            <w:r>
              <w:t xml:space="preserve">), which is the authority on extent, size and longitude convention.</w:t>
            </w:r>
          </w:p>
          <w:p/>
        </w:tc>
      </w:tr>
    </w:tbl>
    <w:bookmarkEnd w:id="465"/>
    <w:bookmarkEnd w:id="466"/>
    <w:bookmarkStart w:id="471" w:name="custom-plumber-api"/>
    <w:p>
      <w:pPr>
        <w:pStyle w:val="Heading2"/>
      </w:pPr>
      <w:r>
        <w:t xml:space="preserve">17.3 Custom plumber API</w:t>
      </w:r>
    </w:p>
    <w:p>
      <w:pPr>
        <w:pStyle w:val="FirstParagraph"/>
      </w:pPr>
      <w:r>
        <w:t xml:space="preserve">The plumber API at</w:t>
      </w:r>
      <w:r>
        <w:t xml:space="preserve"> </w:t>
      </w:r>
      <w:hyperlink r:id="rId395">
        <w:r>
          <w:rPr>
            <w:rStyle w:val="Hyperlink"/>
          </w:rPr>
          <w:t xml:space="preserve">api.marinesensitivity.org</w:t>
        </w:r>
      </w:hyperlink>
      <w:r>
        <w:t xml:space="preserve"> </w:t>
      </w:r>
      <w:r>
        <w:t xml:space="preserve">covers non-tile use cases — CSV exports, species lookups by feature, on-demand PDF/DOCX report generation. Source:</w:t>
      </w:r>
      <w:r>
        <w:t xml:space="preserve"> </w:t>
      </w:r>
      <w:hyperlink r:id="rId467">
        <w:r>
          <w:rPr>
            <w:rStyle w:val="Hyperlink"/>
          </w:rPr>
          <w:t xml:space="preserve">MarineSensitivity/api</w:t>
        </w:r>
      </w:hyperlink>
      <w:r>
        <w:t xml:space="preserve">.</w:t>
      </w:r>
    </w:p>
    <w:p>
      <w:pPr>
        <w:pStyle w:val="BodyText"/>
      </w:pPr>
      <w:r>
        <w:drawing>
          <wp:inline>
            <wp:extent cx="2857500" cy="2046839"/>
            <wp:effectExtent b="0" l="0" r="0" t="0"/>
            <wp:docPr descr="" title="" id="469" name="Picture"/>
            <a:graphic>
              <a:graphicData uri="http://schemas.openxmlformats.org/drawingml/2006/picture">
                <pic:pic>
                  <pic:nvPicPr>
                    <pic:cNvPr descr="figures/apis/api.marinesensitivity.org.png" id="470" name="Picture"/>
                    <pic:cNvPicPr>
                      <a:picLocks noChangeArrowheads="1" noChangeAspect="1"/>
                    </pic:cNvPicPr>
                  </pic:nvPicPr>
                  <pic:blipFill>
                    <a:blip r:embed="rId468"/>
                    <a:stretch>
                      <a:fillRect/>
                    </a:stretch>
                  </pic:blipFill>
                  <pic:spPr bwMode="auto">
                    <a:xfrm>
                      <a:off x="0" y="0"/>
                      <a:ext cx="2857500" cy="2046839"/>
                    </a:xfrm>
                    <a:prstGeom prst="rect">
                      <a:avLst/>
                    </a:prstGeom>
                    <a:noFill/>
                    <a:ln w="9525">
                      <a:noFill/>
                      <a:headEnd/>
                      <a:tailEnd/>
                    </a:ln>
                  </pic:spPr>
                </pic:pic>
              </a:graphicData>
            </a:graphic>
          </wp:inline>
        </w:drawing>
      </w:r>
    </w:p>
    <w:bookmarkEnd w:id="471"/>
    <w:bookmarkStart w:id="473" w:name="stac"/>
    <w:p>
      <w:pPr>
        <w:pStyle w:val="Heading2"/>
      </w:pPr>
      <w:r>
        <w:t xml:space="preserve">17.4 STAC</w:t>
      </w:r>
    </w:p>
    <w:p>
      <w:pPr>
        <w:pStyle w:val="FirstParagraph"/>
      </w:pPr>
      <w:r>
        <w:t xml:space="preserve">Each release publishes a</w:t>
      </w:r>
      <w:r>
        <w:t xml:space="preserve"> </w:t>
      </w:r>
      <w:hyperlink r:id="rId472">
        <w:r>
          <w:rPr>
            <w:rStyle w:val="Hyperlink"/>
          </w:rPr>
          <w:t xml:space="preserve">SpatioTemporal Asset Catalog</w:t>
        </w:r>
      </w:hyperlink>
      <w:r>
        <w:t xml:space="preserve"> </w:t>
      </w:r>
      <w:r>
        <w:t xml:space="preserve">describing its distributions and score surfaces, with a project extension for species-distribution-model metadata. Alongside the static catalog there is a</w:t>
      </w:r>
      <w:r>
        <w:t xml:space="preserve"> </w:t>
      </w:r>
      <w:r>
        <w:rPr>
          <w:b/>
          <w:bCs/>
        </w:rPr>
        <w:t xml:space="preserve">searchable STAC API</w:t>
      </w:r>
      <w:r>
        <w:t xml:space="preserve"> </w:t>
      </w:r>
      <w:r>
        <w:t xml:space="preserve">with one Item per model — the static catalog is dataset-level, with assets that are S3 prefixes and a bounding box covering a whole dataset, so it can answer neither</w:t>
      </w:r>
      <w:r>
        <w:t xml:space="preserve"> </w:t>
      </w:r>
      <w:r>
        <w:t xml:space="preserve">“the asset for this model”</w:t>
      </w:r>
      <w:r>
        <w:t xml:space="preserve"> </w:t>
      </w:r>
      <w:r>
        <w:t xml:space="preserve">nor</w:t>
      </w:r>
      <w:r>
        <w:t xml:space="preserve"> </w:t>
      </w:r>
      <w:r>
        <w:t xml:space="preserve">“which models cover this area”</w:t>
      </w:r>
      <w:r>
        <w:t xml:space="preserve">.</w:t>
      </w:r>
    </w:p>
    <w:p>
      <w:pPr>
        <w:pStyle w:val="BodyText"/>
      </w:pPr>
      <w:r>
        <w:t xml:space="preserve">The API backend reads stac-geoparquet through DuckDB, the same shape as the rest of the stack. It is pinned to an exact upstream commit and marked experimental upstream; treat it as a trial surface rather than load-bearing.</w:t>
      </w:r>
    </w:p>
    <w:bookmarkEnd w:id="473"/>
    <w:bookmarkStart w:id="474" w:name="retired-apis"/>
    <w:p>
      <w:pPr>
        <w:pStyle w:val="Heading2"/>
      </w:pPr>
      <w:r>
        <w:t xml:space="preserve">17.5 Retired APIs</w:t>
      </w:r>
    </w:p>
    <w:p>
      <w:pPr>
        <w:pStyle w:val="FirstParagraph"/>
      </w:pPr>
      <w:r>
        <w:t xml:space="preserve">Removed from the serving path entirely — the containers are commented out in</w:t>
      </w:r>
      <w:r>
        <w:t xml:space="preserve"> </w:t>
      </w:r>
      <w:r>
        <w:rPr>
          <w:rStyle w:val="VerbatimChar"/>
        </w:rPr>
        <w:t xml:space="preserve">docker-compose.yml</w:t>
      </w:r>
      <w:r>
        <w:t xml:space="preserve"> </w:t>
      </w:r>
      <w:r>
        <w:t xml:space="preserve">and are not running:</w:t>
      </w:r>
    </w:p>
    <w:p>
      <w:pPr>
        <w:pStyle w:val="Compact"/>
        <w:numPr>
          <w:ilvl w:val="0"/>
          <w:numId w:val="1053"/>
        </w:numPr>
      </w:pPr>
      <w:r>
        <w:rPr>
          <w:rStyle w:val="VerbatimChar"/>
        </w:rPr>
        <w:t xml:space="preserve">swagger.marinesensitivity.org</w:t>
      </w:r>
      <w:r>
        <w:t xml:space="preserve"> </w:t>
      </w:r>
      <w:r>
        <w:t xml:space="preserve">— PostgREST over PostgreSQL.</w:t>
      </w:r>
    </w:p>
    <w:p>
      <w:pPr>
        <w:pStyle w:val="Compact"/>
        <w:numPr>
          <w:ilvl w:val="0"/>
          <w:numId w:val="1053"/>
        </w:numPr>
      </w:pPr>
      <w:r>
        <w:rPr>
          <w:rStyle w:val="VerbatimChar"/>
        </w:rPr>
        <w:t xml:space="preserve">tile.marinesensitivity.org</w:t>
      </w:r>
      <w:r>
        <w:t xml:space="preserve"> </w:t>
      </w:r>
      <w:r>
        <w:t xml:space="preserve">—</w:t>
      </w:r>
      <w:r>
        <w:t xml:space="preserve"> </w:t>
      </w:r>
      <w:r>
        <w:rPr>
          <w:rStyle w:val="VerbatimChar"/>
        </w:rPr>
        <w:t xml:space="preserve">pg_tileserv</w:t>
      </w:r>
      <w:r>
        <w:t xml:space="preserve"> </w:t>
      </w:r>
      <w:r>
        <w:t xml:space="preserve">vector tiles from PostGIS, superseded by static PMTiles served by Caddy’s</w:t>
      </w:r>
      <w:r>
        <w:t xml:space="preserve"> </w:t>
      </w:r>
      <w:r>
        <w:rPr>
          <w:rStyle w:val="VerbatimChar"/>
        </w:rPr>
        <w:t xml:space="preserve">file</w:t>
      </w:r>
      <w:r>
        <w:t xml:space="preserve"> </w:t>
      </w:r>
      <w:r>
        <w:t xml:space="preserve">subdomain (see</w:t>
      </w:r>
      <w:r>
        <w:t xml:space="preserve"> </w:t>
      </w:r>
      <w:hyperlink w:anchor="sec-software">
        <w:r>
          <w:rPr>
            <w:rStyle w:val="Hyperlink"/>
          </w:rPr>
          <w:t xml:space="preserve">Chapter 13</w:t>
        </w:r>
      </w:hyperlink>
      <w:r>
        <w:t xml:space="preserve">).</w:t>
      </w:r>
    </w:p>
    <w:bookmarkEnd w:id="474"/>
    <w:bookmarkEnd w:id="475"/>
    <w:bookmarkStart w:id="477" w:name="sec-libraries"/>
    <w:p>
      <w:pPr>
        <w:pStyle w:val="Heading1"/>
      </w:pPr>
      <w:r>
        <w:t xml:space="preserve">18. Libraries</w:t>
      </w:r>
    </w:p>
    <w:p>
      <w:pPr>
        <w:pStyle w:val="FirstParagraph"/>
      </w:pPr>
      <w:r>
        <w:t xml:space="preserve">By creating an R package, we document functions and make them easily available across workflows and apps.</w:t>
      </w:r>
    </w:p>
    <w:p>
      <w:pPr>
        <w:pStyle w:val="Compact"/>
        <w:numPr>
          <w:ilvl w:val="0"/>
          <w:numId w:val="1054"/>
        </w:numPr>
      </w:pPr>
      <w:hyperlink r:id="rId347">
        <w:r>
          <w:rPr>
            <w:rStyle w:val="VerbatimChar"/>
          </w:rPr>
          <w:t xml:space="preserve">msens</w:t>
        </w:r>
      </w:hyperlink>
      <w:r>
        <w:br/>
      </w:r>
      <w:r>
        <w:t xml:space="preserve">R library of functions for mapping marine sensitivities, sponsored by BOEM</w:t>
      </w:r>
    </w:p>
    <w:p>
      <w:pPr>
        <w:pStyle w:val="FirstParagraph"/>
      </w:pPr>
      <w:r>
        <w:t xml:space="preserve">Functions</w:t>
      </w:r>
      <w:r>
        <w:t xml:space="preserve"> </w:t>
      </w:r>
      <w:r>
        <w:rPr>
          <w:rStyle w:val="VerbatimChar"/>
        </w:rPr>
        <w:t xml:space="preserve">read</w:t>
      </w:r>
      <w:r>
        <w:t xml:space="preserve"> </w:t>
      </w:r>
      <w:r>
        <w:t xml:space="preserve">data from</w:t>
      </w:r>
      <w:r>
        <w:t xml:space="preserve"> </w:t>
      </w:r>
      <w:hyperlink w:anchor="sec-db">
        <w:r>
          <w:rPr>
            <w:rStyle w:val="Hyperlink"/>
          </w:rPr>
          <w:t xml:space="preserve">Chapter 15</w:t>
        </w:r>
      </w:hyperlink>
      <w:r>
        <w:t xml:space="preserve">,</w:t>
      </w:r>
      <w:r>
        <w:t xml:space="preserve"> </w:t>
      </w:r>
      <w:r>
        <w:rPr>
          <w:rStyle w:val="VerbatimChar"/>
        </w:rPr>
        <w:t xml:space="preserve">analyze</w:t>
      </w:r>
      <w:r>
        <w:t xml:space="preserve"> </w:t>
      </w:r>
      <w:r>
        <w:t xml:space="preserve">it, and</w:t>
      </w:r>
      <w:r>
        <w:t xml:space="preserve"> </w:t>
      </w:r>
      <w:r>
        <w:rPr>
          <w:rStyle w:val="VerbatimChar"/>
        </w:rPr>
        <w:t xml:space="preserve">visualize</w:t>
      </w:r>
      <w:r>
        <w:t xml:space="preserve"> </w:t>
      </w:r>
      <w:r>
        <w:t xml:space="preserve">results. The retired Shiny apps consumed</w:t>
      </w:r>
      <w:r>
        <w:t xml:space="preserve"> </w:t>
      </w:r>
      <w:r>
        <w:rPr>
          <w:rStyle w:val="VerbatimChar"/>
        </w:rPr>
        <w:t xml:space="preserve">msens::*</w:t>
      </w:r>
      <w:r>
        <w:t xml:space="preserve"> </w:t>
      </w:r>
      <w:r>
        <w:t xml:space="preserve">helpers exclusively — their code never talked to the tile factory or PMTiles URL templates directly. The Atlas (</w:t>
      </w:r>
      <w:hyperlink w:anchor="sec-apps">
        <w:r>
          <w:rPr>
            <w:rStyle w:val="Hyperlink"/>
          </w:rPr>
          <w:t xml:space="preserve">Chapter 19</w:t>
        </w:r>
      </w:hyperlink>
      <w:r>
        <w:t xml:space="preserve">) is a JavaScript app and reads the release manifest itself; its in-browser score and species queries are checked against msens by the Atlas’s parity tests.</w:t>
      </w:r>
    </w:p>
    <w:bookmarkStart w:id="476" w:name="map-tile-helpers-as-of-0.3.4"/>
    <w:p>
      <w:pPr>
        <w:pStyle w:val="Heading2"/>
      </w:pPr>
      <w:r>
        <w:t xml:space="preserve">18.1 Map-tile helpers (as of 0.3.4)</w:t>
      </w:r>
    </w:p>
    <w:p>
      <w:pPr>
        <w:pStyle w:val="FirstParagraph"/>
      </w:pPr>
      <w:r>
        <w:t xml:space="preserve">The following helpers bridged the retired Shiny apps to the msens TiTiler factory (</w:t>
      </w:r>
      <w:hyperlink w:anchor="sec-apis">
        <w:r>
          <w:rPr>
            <w:rStyle w:val="Hyperlink"/>
          </w:rPr>
          <w:t xml:space="preserve">Chapter 17</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Helper</w:t>
            </w:r>
          </w:p>
        </w:tc>
        <w:tc>
          <w:tcPr/>
          <w:p>
            <w:pPr>
              <w:pStyle w:val="Compact"/>
            </w:pPr>
            <w:r>
              <w:t xml:space="preserve">Purpose</w:t>
            </w:r>
          </w:p>
        </w:tc>
      </w:tr>
      <w:tr>
        <w:tc>
          <w:tcPr/>
          <w:p>
            <w:pPr>
              <w:pStyle w:val="Compact"/>
            </w:pPr>
            <w:r>
              <w:rPr>
                <w:rStyle w:val="VerbatimChar"/>
              </w:rPr>
              <w:t xml:space="preserve">cell_tile_url(sql, colormap, rescale, color, mtime, base)</w:t>
            </w:r>
          </w:p>
        </w:tc>
        <w:tc>
          <w:tcPr/>
          <w:p>
            <w:pPr>
              <w:pStyle w:val="Compact"/>
            </w:pPr>
            <w:r>
              <w:t xml:space="preserve">Compose an XYZ tile URL template for the factory, base64url-encoding</w:t>
            </w:r>
            <w:r>
              <w:t xml:space="preserve"> </w:t>
            </w:r>
            <w:r>
              <w:rPr>
                <w:rStyle w:val="VerbatimChar"/>
              </w:rPr>
              <w:t xml:space="preserve">sql</w:t>
            </w:r>
            <w:r>
              <w:t xml:space="preserve"> </w:t>
            </w:r>
            <w:r>
              <w:t xml:space="preserve">and omitting</w:t>
            </w:r>
            <w:r>
              <w:t xml:space="preserve"> </w:t>
            </w:r>
            <w:r>
              <w:rPr>
                <w:rStyle w:val="VerbatimChar"/>
              </w:rPr>
              <w:t xml:space="preserve">colormap</w:t>
            </w:r>
            <w:r>
              <w:t xml:space="preserve">/</w:t>
            </w:r>
            <w:r>
              <w:rPr>
                <w:rStyle w:val="VerbatimChar"/>
              </w:rPr>
              <w:t xml:space="preserve">rescale</w:t>
            </w:r>
            <w:r>
              <w:t xml:space="preserve"> </w:t>
            </w:r>
            <w:r>
              <w:t xml:space="preserve">when</w:t>
            </w:r>
            <w:r>
              <w:t xml:space="preserve"> </w:t>
            </w:r>
            <w:r>
              <w:rPr>
                <w:rStyle w:val="VerbatimChar"/>
              </w:rPr>
              <w:t xml:space="preserve">color=</w:t>
            </w:r>
            <w:r>
              <w:t xml:space="preserve"> </w:t>
            </w:r>
            <w:r>
              <w:t xml:space="preserve">is set (single-color mask).</w:t>
            </w:r>
          </w:p>
        </w:tc>
      </w:tr>
      <w:tr>
        <w:tc>
          <w:tcPr/>
          <w:p>
            <w:pPr>
              <w:pStyle w:val="Compact"/>
            </w:pPr>
            <w:r>
              <w:rPr>
                <w:rStyle w:val="VerbatimChar"/>
              </w:rPr>
              <w:t xml:space="preserve">cell_stats(sql, mtime, base)</w:t>
            </w:r>
          </w:p>
        </w:tc>
        <w:tc>
          <w:tcPr/>
          <w:p>
            <w:pPr>
              <w:pStyle w:val="Compact"/>
            </w:pPr>
            <w:r>
              <w:t xml:space="preserve">GET</w:t>
            </w:r>
            <w:r>
              <w:t xml:space="preserve"> </w:t>
            </w:r>
            <w:r>
              <w:rPr>
                <w:rStyle w:val="VerbatimChar"/>
              </w:rPr>
              <w:t xml:space="preserve">/msens/statistics</w:t>
            </w:r>
            <w:r>
              <w:t xml:space="preserve"> </w:t>
            </w:r>
            <w:r>
              <w:t xml:space="preserve">— returns</w:t>
            </w:r>
            <w:r>
              <w:t xml:space="preserve"> </w:t>
            </w:r>
            <w:r>
              <w:rPr>
                <w:rStyle w:val="VerbatimChar"/>
              </w:rPr>
              <w:t xml:space="preserve">list(n, min, max, mean, std, p2, p50, p98)</w:t>
            </w:r>
            <w:r>
              <w:t xml:space="preserve"> </w:t>
            </w:r>
            <w:r>
              <w:t xml:space="preserve">for a stable legend rescale.</w:t>
            </w:r>
          </w:p>
        </w:tc>
      </w:tr>
      <w:tr>
        <w:tc>
          <w:tcPr/>
          <w:p>
            <w:pPr>
              <w:pStyle w:val="Compact"/>
            </w:pPr>
            <w:r>
              <w:rPr>
                <w:rStyle w:val="VerbatimChar"/>
              </w:rPr>
              <w:t xml:space="preserve">add_cell_tiles(m, tile_url, ...)</w:t>
            </w:r>
          </w:p>
        </w:tc>
        <w:tc>
          <w:tcPr/>
          <w:p>
            <w:pPr>
              <w:pStyle w:val="Compact"/>
            </w:pPr>
            <w:r>
              <w:t xml:space="preserve">Wraps</w:t>
            </w:r>
            <w:r>
              <w:t xml:space="preserve"> </w:t>
            </w:r>
            <w:r>
              <w:rPr>
                <w:rStyle w:val="VerbatimChar"/>
              </w:rPr>
              <w:t xml:space="preserve">mapgl::add_raster_source()</w:t>
            </w:r>
            <w:r>
              <w:t xml:space="preserve"> </w:t>
            </w:r>
            <w:r>
              <w:t xml:space="preserve">+</w:t>
            </w:r>
            <w:r>
              <w:t xml:space="preserve"> </w:t>
            </w:r>
            <w:r>
              <w:rPr>
                <w:rStyle w:val="VerbatimChar"/>
              </w:rPr>
              <w:t xml:space="preserve">mapgl::add_raster_layer()</w:t>
            </w:r>
            <w:r>
              <w:t xml:space="preserve"> </w:t>
            </w:r>
            <w:r>
              <w:t xml:space="preserve">so the retired Shiny apps added a cell-values (or mask) layer to a map in one call.</w:t>
            </w:r>
          </w:p>
        </w:tc>
      </w:tr>
      <w:tr>
        <w:tc>
          <w:tcPr/>
          <w:p>
            <w:pPr>
              <w:pStyle w:val="Compact"/>
            </w:pPr>
            <w:r>
              <w:rPr>
                <w:rStyle w:val="VerbatimChar"/>
              </w:rPr>
              <w:t xml:space="preserve">add_cells(m, r, colors, ...)</w:t>
            </w:r>
            <w:r>
              <w:t xml:space="preserve"> </w:t>
            </w:r>
            <w:r>
              <w:t xml:space="preserve">(retained)</w:t>
            </w:r>
          </w:p>
        </w:tc>
        <w:tc>
          <w:tcPr/>
          <w:p>
            <w:pPr>
              <w:pStyle w:val="Compact"/>
            </w:pPr>
            <w:r>
              <w:t xml:space="preserve">Legacy image-source path for static report figures that need terra</w:t>
            </w:r>
            <w:r>
              <w:t xml:space="preserve"> </w:t>
            </w:r>
            <w:r>
              <w:rPr>
                <w:rStyle w:val="VerbatimChar"/>
              </w:rPr>
              <w:t xml:space="preserve">SpatRaster</w:t>
            </w:r>
            <w:r>
              <w:t xml:space="preserve"> </w:t>
            </w:r>
            <w:r>
              <w:t xml:space="preserve">rendering (e.g., Quarto-to-DOCX output that can’t reach the tile server).</w:t>
            </w:r>
          </w:p>
        </w:tc>
      </w:tr>
    </w:tbl>
    <w:p>
      <w:pPr>
        <w:pStyle w:val="BodyText"/>
      </w:pPr>
      <w:r>
        <w:t xml:space="preserve">The SQL passed to</w:t>
      </w:r>
      <w:r>
        <w:t xml:space="preserve"> </w:t>
      </w:r>
      <w:r>
        <w:rPr>
          <w:rStyle w:val="VerbatimChar"/>
        </w:rPr>
        <w:t xml:space="preserve">cell_tile_url()</w:t>
      </w:r>
      <w:r>
        <w:t xml:space="preserve"> </w:t>
      </w:r>
      <w:r>
        <w:t xml:space="preserve">and</w:t>
      </w:r>
      <w:r>
        <w:t xml:space="preserve"> </w:t>
      </w:r>
      <w:r>
        <w:rPr>
          <w:rStyle w:val="VerbatimChar"/>
        </w:rPr>
        <w:t xml:space="preserve">cell_stats()</w:t>
      </w:r>
      <w:r>
        <w:t xml:space="preserve"> </w:t>
      </w:r>
      <w:r>
        <w:t xml:space="preserve">must return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 see the examples in</w:t>
      </w:r>
      <w:r>
        <w:t xml:space="preserve"> </w:t>
      </w:r>
      <w:hyperlink w:anchor="sec-db">
        <w:r>
          <w:rPr>
            <w:rStyle w:val="Hyperlink"/>
          </w:rPr>
          <w:t xml:space="preserve">Chapter 15</w:t>
        </w:r>
      </w:hyperlink>
      <w:r>
        <w:t xml:space="preserve">.</w:t>
      </w:r>
    </w:p>
    <w:bookmarkEnd w:id="476"/>
    <w:bookmarkEnd w:id="477"/>
    <w:bookmarkStart w:id="486" w:name="sec-apps"/>
    <w:p>
      <w:pPr>
        <w:pStyle w:val="Heading1"/>
      </w:pPr>
      <w:r>
        <w:t xml:space="preserve">19. Apps</w:t>
      </w:r>
    </w:p>
    <w:p>
      <w:pPr>
        <w:pStyle w:val="FirstParagraph"/>
      </w:pPr>
      <w:r>
        <w:t xml:space="preserve">The MST has one interactive application, the</w:t>
      </w:r>
      <w:r>
        <w:t xml:space="preserve"> </w:t>
      </w:r>
      <w:r>
        <w:rPr>
          <w:b/>
          <w:bCs/>
        </w:rPr>
        <w:t xml:space="preserve">Atlas</w:t>
      </w:r>
      <w:r>
        <w:t xml:space="preserve"> </w:t>
      </w:r>
      <w:r>
        <w:t xml:space="preserve">(</w:t>
      </w:r>
      <w:hyperlink r:id="rId24">
        <w:r>
          <w:rPr>
            <w:rStyle w:val="Hyperlink"/>
          </w:rPr>
          <w:t xml:space="preserve">preview.marinesensitivity.org/v9/atlas/</w:t>
        </w:r>
      </w:hyperlink>
      <w:r>
        <w:t xml:space="preserve">). It replaces the two Shiny apps (Scores and Species) that came before it; those are retired and described, for the record, under</w:t>
      </w:r>
      <w:r>
        <w:t xml:space="preserve"> </w:t>
      </w:r>
      <w:hyperlink w:anchor="sec-apps-retired">
        <w:r>
          <w:rPr>
            <w:rStyle w:val="Hyperlink"/>
          </w:rPr>
          <w:t xml:space="preserve">Section 19.2</w:t>
        </w:r>
      </w:hyperlink>
      <w:r>
        <w:t xml:space="preserve"> </w:t>
      </w:r>
      <w:r>
        <w:t xml:space="preserve">below and in the Legacy appendix.</w:t>
      </w:r>
    </w:p>
    <w:p>
      <w:pPr>
        <w:pStyle w:val="BodyText"/>
      </w:pPr>
      <w:r>
        <w:t xml:space="preserve">These tools allow stakeholders, scientists, and decision-makers to understand the underlying components contributing to an area’s sensitivity to offshore energy development, supporting better planning and impact assessment.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Applications/quarto/share/formats/docx/note.png" id="47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One application, every release</w:t>
            </w:r>
          </w:p>
        </w:tc>
      </w:tr>
      <w:tr>
        <w:trPr>
          <w:cantSplit/>
        </w:trPr>
        <w:tc>
          <w:tcPr>
            <w:tcMar>
              <w:top w:w="108" w:type="dxa"/>
              <w:bottom w:w="108" w:type="dxa"/>
            </w:tcMar>
          </w:tcPr>
          <w:p>
            <w:pPr>
              <w:pStyle w:val="BodyText"/>
            </w:pPr>
            <w:pPr>
              <w:spacing w:before="16" w:after="16"/>
            </w:pPr>
            <w:r>
              <w:t xml:space="preserve">The Atlas renders</w:t>
            </w:r>
            <w:r>
              <w:t xml:space="preserve"> </w:t>
            </w:r>
            <w:r>
              <w:rPr>
                <w:b/>
                <w:bCs/>
              </w:rPr>
              <w:t xml:space="preserve">any published release</w:t>
            </w:r>
            <w:r>
              <w:t xml:space="preserve"> </w:t>
            </w:r>
            <w:r>
              <w:t xml:space="preserve">rather than shipping a per-version fork. The version is data, settled by the release’s published manifest, so a fix reaches every version at once. On the public host the release is a query parameter (</w:t>
            </w:r>
            <w:r>
              <w:rPr>
                <w:rStyle w:val="VerbatimChar"/>
              </w:rPr>
              <w:t xml:space="preserve">?ver=v3</w:t>
            </w:r>
            <w:r>
              <w:t xml:space="preserve">); a restricted pre-release is reached only through the signed-in preview host, where the version is the URL path (</w:t>
            </w:r>
            <w:r>
              <w:rPr>
                <w:rStyle w:val="VerbatimChar"/>
              </w:rPr>
              <w:t xml:space="preserve">/v9/atlas/</w:t>
            </w:r>
            <w:r>
              <w:t xml:space="preserve">). The release picker in the app’s top bar moves between them. See</w:t>
            </w:r>
            <w:r>
              <w:t xml:space="preserve"> </w:t>
            </w:r>
            <w:hyperlink w:anchor="sec-app-atlas">
              <w:r>
                <w:rPr>
                  <w:rStyle w:val="Hyperlink"/>
                </w:rPr>
                <w:t xml:space="preserve">Chapter 21</w:t>
              </w:r>
            </w:hyperlink>
            <w:r>
              <w:t xml:space="preserve">.</w:t>
            </w:r>
          </w:p>
          <w:p/>
        </w:tc>
      </w:tr>
    </w:tbl>
    <w:bookmarkStart w:id="482" w:name="sec-apps-atlas"/>
    <w:p>
      <w:pPr>
        <w:pStyle w:val="Heading2"/>
      </w:pPr>
      <w:r>
        <w:t xml:space="preserve">19.1 The Atlas</w:t>
      </w:r>
    </w:p>
    <w:p>
      <w:pPr>
        <w:pStyle w:val="FirstParagraph"/>
      </w:pPr>
      <w:r>
        <w:t xml:space="preserve">The</w:t>
      </w:r>
      <w:r>
        <w:t xml:space="preserve"> </w:t>
      </w:r>
      <w:hyperlink r:id="rId24">
        <w:r>
          <w:rPr>
            <w:rStyle w:val="Hyperlink"/>
          </w:rPr>
          <w:t xml:space="preserve">Atlas</w:t>
        </w:r>
      </w:hyperlink>
      <w:r>
        <w:t xml:space="preserve"> </w:t>
      </w:r>
      <w:r>
        <w:t xml:space="preserve">is a static web app (Svelte and MapLibre) with</w:t>
      </w:r>
      <w:r>
        <w:t xml:space="preserve"> </w:t>
      </w:r>
      <w:r>
        <w:rPr>
          <w:b/>
          <w:bCs/>
        </w:rPr>
        <w:t xml:space="preserve">no application server of its own</w:t>
      </w:r>
      <w:r>
        <w:t xml:space="preserve">: the Scores lens’s cell and area clicks, flowers, tables and reports are computed in your browser by a DuckDB-WASM instance that queries the release’s published Parquet directly over HTTPS. What a browser cannot compute itself comes from services that are not Atlas-specific: score and species map tiles from the project’s titiler (which range-reads the release’s Cloud-Optimized GeoTIFFs, and also answers a species click and the legend’s histogram), zone outlines and species range inputs from static PMTiles archives, and the basemap from CARTO.</w:t>
      </w:r>
    </w:p>
    <w:p>
      <w:pPr>
        <w:pStyle w:val="BodyText"/>
      </w:pPr>
      <w:r>
        <w:t xml:space="preserve">It has two</w:t>
      </w:r>
      <w:r>
        <w:t xml:space="preserve"> </w:t>
      </w:r>
      <w:r>
        <w:rPr>
          <w:b/>
          <w:bCs/>
        </w:rPr>
        <w:t xml:space="preserve">lenses</w:t>
      </w:r>
      <w:r>
        <w:t xml:space="preserve">, switched from the top bar, and four tools on its rail, the same in both lenses — Layers, Details, Table and Report:</w:t>
      </w:r>
    </w:p>
    <w:p>
      <w:pPr>
        <w:pStyle w:val="Compact"/>
        <w:numPr>
          <w:ilvl w:val="0"/>
          <w:numId w:val="1055"/>
        </w:numPr>
      </w:pPr>
      <w:hyperlink r:id="rId21">
        <w:r>
          <w:rPr>
            <w:rStyle w:val="Hyperlink"/>
            <w:b/>
            <w:bCs/>
          </w:rPr>
          <w:t xml:space="preserve">Scores lens</w:t>
        </w:r>
      </w:hyperlink>
      <w:r>
        <w:t xml:space="preserve"> </w:t>
      </w:r>
      <w:r>
        <w:t xml:space="preserve">— composite and per-category sensitivity, mapped as the 0.05° cell grid or aggregated to BOEM Program Areas (Planning Areas for v1), with a flower plot and a component table (in Details) and a species table for the selected cell or area.</w:t>
      </w:r>
    </w:p>
    <w:p>
      <w:pPr>
        <w:pStyle w:val="Compact"/>
        <w:numPr>
          <w:ilvl w:val="0"/>
          <w:numId w:val="1055"/>
        </w:numPr>
      </w:pPr>
      <w:hyperlink r:id="rId22">
        <w:r>
          <w:rPr>
            <w:rStyle w:val="Hyperlink"/>
            <w:b/>
            <w:bCs/>
          </w:rPr>
          <w:t xml:space="preserve">Species lens</w:t>
        </w:r>
      </w:hyperlink>
      <w:r>
        <w:t xml:space="preserve"> </w:t>
      </w:r>
      <w:r>
        <w:t xml:space="preserve">— individual and merged distribution models with their contributing input datasets, regulatory status (ESA listing, IUCN Red List category, MMPA and MBTA protection) in the Details tool. Search by common or scientific name.</w:t>
      </w:r>
    </w:p>
    <w:p>
      <w:pPr>
        <w:pStyle w:val="Compact"/>
        <w:numPr>
          <w:ilvl w:val="0"/>
          <w:numId w:val="1055"/>
        </w:numPr>
      </w:pPr>
      <w:r>
        <w:rPr>
          <w:b/>
          <w:bCs/>
        </w:rPr>
        <w:t xml:space="preserve">Places</w:t>
      </w:r>
      <w:r>
        <w:t xml:space="preserve"> </w:t>
      </w:r>
      <w:r>
        <w:t xml:space="preserve">(the first part of the Report tool) — outline any area of interest (pick a Program Area or a gazetteer place, draw a shape, type coordinates, or upload a file) and get the same scores and species results, shareable entirely through the URL.</w:t>
      </w:r>
    </w:p>
    <w:p>
      <w:pPr>
        <w:pStyle w:val="Compact"/>
        <w:numPr>
          <w:ilvl w:val="0"/>
          <w:numId w:val="1055"/>
        </w:numPr>
      </w:pPr>
      <w:r>
        <w:rPr>
          <w:b/>
          <w:bCs/>
        </w:rPr>
        <w:t xml:space="preserve">Report</w:t>
      </w:r>
      <w:r>
        <w:t xml:space="preserve"> </w:t>
      </w:r>
      <w:r>
        <w:t xml:space="preserve">— a printable, downloadable document (print, HTML, ZIP or Word) for any place.</w:t>
      </w:r>
    </w:p>
    <w:p>
      <w:pPr>
        <w:pStyle w:val="FirstParagraph"/>
      </w:pPr>
      <w:hyperlink w:anchor="sec-app-atlas">
        <w:r>
          <w:rPr>
            <w:rStyle w:val="Hyperlink"/>
          </w:rPr>
          <w:t xml:space="preserve">Chapter 21</w:t>
        </w:r>
      </w:hyperlink>
      <w:r>
        <w:t xml:space="preserve"> </w:t>
      </w:r>
      <w:r>
        <w:t xml:space="preserve">is the full walkthrough, including how a drawn place is encoded in a shareable link, and the</w:t>
      </w:r>
      <w:r>
        <w:t xml:space="preserve"> </w:t>
      </w:r>
      <w:hyperlink r:id="rId480">
        <w:r>
          <w:rPr>
            <w:rStyle w:val="Hyperlink"/>
          </w:rPr>
          <w:t xml:space="preserve">Atlas user guide</w:t>
        </w:r>
      </w:hyperlink>
      <w:r>
        <w:t xml:space="preserve"> </w:t>
      </w:r>
      <w:r>
        <w:t xml:space="preserve">steps through the app’s own guided tour one control at a time.</w:t>
      </w:r>
    </w:p>
    <w:p>
      <w:pPr>
        <w:pStyle w:val="BodyText"/>
      </w:pPr>
      <w:r>
        <w:t xml:space="preserve">Deep links carry their state in the URL.</w:t>
      </w:r>
      <w:r>
        <w:t xml:space="preserve"> </w:t>
      </w:r>
      <w:r>
        <w:rPr>
          <w:rStyle w:val="VerbatimChar"/>
        </w:rPr>
        <w:t xml:space="preserve">lens=species</w:t>
      </w:r>
      <w:r>
        <w:t xml:space="preserve"> </w:t>
      </w:r>
      <w:r>
        <w:t xml:space="preserve">opens the Species lens,</w:t>
      </w:r>
      <w:r>
        <w:t xml:space="preserve"> </w:t>
      </w:r>
      <w:r>
        <w:rPr>
          <w:rStyle w:val="VerbatimChar"/>
        </w:rPr>
        <w:t xml:space="preserve">sp=</w:t>
      </w:r>
      <w:r>
        <w:t xml:space="preserve"> </w:t>
      </w:r>
      <w:r>
        <w:t xml:space="preserve">selects a species, and the Atlas rewrites the older</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parameters to</w:t>
      </w:r>
      <w:r>
        <w:t xml:space="preserve"> </w:t>
      </w:r>
      <w:r>
        <w:rPr>
          <w:rStyle w:val="VerbatimChar"/>
        </w:rPr>
        <w:t xml:space="preserve">sp</w:t>
      </w:r>
      <w:r>
        <w:t xml:space="preserve"> </w:t>
      </w:r>
      <w:r>
        <w:t xml:space="preserve">when it loads, so a link made for either Shiny app, or printed in an earlier report, opens the same species.</w:t>
      </w:r>
    </w:p>
    <w:bookmarkStart w:id="481" w:name="how-the-atlas-draws-a-release"/>
    <w:p>
      <w:pPr>
        <w:pStyle w:val="Heading3"/>
      </w:pPr>
      <w:r>
        <w:t xml:space="preserve">19.1.1 How the Atlas draws a release</w:t>
      </w:r>
    </w:p>
    <w:p>
      <w:pPr>
        <w:pStyle w:val="FirstParagraph"/>
      </w:pPr>
      <w:r>
        <w:t xml:space="preserve">Three kinds of map layer, each resolved from the release’s manifest rather than hardcoded, make the Scores lens:</w:t>
      </w:r>
    </w:p>
    <w:p>
      <w:pPr>
        <w:pStyle w:val="Compact"/>
        <w:numPr>
          <w:ilvl w:val="0"/>
          <w:numId w:val="1056"/>
        </w:numPr>
      </w:pPr>
      <w:r>
        <w:rPr>
          <w:b/>
          <w:bCs/>
        </w:rPr>
        <w:t xml:space="preserve">Score raster</w:t>
      </w:r>
      <w:r>
        <w:t xml:space="preserve"> </w:t>
      </w:r>
      <w:r>
        <w:t xml:space="preserve">— a pre-rendered COG per metric × subregion, whose URL and rescale range come straight from the release manifest and which titiler turns into small tiles on request. The browser fetches only the tiles intersecting its viewport; no full raster is transferred on load.</w:t>
      </w:r>
    </w:p>
    <w:p>
      <w:pPr>
        <w:pStyle w:val="Compact"/>
        <w:numPr>
          <w:ilvl w:val="0"/>
          <w:numId w:val="1056"/>
        </w:numPr>
      </w:pPr>
      <w:r>
        <w:rPr>
          <w:b/>
          <w:bCs/>
        </w:rPr>
        <w:t xml:space="preserve">“Cells outside Program Areas”</w:t>
      </w:r>
      <w:r>
        <w:rPr>
          <w:b/>
          <w:bCs/>
        </w:rPr>
        <w:t xml:space="preserve"> </w:t>
      </w:r>
      <w:r>
        <w:rPr>
          <w:b/>
          <w:bCs/>
        </w:rPr>
        <w:t xml:space="preserve">mask</w:t>
      </w:r>
      <w:r>
        <w:t xml:space="preserve"> </w:t>
      </w:r>
      <w:r>
        <w:t xml:space="preserve">— a single-color overlay published the same way.</w:t>
      </w:r>
    </w:p>
    <w:p>
      <w:pPr>
        <w:pStyle w:val="Compact"/>
        <w:numPr>
          <w:ilvl w:val="0"/>
          <w:numId w:val="1056"/>
        </w:numPr>
      </w:pPr>
      <w:r>
        <w:rPr>
          <w:b/>
          <w:bCs/>
        </w:rPr>
        <w:t xml:space="preserve">Zone choropleth</w:t>
      </w:r>
      <w:r>
        <w:t xml:space="preserve"> </w:t>
      </w:r>
      <w:r>
        <w:t xml:space="preserve">— polygon geometry from a static PMTiles archive published per geometry</w:t>
      </w:r>
      <w:r>
        <w:t xml:space="preserve"> </w:t>
      </w:r>
      <w:r>
        <w:rPr>
          <w:b/>
          <w:bCs/>
        </w:rPr>
        <w:t xml:space="preserve">vintage</w:t>
      </w:r>
      <w:r>
        <w:t xml:space="preserve">, with each zone’s fill color computed in the browser from the release’s per-zone scores.</w:t>
      </w:r>
    </w:p>
    <w:p>
      <w:pPr>
        <w:pStyle w:val="FirstParagraph"/>
      </w:pPr>
      <w:r>
        <w:t xml:space="preserve">Because every one of those is resolved from the manifest, switching the release switches all three together, including drawing the boundary vintage that release actually used.</w:t>
      </w:r>
      <w:r>
        <w:t xml:space="preserve"> </w:t>
      </w:r>
      <w:hyperlink w:anchor="sec-software">
        <w:r>
          <w:rPr>
            <w:rStyle w:val="Hyperlink"/>
          </w:rPr>
          <w:t xml:space="preserve">Chapter 13</w:t>
        </w:r>
      </w:hyperlink>
      <w:r>
        <w:t xml:space="preserve"> </w:t>
      </w:r>
      <w:r>
        <w:t xml:space="preserve">shows the serving architecture these layers sit on, and how COGs and PMTiles are produced and published; its diagrams were drawn when the Shiny apps were the clients, so where they show a Shiny server, the Atlas now does that work in the browser.</w:t>
      </w:r>
    </w:p>
    <w:bookmarkEnd w:id="481"/>
    <w:bookmarkEnd w:id="482"/>
    <w:bookmarkStart w:id="484" w:name="sec-apps-retired"/>
    <w:p>
      <w:pPr>
        <w:pStyle w:val="Heading2"/>
      </w:pPr>
      <w:r>
        <w:t xml:space="preserve">19.2 Retired: the Scores and Species Shiny apps</w:t>
      </w:r>
    </w:p>
    <w:p>
      <w:pPr>
        <w:pStyle w:val="FirstParagraph"/>
      </w:pPr>
      <w:r>
        <w:t xml:space="preserve">Until October 2026 the MST’s interactive tools were two R Shiny apps, each rendering any published release from the URL path:</w:t>
      </w:r>
    </w:p>
    <w:p>
      <w:pPr>
        <w:pStyle w:val="Compact"/>
        <w:numPr>
          <w:ilvl w:val="0"/>
          <w:numId w:val="1057"/>
        </w:numPr>
      </w:pPr>
      <w:r>
        <w:rPr>
          <w:b/>
          <w:bCs/>
        </w:rPr>
        <w:t xml:space="preserve">Scores</w:t>
      </w:r>
      <w:r>
        <w:t xml:space="preserve"> </w:t>
      </w:r>
      <w:r>
        <w:t xml:space="preserve">— composite and per-category sensitivity by Program Area or cell, with flower plots, treemaps and species tables (</w:t>
      </w:r>
      <w:hyperlink w:anchor="sec-app-scores">
        <w:r>
          <w:rPr>
            <w:rStyle w:val="Hyperlink"/>
          </w:rPr>
          <w:t xml:space="preserve">Appendix B</w:t>
        </w:r>
      </w:hyperlink>
      <w:r>
        <w:t xml:space="preserve">).</w:t>
      </w:r>
    </w:p>
    <w:p>
      <w:pPr>
        <w:pStyle w:val="Compact"/>
        <w:numPr>
          <w:ilvl w:val="0"/>
          <w:numId w:val="1057"/>
        </w:numPr>
      </w:pPr>
      <w:r>
        <w:rPr>
          <w:b/>
          <w:bCs/>
        </w:rPr>
        <w:t xml:space="preserve">Species</w:t>
      </w:r>
      <w:r>
        <w:t xml:space="preserve"> </w:t>
      </w:r>
      <w:r>
        <w:t xml:space="preserve">— individual and merged distribution models with regulatory status (</w:t>
      </w:r>
      <w:hyperlink w:anchor="sec-app-species">
        <w:r>
          <w:rPr>
            <w:rStyle w:val="Hyperlink"/>
          </w:rPr>
          <w:t xml:space="preserve">Appendix D</w:t>
        </w:r>
      </w:hyperlink>
      <w:r>
        <w:t xml:space="preserve">).</w:t>
      </w:r>
    </w:p>
    <w:p>
      <w:pPr>
        <w:pStyle w:val="FirstParagraph"/>
      </w:pPr>
      <w:r>
        <w:t xml:space="preserve">The Atlas does what both did and adds Places. The Shiny apps are no longer reachable, and every URL they answered at (</w:t>
      </w:r>
      <w:r>
        <w:rPr>
          <w:rStyle w:val="VerbatimChar"/>
        </w:rPr>
        <w:t xml:space="preserve">app.marinesensitivity.org/{ver}/scores/</w:t>
      </w:r>
      <w:r>
        <w:t xml:space="preserve">,</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is redirected (HTTP 302 for now; the public redirects become permanent 301s once the Shiny services are removed) to the equivalent Atlas view with its query carried; a restricted release’s URLs go to its Atlas on the preview host. Links in earlier reports, including the URLs printed in the BOEM final report, therefore keep working. The apps’ source remains in the</w:t>
      </w:r>
      <w:r>
        <w:t xml:space="preserve"> </w:t>
      </w:r>
      <w:hyperlink r:id="rId342">
        <w:r>
          <w:rPr>
            <w:rStyle w:val="VerbatimChar"/>
          </w:rPr>
          <w:t xml:space="preserve">apps</w:t>
        </w:r>
      </w:hyperlink>
      <w:r>
        <w:t xml:space="preserve"> </w:t>
      </w:r>
      <w:r>
        <w:t xml:space="preserve">repository, and their documentation is kept in the Legacy appendix:</w:t>
      </w:r>
      <w:r>
        <w:t xml:space="preserve"> </w:t>
      </w:r>
      <w:hyperlink w:anchor="sec-app-scores">
        <w:r>
          <w:rPr>
            <w:rStyle w:val="Hyperlink"/>
          </w:rPr>
          <w:t xml:space="preserve">Appendix B</w:t>
        </w:r>
      </w:hyperlink>
      <w:r>
        <w:t xml:space="preserve">,</w:t>
      </w:r>
      <w:r>
        <w:t xml:space="preserve"> </w:t>
      </w:r>
      <w:hyperlink w:anchor="sec-app-species">
        <w:r>
          <w:rPr>
            <w:rStyle w:val="Hyperlink"/>
          </w:rPr>
          <w:t xml:space="preserve">Appendix D</w:t>
        </w:r>
      </w:hyperlink>
      <w:r>
        <w:t xml:space="preserve"> </w:t>
      </w:r>
      <w:r>
        <w:t xml:space="preserve">and their</w:t>
      </w:r>
      <w:r>
        <w:t xml:space="preserve"> </w:t>
      </w:r>
      <w:hyperlink r:id="rId483">
        <w:r>
          <w:rPr>
            <w:rStyle w:val="Hyperlink"/>
          </w:rPr>
          <w:t xml:space="preserve">step-by-step guide</w:t>
        </w:r>
      </w:hyperlink>
      <w:r>
        <w:t xml:space="preserve">.</w:t>
      </w:r>
    </w:p>
    <w:bookmarkEnd w:id="484"/>
    <w:bookmarkStart w:id="485" w:name="legacy-applications"/>
    <w:p>
      <w:pPr>
        <w:pStyle w:val="Heading2"/>
      </w:pPr>
      <w:r>
        <w:t xml:space="preserve">19.3 Legacy Applications</w:t>
      </w:r>
    </w:p>
    <w:p>
      <w:pPr>
        <w:pStyle w:val="FirstParagraph"/>
      </w:pPr>
      <w:r>
        <w:t xml:space="preserve">Earlier prototype applications from the research phase are kept in the Appendix under Applications (Legacy) for reference, alongside the retired Shiny apps. They are not part of the current serving path.</w:t>
      </w:r>
    </w:p>
    <w:bookmarkEnd w:id="485"/>
    <w:bookmarkEnd w:id="486"/>
    <w:bookmarkStart w:id="487" w:name="Xdb7596251ccac05cc02bb08ef65d814effe7d92"/>
    <w:p>
      <w:pPr>
        <w:pStyle w:val="Heading1"/>
      </w:pPr>
      <w:r>
        <w:t xml:space="preserve">20. Atlas — the static, in-browser scores, species and places app</w:t>
      </w:r>
    </w:p>
    <w:bookmarkEnd w:id="487"/>
    <w:bookmarkStart w:id="566" w:name="sec-app-atlas"/>
    <w:p>
      <w:pPr>
        <w:pStyle w:val="Heading1"/>
      </w:pPr>
      <w:r>
        <w:t xml:space="preserve">21. Atlas</w:t>
      </w:r>
    </w:p>
    <w:bookmarkStart w:id="502" w:name="overview-1"/>
    <w:p>
      <w:pPr>
        <w:pStyle w:val="Heading2"/>
      </w:pPr>
      <w:r>
        <w:t xml:space="preserve">21.1 Overview</w:t>
      </w:r>
    </w:p>
    <w:p>
      <w:pPr>
        <w:pStyle w:val="FirstParagraph"/>
      </w:pPr>
      <w:r>
        <w:t xml:space="preserve">The</w:t>
      </w:r>
      <w:r>
        <w:t xml:space="preserve"> </w:t>
      </w:r>
      <w:r>
        <w:rPr>
          <w:b/>
          <w:bCs/>
        </w:rPr>
        <w:t xml:space="preserve">Atlas</w:t>
      </w:r>
      <w:r>
        <w:t xml:space="preserve"> </w:t>
      </w:r>
      <w:r>
        <w:t xml:space="preserve">(</w:t>
      </w:r>
      <w:hyperlink r:id="rId24">
        <w:r>
          <w:rPr>
            <w:rStyle w:val="Hyperlink"/>
          </w:rPr>
          <w:t xml:space="preserve">https://preview.marinesensitivity.org/v9/atlas/</w:t>
        </w:r>
      </w:hyperlink>
      <w:r>
        <w:t xml:space="preserve">) is the MST’s interactive application:</w:t>
      </w:r>
      <w:r>
        <w:t xml:space="preserve"> </w:t>
      </w:r>
      <w:r>
        <w:rPr>
          <w:b/>
          <w:bCs/>
        </w:rPr>
        <w:t xml:space="preserve">one static web app</w:t>
      </w:r>
      <w:r>
        <w:t xml:space="preserve">, built with Svelte and MapLibre, that runs entirely in the browser. Where the</w:t>
      </w:r>
      <w:r>
        <w:t xml:space="preserve"> </w:t>
      </w:r>
      <w:hyperlink r:id="rId488">
        <w:r>
          <w:rPr>
            <w:rStyle w:val="Hyperlink"/>
          </w:rPr>
          <w:t xml:space="preserve">Scores</w:t>
        </w:r>
      </w:hyperlink>
      <w:r>
        <w:t xml:space="preserve"> </w:t>
      </w:r>
      <w:r>
        <w:t xml:space="preserve">and</w:t>
      </w:r>
      <w:r>
        <w:t xml:space="preserve"> </w:t>
      </w:r>
      <w:hyperlink r:id="rId489">
        <w:r>
          <w:rPr>
            <w:rStyle w:val="Hyperlink"/>
          </w:rPr>
          <w:t xml:space="preserve">Species</w:t>
        </w:r>
      </w:hyperlink>
      <w:r>
        <w:t xml:space="preserve"> </w:t>
      </w:r>
      <w:r>
        <w:t xml:space="preserve">Shiny apps it replaced were server-rendered R</w:t>
      </w:r>
      <w:r>
        <w:t xml:space="preserve"> </w:t>
      </w:r>
      <w:r>
        <w:t xml:space="preserve">processes, the Atlas has</w:t>
      </w:r>
      <w:r>
        <w:t xml:space="preserve"> </w:t>
      </w:r>
      <w:r>
        <w:rPr>
          <w:b/>
          <w:bCs/>
        </w:rPr>
        <w:t xml:space="preserve">no application server of its own</w:t>
      </w:r>
      <w:r>
        <w:t xml:space="preserve">: scores, flowers,</w:t>
      </w:r>
      <w:r>
        <w:t xml:space="preserve"> </w:t>
      </w:r>
      <w:r>
        <w:t xml:space="preserve">tables and reports are computed in your browser, by a DuckDB instance compiled to WebAssembly</w:t>
      </w:r>
      <w:r>
        <w:t xml:space="preserve"> </w:t>
      </w:r>
      <w:r>
        <w:t xml:space="preserve">(DuckDB-WASM) querying the release’s published Parquet directly over HTTPS. It still depends on a</w:t>
      </w:r>
      <w:r>
        <w:t xml:space="preserve"> </w:t>
      </w:r>
      <w:r>
        <w:t xml:space="preserve">few other services for what a browser cannot compute itself — score and species map tiles come</w:t>
      </w:r>
      <w:r>
        <w:t xml:space="preserve"> </w:t>
      </w:r>
      <w:r>
        <w:t xml:space="preserve">from the project’s</w:t>
      </w:r>
      <w:r>
        <w:t xml:space="preserve"> </w:t>
      </w:r>
      <w:r>
        <w:rPr>
          <w:b/>
          <w:bCs/>
        </w:rPr>
        <w:t xml:space="preserve">titiler</w:t>
      </w:r>
      <w:r>
        <w:t xml:space="preserve">, zone outlines from</w:t>
      </w:r>
      <w:r>
        <w:t xml:space="preserve"> </w:t>
      </w:r>
      <w:r>
        <w:rPr>
          <w:b/>
          <w:bCs/>
        </w:rPr>
        <w:t xml:space="preserve">PMTiles</w:t>
      </w:r>
      <w:r>
        <w:t xml:space="preserve"> </w:t>
      </w:r>
      <w:r>
        <w:t xml:space="preserve">on S3, and the basemap from</w:t>
      </w:r>
      <w:r>
        <w:t xml:space="preserve"> </w:t>
      </w:r>
      <w:r>
        <w:rPr>
          <w:b/>
          <w:bCs/>
        </w:rPr>
        <w:t xml:space="preserve">CARTO</w:t>
      </w:r>
      <w:r>
        <w:t xml:space="preserve"> </w:t>
      </w:r>
      <w:r>
        <w:t xml:space="preserve">— but there is no Atlas-specific backend.</w:t>
      </w:r>
    </w:p>
    <w:p>
      <w:pPr>
        <w:pStyle w:val="BodyText"/>
      </w:pPr>
      <w:r>
        <w:t xml:space="preserve">On the public host the release is a query parameter (</w:t>
      </w:r>
      <w:r>
        <w:rPr>
          <w:rStyle w:val="VerbatimChar"/>
        </w:rPr>
        <w:t xml:space="preserve">?ver=v7</w:t>
      </w:r>
      <w:r>
        <w:t xml:space="preserve">), resolved client-side against the</w:t>
      </w:r>
      <w:r>
        <w:t xml:space="preserve"> </w:t>
      </w:r>
      <w:r>
        <w:t xml:space="preserve">published</w:t>
      </w:r>
      <w:r>
        <w:t xml:space="preserve"> </w:t>
      </w:r>
      <w:r>
        <w:rPr>
          <w:rStyle w:val="VerbatimChar"/>
        </w:rPr>
        <w:t xml:space="preserve">versions.json</w:t>
      </w:r>
      <w:r>
        <w:t xml:space="preserve"> </w:t>
      </w:r>
      <w:r>
        <w:t xml:space="preserve">and defaulting to the promoted release when absent. A</w:t>
      </w:r>
      <w:r>
        <w:t xml:space="preserve"> </w:t>
      </w:r>
      <w:r>
        <w:rPr>
          <w:rStyle w:val="VerbatimChar"/>
        </w:rPr>
        <w:t xml:space="preserve">restricted</w:t>
      </w:r>
      <w:r>
        <w:t xml:space="preserve"> </w:t>
      </w:r>
      <w:r>
        <w:t xml:space="preserve">pre-release is served only through the signed-in preview host, at</w:t>
      </w:r>
      <w:r>
        <w:t xml:space="preserve"> </w:t>
      </w:r>
      <w:r>
        <w:rPr>
          <w:rStyle w:val="VerbatimChar"/>
        </w:rPr>
        <w:t xml:space="preserve">https://preview.marinesensitivity.org/{ver}/atlas/</w:t>
      </w:r>
      <w:r>
        <w:t xml:space="preserve"> </w:t>
      </w:r>
      <w:r>
        <w:t xml:space="preserve">(the version as the URL</w:t>
      </w:r>
      <w:r>
        <w:t xml:space="preserve"> </w:t>
      </w:r>
      <w:r>
        <w:rPr>
          <w:b/>
          <w:bCs/>
        </w:rPr>
        <w:t xml:space="preserve">path</w:t>
      </w:r>
      <w:r>
        <w:t xml:space="preserve">, since</w:t>
      </w:r>
      <w:r>
        <w:t xml:space="preserve"> </w:t>
      </w:r>
      <w:r>
        <w:t xml:space="preserve">Cloudflare Access scopes its reviewer policies by path, never by query).</w:t>
      </w:r>
    </w:p>
    <w:p>
      <w:pPr>
        <w:pStyle w:val="BodyText"/>
      </w:pPr>
      <w:r>
        <w:t xml:space="preserve">This chapter describes the Atlas as of version 0.10.93.</w:t>
      </w:r>
      <w:r>
        <w:t xml:space="preserve"> </w:t>
      </w:r>
      <w:hyperlink w:anchor="fig-atlas-map">
        <w:r>
          <w:rPr>
            <w:rStyle w:val="Hyperlink"/>
          </w:rPr>
          <w:t xml:space="preserve">Figure 21.1</w:t>
        </w:r>
      </w:hyperlink>
      <w:r>
        <w:t xml:space="preserve"> </w:t>
      </w:r>
      <w:r>
        <w:t xml:space="preserve">shows the default Scores</w:t>
      </w:r>
      <w:r>
        <w:t xml:space="preserve"> </w:t>
      </w:r>
      <w:r>
        <w:t xml:space="preserve">view: the 0.05° cell grid colored by a composite sensitivity score across U.S. waters, dark theme</w:t>
      </w:r>
      <w:r>
        <w:t xml:space="preserve"> </w:t>
      </w:r>
      <w:r>
        <w:t xml:space="preserve">(the app’s default). In the current build the four-tool rail is attached to the panel, which opens</w:t>
      </w:r>
      <w:r>
        <w:t xml:space="preserve"> </w:t>
      </w:r>
      <w:r>
        <w:t xml:space="preserve">docked on the left with Layers showing, the map’s legend sits at the bottom right, and the</w:t>
      </w:r>
      <w:r>
        <w:t xml:space="preserve"> </w:t>
      </w:r>
      <w:r>
        <w:t xml:space="preserve">basemap’s attribution is just under it.</w:t>
      </w:r>
    </w:p>
    <w:tbl>
      <w:tblPr>
        <w:tblStyle w:val="Table"/>
        <w:tblW w:type="pct" w:w="5000"/>
        <w:tblLayout w:type="fixed"/>
        <w:tblLook w:firstRow="0" w:lastRow="0" w:firstColumn="0" w:lastColumn="0" w:noHBand="0" w:noVBand="0" w:val="0000"/>
      </w:tblPr>
      <w:tblGrid>
        <w:gridCol w:w="7920"/>
      </w:tblGrid>
      <w:tr>
        <w:tc>
          <w:tcPr/>
          <w:bookmarkStart w:id="493" w:name="fig-atlas-map"/>
          <w:p>
            <w:pPr>
              <w:pStyle w:val="Compact"/>
              <w:jc w:val="center"/>
            </w:pPr>
            <w:r>
              <w:drawing>
                <wp:inline>
                  <wp:extent cx="5334000" cy="3333750"/>
                  <wp:effectExtent b="0" l="0" r="0" t="0"/>
                  <wp:docPr descr="" title="" id="491" name="Picture"/>
                  <a:graphic>
                    <a:graphicData uri="http://schemas.openxmlformats.org/drawingml/2006/picture">
                      <pic:pic>
                        <pic:nvPicPr>
                          <pic:cNvPr descr="images/atlas/desktop-map.png" id="492" name="Picture"/>
                          <pic:cNvPicPr>
                            <a:picLocks noChangeArrowheads="1" noChangeAspect="1"/>
                          </pic:cNvPicPr>
                        </pic:nvPicPr>
                        <pic:blipFill>
                          <a:blip r:embed="rId49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 The Atlas, Scores lens, default view (desktop, dark theme): the Layers panel and its four-tool rail docked on the left, the score legend at the bottom right. Atlas 0.10.91, release v7, 2026-10-16.</w:t>
            </w:r>
          </w:p>
          <w:bookmarkEnd w:id="493"/>
        </w:tc>
      </w:tr>
    </w:tbl>
    <w:p>
      <w:pPr>
        <w:pStyle w:val="BodyText"/>
      </w:pPr>
      <w:r>
        <w:rPr>
          <w:b/>
          <w:bCs/>
        </w:rPr>
        <w:t xml:space="preserve">Desktop vs. phone layout.</w:t>
      </w:r>
      <w:r>
        <w:t xml:space="preserve"> </w:t>
      </w:r>
      <w:r>
        <w:t xml:space="preserve">On a wide viewport the four rail tools —</w:t>
      </w:r>
      <w:r>
        <w:t xml:space="preserve"> </w:t>
      </w:r>
      <w:r>
        <w:rPr>
          <w:b/>
          <w:bCs/>
        </w:rPr>
        <w:t xml:space="preserve">Layers, Details, Table,</w:t>
      </w:r>
      <w:r>
        <w:rPr>
          <w:b/>
          <w:bCs/>
        </w:rPr>
        <w:t xml:space="preserve"> </w:t>
      </w:r>
      <w:r>
        <w:rPr>
          <w:b/>
          <w:bCs/>
        </w:rPr>
        <w:t xml:space="preserve">Report</w:t>
      </w:r>
      <w:r>
        <w:t xml:space="preserve">, the same in both lenses — open a single panel attached to the rail. It docks on the left</w:t>
      </w:r>
      <w:r>
        <w:t xml:space="preserve"> </w:t>
      </w:r>
      <w:r>
        <w:t xml:space="preserve">by default, one header button moves it (and the rail) to the other side, and</w:t>
      </w:r>
      <w:r>
        <w:t xml:space="preserve"> </w:t>
      </w:r>
      <w:r>
        <w:rPr>
          <w:b/>
          <w:bCs/>
        </w:rPr>
        <w:t xml:space="preserve">Table</w:t>
      </w:r>
      <w:r>
        <w:t xml:space="preserve"> </w:t>
      </w:r>
      <w:r>
        <w:t xml:space="preserve">takes the</w:t>
      </w:r>
      <w:r>
        <w:t xml:space="preserve"> </w:t>
      </w:r>
      <w:r>
        <w:t xml:space="preserve">whole stage instead of the side panel. On a phone the identical four tools sit in a labelled</w:t>
      </w:r>
      <w:r>
        <w:t xml:space="preserve"> </w:t>
      </w:r>
      <w:r>
        <w:rPr>
          <w:b/>
          <w:bCs/>
        </w:rPr>
        <w:t xml:space="preserve">bottom tab bar</w:t>
      </w:r>
      <w:r>
        <w:t xml:space="preserve">, and the panel becomes a</w:t>
      </w:r>
      <w:r>
        <w:t xml:space="preserve"> </w:t>
      </w:r>
      <w:r>
        <w:rPr>
          <w:b/>
          <w:bCs/>
        </w:rPr>
        <w:t xml:space="preserve">bottom sheet</w:t>
      </w:r>
      <w:r>
        <w:t xml:space="preserve"> </w:t>
      </w:r>
      <w:r>
        <w:t xml:space="preserve">with three heights (peek, half, full).</w:t>
      </w:r>
      <w:r>
        <w:t xml:space="preserve"> </w:t>
      </w:r>
      <w:hyperlink w:anchor="fig-atlas-phone-map">
        <w:r>
          <w:rPr>
            <w:rStyle w:val="Hyperlink"/>
          </w:rPr>
          <w:t xml:space="preserve">Figure 21.2</w:t>
        </w:r>
      </w:hyperlink>
      <w:r>
        <w:t xml:space="preserve"> </w:t>
      </w:r>
      <w:r>
        <w:t xml:space="preserve">shows the phone layout, and</w:t>
      </w:r>
      <w:r>
        <w:t xml:space="preserve"> </w:t>
      </w:r>
      <w:hyperlink w:anchor="fig-atlas-phone-more">
        <w:r>
          <w:rPr>
            <w:rStyle w:val="Hyperlink"/>
          </w:rPr>
          <w:t xml:space="preserve">Figure 21.3</w:t>
        </w:r>
      </w:hyperlink>
      <w:r>
        <w:t xml:space="preserve"> </w:t>
      </w:r>
      <w:r>
        <w:t xml:space="preserve">its top bar’s More (⋯) menu.</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497" w:name="fig-atlas-phone-map"/>
                <w:p>
                  <w:pPr>
                    <w:pStyle w:val="Compact"/>
                    <w:jc w:val="center"/>
                    <w:jc w:val="left"/>
                  </w:pPr>
                  <w:r>
                    <w:drawing>
                      <wp:inline>
                        <wp:extent cx="5334000" cy="11543323"/>
                        <wp:effectExtent b="0" l="0" r="0" t="0"/>
                        <wp:docPr descr="" title="" id="495" name="Picture"/>
                        <a:graphic>
                          <a:graphicData uri="http://schemas.openxmlformats.org/drawingml/2006/picture">
                            <pic:pic>
                              <pic:nvPicPr>
                                <pic:cNvPr descr="images/atlas/phone-map.png" id="496" name="Picture"/>
                                <pic:cNvPicPr>
                                  <a:picLocks noChangeArrowheads="1" noChangeAspect="1"/>
                                </pic:cNvPicPr>
                              </pic:nvPicPr>
                              <pic:blipFill>
                                <a:blip r:embed="rId494"/>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21.2: Phone: default view, with the Layers sheet at half height above the four-tab bottom bar. Atlas 0.10.91, release v7, 2026-10-16.</w:t>
                  </w:r>
                </w:p>
                <w:bookmarkEnd w:id="497"/>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501" w:name="fig-atlas-phone-more"/>
                <w:p>
                  <w:pPr>
                    <w:pStyle w:val="Compact"/>
                    <w:jc w:val="center"/>
                    <w:jc w:val="left"/>
                  </w:pPr>
                  <w:r>
                    <w:drawing>
                      <wp:inline>
                        <wp:extent cx="5334000" cy="11543323"/>
                        <wp:effectExtent b="0" l="0" r="0" t="0"/>
                        <wp:docPr descr="" title="" id="499" name="Picture"/>
                        <a:graphic>
                          <a:graphicData uri="http://schemas.openxmlformats.org/drawingml/2006/picture">
                            <pic:pic>
                              <pic:nvPicPr>
                                <pic:cNvPr descr="images/atlas/phone-more-menu.png" id="500" name="Picture"/>
                                <pic:cNvPicPr>
                                  <a:picLocks noChangeArrowheads="1" noChangeAspect="1"/>
                                </pic:cNvPicPr>
                              </pic:nvPicPr>
                              <pic:blipFill>
                                <a:blip r:embed="rId498"/>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21.3: Phone: the top bar’s More (⋯) menu, listing Share, Download…, Feedback, About this release, Take a tour, Docs and the theme switch. Atlas 0.10.91, release v7, 2026-10-16.</w:t>
                  </w:r>
                </w:p>
                <w:bookmarkEnd w:id="501"/>
              </w:tc>
            </w:tr>
          </w:tbl>
          <w:p/>
        </w:tc>
      </w:tr>
    </w:tbl>
    <w:bookmarkEnd w:id="502"/>
    <w:bookmarkStart w:id="503" w:name="quick-start"/>
    <w:p>
      <w:pPr>
        <w:pStyle w:val="Heading2"/>
      </w:pPr>
      <w:r>
        <w:t xml:space="preserve">21.2 Quick start</w:t>
      </w:r>
    </w:p>
    <w:p>
      <w:pPr>
        <w:pStyle w:val="FirstParagraph"/>
      </w:pPr>
      <w:r>
        <w:rPr>
          <w:b/>
          <w:bCs/>
        </w:rPr>
        <w:t xml:space="preserve">Desktop:</w:t>
      </w:r>
    </w:p>
    <w:p>
      <w:pPr>
        <w:pStyle w:val="Compact"/>
        <w:numPr>
          <w:ilvl w:val="0"/>
          <w:numId w:val="1058"/>
        </w:numPr>
      </w:pPr>
      <w:r>
        <w:t xml:space="preserve">Click a cell or a Program Area on the map, then open</w:t>
      </w:r>
      <w:r>
        <w:t xml:space="preserve"> </w:t>
      </w:r>
      <w:r>
        <w:rPr>
          <w:b/>
          <w:bCs/>
        </w:rPr>
        <w:t xml:space="preserve">Details</w:t>
      </w:r>
      <w:r>
        <w:t xml:space="preserve"> </w:t>
      </w:r>
      <w:r>
        <w:t xml:space="preserve">(the rail’s second tool, or the</w:t>
      </w:r>
      <w:r>
        <w:t xml:space="preserve"> </w:t>
      </w:r>
      <w:r>
        <w:t xml:space="preserve">popup’s Details link) for its flower plot;</w:t>
      </w:r>
      <w:r>
        <w:t xml:space="preserve"> </w:t>
      </w:r>
      <w:r>
        <w:rPr>
          <w:b/>
          <w:bCs/>
        </w:rPr>
        <w:t xml:space="preserve">Add to report</w:t>
      </w:r>
      <w:r>
        <w:t xml:space="preserve"> </w:t>
      </w:r>
      <w:r>
        <w:t xml:space="preserve">keeps it as a place, and</w:t>
      </w:r>
      <w:r>
        <w:t xml:space="preserve"> </w:t>
      </w:r>
      <w:r>
        <w:rPr>
          <w:b/>
          <w:bCs/>
        </w:rPr>
        <w:t xml:space="preserve">Open table</w:t>
      </w:r>
      <w:r>
        <w:t xml:space="preserve"> </w:t>
      </w:r>
      <w:r>
        <w:t xml:space="preserve">lists its species.</w:t>
      </w:r>
    </w:p>
    <w:p>
      <w:pPr>
        <w:pStyle w:val="Compact"/>
        <w:numPr>
          <w:ilvl w:val="0"/>
          <w:numId w:val="1058"/>
        </w:numPr>
      </w:pPr>
      <w:r>
        <w:t xml:space="preserve">Or open</w:t>
      </w:r>
      <w:r>
        <w:t xml:space="preserve"> </w:t>
      </w:r>
      <w:r>
        <w:rPr>
          <w:b/>
          <w:bCs/>
        </w:rPr>
        <w:t xml:space="preserve">Report</w:t>
      </w:r>
      <w:r>
        <w:t xml:space="preserve">, and under</w:t>
      </w:r>
      <w:r>
        <w:t xml:space="preserve"> </w:t>
      </w:r>
      <w:r>
        <w:rPr>
          <w:b/>
          <w:bCs/>
        </w:rPr>
        <w:t xml:space="preserve">Add a place</w:t>
      </w:r>
      <w:r>
        <w:t xml:space="preserve"> </w:t>
      </w:r>
      <w:r>
        <w:t xml:space="preserve">choose a Program Area, pick one on the map, draw a</w:t>
      </w:r>
      <w:r>
        <w:t xml:space="preserve"> </w:t>
      </w:r>
      <w:r>
        <w:rPr>
          <w:b/>
          <w:bCs/>
        </w:rPr>
        <w:t xml:space="preserve">Rectangle</w:t>
      </w:r>
      <w:r>
        <w:t xml:space="preserve"> </w:t>
      </w:r>
      <w:r>
        <w:t xml:space="preserve">(click, move, click, then</w:t>
      </w:r>
      <w:r>
        <w:t xml:space="preserve"> </w:t>
      </w:r>
      <w:r>
        <w:rPr>
          <w:b/>
          <w:bCs/>
        </w:rPr>
        <w:t xml:space="preserve">Done</w:t>
      </w:r>
      <w:r>
        <w:t xml:space="preserve">), pick from the gazetteer, type coordinates or</w:t>
      </w:r>
      <w:r>
        <w:t xml:space="preserve"> </w:t>
      </w:r>
      <w:r>
        <w:t xml:space="preserve">upload a file.</w:t>
      </w:r>
    </w:p>
    <w:p>
      <w:pPr>
        <w:pStyle w:val="Compact"/>
        <w:numPr>
          <w:ilvl w:val="0"/>
          <w:numId w:val="1058"/>
        </w:numPr>
      </w:pPr>
      <w:r>
        <w:t xml:space="preserve">Select a place in the list — Program Area or drawn — to see its results: a coverage note (or,</w:t>
      </w:r>
      <w:r>
        <w:t xml:space="preserve"> </w:t>
      </w:r>
      <w:r>
        <w:t xml:space="preserve">for a Program Area, its published cell count, area and composite), a flower and component</w:t>
      </w:r>
      <w:r>
        <w:t xml:space="preserve"> </w:t>
      </w:r>
      <w:r>
        <w:t xml:space="preserve">table, and (on request) its species table. Rename a drawn place inline if you like.</w:t>
      </w:r>
    </w:p>
    <w:p>
      <w:pPr>
        <w:pStyle w:val="Compact"/>
        <w:numPr>
          <w:ilvl w:val="0"/>
          <w:numId w:val="1058"/>
        </w:numPr>
      </w:pPr>
      <w:r>
        <w:rPr>
          <w:b/>
          <w:bCs/>
        </w:rPr>
        <w:t xml:space="preserve">Share</w:t>
      </w:r>
      <w:r>
        <w:t xml:space="preserve"> </w:t>
      </w:r>
      <w:r>
        <w:t xml:space="preserve">at the foot of the Report tool opens the place-link dialog — the fastest way to hand</w:t>
      </w:r>
      <w:r>
        <w:t xml:space="preserve"> </w:t>
      </w:r>
      <w:r>
        <w:t xml:space="preserve">someone the same place.</w:t>
      </w:r>
    </w:p>
    <w:p>
      <w:pPr>
        <w:pStyle w:val="Compact"/>
        <w:numPr>
          <w:ilvl w:val="0"/>
          <w:numId w:val="1058"/>
        </w:numPr>
      </w:pPr>
      <w:r>
        <w:rPr>
          <w:b/>
          <w:bCs/>
        </w:rPr>
        <w:t xml:space="preserve">Open report</w:t>
      </w:r>
      <w:r>
        <w:t xml:space="preserve"> </w:t>
      </w:r>
      <w:r>
        <w:t xml:space="preserve">(the gold button at the foot of the Report tool) opens a printable, downloadable</w:t>
      </w:r>
      <w:r>
        <w:t xml:space="preserve"> </w:t>
      </w:r>
      <w:r>
        <w:t xml:space="preserve">document (Print, HTML, ZIP or Word).</w:t>
      </w:r>
    </w:p>
    <w:p>
      <w:pPr>
        <w:pStyle w:val="FirstParagraph"/>
      </w:pPr>
      <w:r>
        <w:rPr>
          <w:b/>
          <w:bCs/>
        </w:rPr>
        <w:t xml:space="preserve">Phone:</w:t>
      </w:r>
      <w:r>
        <w:t xml:space="preserve"> </w:t>
      </w:r>
      <w:r>
        <w:t xml:space="preserve">the tool rail is the bottom tab bar; use the Program Area picker or</w:t>
      </w:r>
      <w:r>
        <w:t xml:space="preserve"> </w:t>
      </w:r>
      <w:r>
        <w:rPr>
          <w:b/>
          <w:bCs/>
        </w:rPr>
        <w:t xml:space="preserve">Enter</w:t>
      </w:r>
      <w:r>
        <w:rPr>
          <w:b/>
          <w:bCs/>
        </w:rPr>
        <w:t xml:space="preserve"> </w:t>
      </w:r>
      <w:r>
        <w:rPr>
          <w:b/>
          <w:bCs/>
        </w:rPr>
        <w:t xml:space="preserve">coordinates</w:t>
      </w:r>
      <w:r>
        <w:t xml:space="preserve"> </w:t>
      </w:r>
      <w:r>
        <w:t xml:space="preserve">rather than drawing, and the file picker rather than dropping a file on the map</w:t>
      </w:r>
      <w:r>
        <w:t xml:space="preserve"> </w:t>
      </w:r>
      <w:r>
        <w:t xml:space="preserve">(that gesture needs a desktop pointer).</w:t>
      </w:r>
    </w:p>
    <w:bookmarkEnd w:id="503"/>
    <w:bookmarkStart w:id="504" w:name="getting-around"/>
    <w:p>
      <w:pPr>
        <w:pStyle w:val="Heading2"/>
      </w:pPr>
      <w:r>
        <w:t xml:space="preserve">21.3 Getting around</w:t>
      </w:r>
    </w:p>
    <w:p>
      <w:pPr>
        <w:pStyle w:val="FirstParagraph"/>
      </w:pPr>
      <w:r>
        <w:rPr>
          <w:b/>
          <w:bCs/>
        </w:rPr>
        <w:t xml:space="preserve">The top bar</w:t>
      </w:r>
      <w:r>
        <w:t xml:space="preserve">, left to right on desktop: the MST mark and title; a</w:t>
      </w:r>
      <w:r>
        <w:t xml:space="preserve"> </w:t>
      </w:r>
      <w:r>
        <w:rPr>
          <w:b/>
          <w:bCs/>
        </w:rPr>
        <w:t xml:space="preserve">release chip</w:t>
      </w:r>
      <w:r>
        <w:t xml:space="preserve"> </w:t>
      </w:r>
      <w:r>
        <w:t xml:space="preserve">that opens</w:t>
      </w:r>
      <w:r>
        <w:t xml:space="preserve"> </w:t>
      </w:r>
      <w:r>
        <w:t xml:space="preserve">the version picker; a</w:t>
      </w:r>
      <w:r>
        <w:t xml:space="preserve"> </w:t>
      </w:r>
      <w:r>
        <w:rPr>
          <w:b/>
          <w:bCs/>
        </w:rPr>
        <w:t xml:space="preserve">Scores | Species lens switch</w:t>
      </w:r>
      <w:r>
        <w:t xml:space="preserve">; a</w:t>
      </w:r>
      <w:r>
        <w:t xml:space="preserve"> </w:t>
      </w:r>
      <w:r>
        <w:rPr>
          <w:b/>
          <w:bCs/>
        </w:rPr>
        <w:t xml:space="preserve">search field</w:t>
      </w:r>
      <w:r>
        <w:t xml:space="preserve"> </w:t>
      </w:r>
      <w:r>
        <w:t xml:space="preserve">(Program Areas, regions</w:t>
      </w:r>
      <w:r>
        <w:t xml:space="preserve"> </w:t>
      </w:r>
      <w:r>
        <w:t xml:space="preserve">and coordinates in the Scores lens,</w:t>
      </w:r>
      <w:r>
        <w:t xml:space="preserve"> </w:t>
      </w:r>
      <w:hyperlink w:anchor="sec-atlas-scores">
        <w:r>
          <w:rPr>
            <w:rStyle w:val="Hyperlink"/>
          </w:rPr>
          <w:t xml:space="preserve">Section 21.4</w:t>
        </w:r>
      </w:hyperlink>
      <w:r>
        <w:t xml:space="preserve">; species in the Species lens); then, right-aligned</w:t>
      </w:r>
      <w:r>
        <w:t xml:space="preserve"> </w:t>
      </w:r>
      <w:r>
        <w:t xml:space="preserve">and icon-only (each shows a tooltip on hover or focus),</w:t>
      </w:r>
      <w:r>
        <w:t xml:space="preserve"> </w:t>
      </w:r>
      <w:r>
        <w:rPr>
          <w:b/>
          <w:bCs/>
        </w:rPr>
        <w:t xml:space="preserve">Share</w:t>
      </w:r>
      <w:r>
        <w:t xml:space="preserve">,</w:t>
      </w:r>
      <w:r>
        <w:t xml:space="preserve"> </w:t>
      </w:r>
      <w:r>
        <w:rPr>
          <w:b/>
          <w:bCs/>
        </w:rPr>
        <w:t xml:space="preserve">Download</w:t>
      </w:r>
      <w:r>
        <w:t xml:space="preserve"> </w:t>
      </w:r>
      <w:r>
        <w:t xml:space="preserve">(a PNG or SVG of the</w:t>
      </w:r>
      <w:r>
        <w:t xml:space="preserve"> </w:t>
      </w:r>
      <w:r>
        <w:t xml:space="preserve">map view, a GeoTIFF of the current data layer, or a GeoJSON of the current places), a</w:t>
      </w:r>
      <w:r>
        <w:t xml:space="preserve"> </w:t>
      </w:r>
      <w:r>
        <w:rPr>
          <w:b/>
          <w:bCs/>
        </w:rPr>
        <w:t xml:space="preserve">(?) Help</w:t>
      </w:r>
      <w:r>
        <w:t xml:space="preserve"> </w:t>
      </w:r>
      <w:r>
        <w:t xml:space="preserve">menu (Take a tour, keyboard shortcuts, a Docs link),</w:t>
      </w:r>
      <w:r>
        <w:t xml:space="preserve"> </w:t>
      </w:r>
      <w:r>
        <w:rPr>
          <w:b/>
          <w:bCs/>
        </w:rPr>
        <w:t xml:space="preserve">Feedback</w:t>
      </w:r>
      <w:r>
        <w:t xml:space="preserve">,</w:t>
      </w:r>
      <w:r>
        <w:t xml:space="preserve"> </w:t>
      </w:r>
      <w:r>
        <w:rPr>
          <w:b/>
          <w:bCs/>
        </w:rPr>
        <w:t xml:space="preserve">About this release</w:t>
      </w:r>
      <w:r>
        <w:t xml:space="preserve">, and a</w:t>
      </w:r>
      <w:r>
        <w:t xml:space="preserve"> </w:t>
      </w:r>
      <w:r>
        <w:t xml:space="preserve">sun/moon</w:t>
      </w:r>
      <w:r>
        <w:t xml:space="preserve"> </w:t>
      </w:r>
      <w:r>
        <w:rPr>
          <w:b/>
          <w:bCs/>
        </w:rPr>
        <w:t xml:space="preserve">theme toggle</w:t>
      </w:r>
      <w:r>
        <w:t xml:space="preserve">. On a phone (below 900 px) the title collapses to the mark, and Share,</w:t>
      </w:r>
      <w:r>
        <w:t xml:space="preserve"> </w:t>
      </w:r>
      <w:r>
        <w:t xml:space="preserve">Download, Feedback, About, Take a tour, Docs and the theme toggle fold into one</w:t>
      </w:r>
      <w:r>
        <w:t xml:space="preserve"> </w:t>
      </w:r>
      <w:r>
        <w:rPr>
          <w:b/>
          <w:bCs/>
        </w:rPr>
        <w:t xml:space="preserve">More (⋯)</w:t>
      </w:r>
      <w:r>
        <w:t xml:space="preserve"> </w:t>
      </w:r>
      <w:r>
        <w:t xml:space="preserve">menu</w:t>
      </w:r>
      <w:r>
        <w:t xml:space="preserve"> </w:t>
      </w:r>
      <w:r>
        <w:t xml:space="preserve">beside a</w:t>
      </w:r>
      <w:r>
        <w:t xml:space="preserve"> </w:t>
      </w:r>
      <w:r>
        <w:rPr>
          <w:b/>
          <w:bCs/>
        </w:rPr>
        <w:t xml:space="preserve">search</w:t>
      </w:r>
      <w:r>
        <w:t xml:space="preserve"> </w:t>
      </w:r>
      <w:r>
        <w:t xml:space="preserve">button; below 381 px the mark hides too. The keyboard-shortcut list is</w:t>
      </w:r>
      <w:r>
        <w:t xml:space="preserve"> </w:t>
      </w:r>
      <w:r>
        <w:t xml:space="preserve">desktop-only. Report is not a top-bar control on either viewport: it is a rail tool.</w:t>
      </w:r>
    </w:p>
    <w:p>
      <w:pPr>
        <w:pStyle w:val="BodyText"/>
      </w:pPr>
      <w:r>
        <w:rPr>
          <w:b/>
          <w:bCs/>
        </w:rPr>
        <w:t xml:space="preserve">The tool rail</w:t>
      </w:r>
      <w:r>
        <w:t xml:space="preserve"> </w:t>
      </w:r>
      <w:r>
        <w:t xml:space="preserve">is four controls, always in the same order, in both lenses and on every viewport:</w:t>
      </w:r>
      <w:r>
        <w:t xml:space="preserve"> </w:t>
      </w:r>
      <w:r>
        <w:rPr>
          <w:b/>
          <w:bCs/>
        </w:rPr>
        <w:t xml:space="preserve">Layers · Details · Table · Report</w:t>
      </w:r>
      <w:r>
        <w:t xml:space="preserve">.</w:t>
      </w:r>
      <w:r>
        <w:t xml:space="preserve"> </w:t>
      </w:r>
      <w:r>
        <w:rPr>
          <w:b/>
          <w:bCs/>
        </w:rPr>
        <w:t xml:space="preserve">Layers</w:t>
      </w:r>
      <w:r>
        <w:t xml:space="preserve"> </w:t>
      </w:r>
      <w:r>
        <w:t xml:space="preserve">holds the map’s layer stack and the lens’s own data</w:t>
      </w:r>
      <w:r>
        <w:t xml:space="preserve"> </w:t>
      </w:r>
      <w:r>
        <w:t xml:space="preserve">controls.</w:t>
      </w:r>
      <w:r>
        <w:t xml:space="preserve"> </w:t>
      </w:r>
      <w:r>
        <w:rPr>
          <w:b/>
          <w:bCs/>
        </w:rPr>
        <w:t xml:space="preserve">Details</w:t>
      </w:r>
      <w:r>
        <w:t xml:space="preserve"> </w:t>
      </w:r>
      <w:r>
        <w:t xml:space="preserve">shows what was last clicked — the flower plot in the Scores lens, the species</w:t>
      </w:r>
      <w:r>
        <w:t xml:space="preserve"> </w:t>
      </w:r>
      <w:r>
        <w:t xml:space="preserve">information in the Species lens.</w:t>
      </w:r>
      <w:r>
        <w:t xml:space="preserve"> </w:t>
      </w:r>
      <w:r>
        <w:rPr>
          <w:b/>
          <w:bCs/>
        </w:rPr>
        <w:t xml:space="preserve">Table</w:t>
      </w:r>
      <w:r>
        <w:t xml:space="preserve"> </w:t>
      </w:r>
      <w:r>
        <w:t xml:space="preserve">is the species, zone and composition tables (the model</w:t>
      </w:r>
      <w:r>
        <w:t xml:space="preserve"> </w:t>
      </w:r>
      <w:r>
        <w:t xml:space="preserve">inputs, in the Species lens).</w:t>
      </w:r>
      <w:r>
        <w:t xml:space="preserve"> </w:t>
      </w:r>
      <w:r>
        <w:rPr>
          <w:b/>
          <w:bCs/>
        </w:rPr>
        <w:t xml:space="preserve">Report</w:t>
      </w:r>
      <w:r>
        <w:t xml:space="preserve"> </w:t>
      </w:r>
      <w:r>
        <w:t xml:space="preserve">is the Places flow and the report itself.</w:t>
      </w:r>
    </w:p>
    <w:p>
      <w:pPr>
        <w:pStyle w:val="BodyText"/>
      </w:pPr>
      <w:r>
        <w:rPr>
          <w:b/>
          <w:bCs/>
        </w:rPr>
        <w:t xml:space="preserve">The panel</w:t>
      </w:r>
      <w:r>
        <w:t xml:space="preserve"> </w:t>
      </w:r>
      <w:r>
        <w:t xml:space="preserve">that a rail tool opens is attached to the rail and docks on the left by default; one</w:t>
      </w:r>
      <w:r>
        <w:t xml:space="preserve"> </w:t>
      </w:r>
      <w:r>
        <w:t xml:space="preserve">header button moves both to the right, and the choice is remembered per browser. Resize it by</w:t>
      </w:r>
      <w:r>
        <w:t xml:space="preserve"> </w:t>
      </w:r>
      <w:r>
        <w:t xml:space="preserve">dragging its map-facing edge or with arrow keys, or collapse it to a small labelled pill; clicking</w:t>
      </w:r>
      <w:r>
        <w:t xml:space="preserve"> </w:t>
      </w:r>
      <w:r>
        <w:t xml:space="preserve">the active tool collapses the panel, and clicking any tool opens it.</w:t>
      </w:r>
      <w:r>
        <w:t xml:space="preserve"> </w:t>
      </w:r>
      <w:r>
        <w:rPr>
          <w:b/>
          <w:bCs/>
        </w:rPr>
        <w:t xml:space="preserve">Table</w:t>
      </w:r>
      <w:r>
        <w:t xml:space="preserve"> </w:t>
      </w:r>
      <w:r>
        <w:t xml:space="preserve">takes the whole stage</w:t>
      </w:r>
      <w:r>
        <w:t xml:space="preserve"> </w:t>
      </w:r>
      <w:r>
        <w:t xml:space="preserve">beside the rail (its</w:t>
      </w:r>
      <w:r>
        <w:t xml:space="preserve"> </w:t>
      </w:r>
      <w:r>
        <w:t xml:space="preserve">“← Map”</w:t>
      </w:r>
      <w:r>
        <w:t xml:space="preserve"> </w:t>
      </w:r>
      <w:r>
        <w:t xml:space="preserve">button returns). The panel’s header says what is shown — the active</w:t>
      </w:r>
      <w:r>
        <w:t xml:space="preserve"> </w:t>
      </w:r>
      <w:r>
        <w:t xml:space="preserve">layer and unit, the clicked cell or species name,</w:t>
      </w:r>
      <w:r>
        <w:t xml:space="preserve"> </w:t>
      </w:r>
      <w:r>
        <w:t xml:space="preserve">“3 places”</w:t>
      </w:r>
      <w:r>
        <w:t xml:space="preserve"> </w:t>
      </w:r>
      <w:r>
        <w:t xml:space="preserve">— rather than the tool’s name, which it shows only when nothing is selected</w:t>
      </w:r>
      <w:r>
        <w:t xml:space="preserve"> </w:t>
      </w:r>
      <w:r>
        <w:t xml:space="preserve">(</w:t>
      </w:r>
      <w:r>
        <w:t xml:space="preserve">“Details”</w:t>
      </w:r>
      <w:r>
        <w:t xml:space="preserve">,</w:t>
      </w:r>
      <w:r>
        <w:t xml:space="preserve"> </w:t>
      </w:r>
      <w:r>
        <w:t xml:space="preserve">“Table”</w:t>
      </w:r>
      <w:r>
        <w:t xml:space="preserve">,</w:t>
      </w:r>
      <w:r>
        <w:t xml:space="preserve"> </w:t>
      </w:r>
      <w:r>
        <w:t xml:space="preserve">“Report”</w:t>
      </w:r>
      <w:r>
        <w:t xml:space="preserve">). The</w:t>
      </w:r>
      <w:r>
        <w:t xml:space="preserve"> </w:t>
      </w:r>
      <w:r>
        <w:t xml:space="preserve">panel arrangement is chrome, not part of the shared view: only the top bar’s</w:t>
      </w:r>
      <w:r>
        <w:t xml:space="preserve"> </w:t>
      </w:r>
      <w:r>
        <w:rPr>
          <w:b/>
          <w:bCs/>
        </w:rPr>
        <w:t xml:space="preserve">Share</w:t>
      </w:r>
      <w:r>
        <w:t xml:space="preserve"> </w:t>
      </w:r>
      <w:r>
        <w:t xml:space="preserve">writes it</w:t>
      </w:r>
      <w:r>
        <w:t xml:space="preserve"> </w:t>
      </w:r>
      <w:r>
        <w:t xml:space="preserve">into a link (as a</w:t>
      </w:r>
      <w:r>
        <w:t xml:space="preserve"> </w:t>
      </w:r>
      <w:r>
        <w:rPr>
          <w:rStyle w:val="VerbatimChar"/>
        </w:rPr>
        <w:t xml:space="preserve">ui=</w:t>
      </w:r>
      <w:r>
        <w:t xml:space="preserve"> </w:t>
      </w:r>
      <w:r>
        <w:t xml:space="preserve">token), the address bar does not carry it. On a phone the same panel is the</w:t>
      </w:r>
      <w:r>
        <w:t xml:space="preserve"> </w:t>
      </w:r>
      <w:r>
        <w:t xml:space="preserve">bottom</w:t>
      </w:r>
      <w:r>
        <w:t xml:space="preserve"> </w:t>
      </w:r>
      <w:r>
        <w:rPr>
          <w:b/>
          <w:bCs/>
        </w:rPr>
        <w:t xml:space="preserve">sheet</w:t>
      </w:r>
      <w:r>
        <w:t xml:space="preserve">, with peek/half/full detents. On a desktop the map’s</w:t>
      </w:r>
      <w:r>
        <w:t xml:space="preserve"> </w:t>
      </w:r>
      <w:r>
        <w:rPr>
          <w:b/>
          <w:bCs/>
        </w:rPr>
        <w:t xml:space="preserve">legend</w:t>
      </w:r>
      <w:r>
        <w:t xml:space="preserve"> </w:t>
      </w:r>
      <w:r>
        <w:t xml:space="preserve">floats at the</w:t>
      </w:r>
      <w:r>
        <w:t xml:space="preserve"> </w:t>
      </w:r>
      <w:r>
        <w:t xml:space="preserve">bottom right (mirroring to the bottom left when the panel is docked on the right), with a histogram</w:t>
      </w:r>
      <w:r>
        <w:t xml:space="preserve"> </w:t>
      </w:r>
      <w:r>
        <w:t xml:space="preserve">of the whole layer’s values above its colour ramp and a marker for the clicked value; on a phone it</w:t>
      </w:r>
      <w:r>
        <w:t xml:space="preserve"> </w:t>
      </w:r>
      <w:r>
        <w:t xml:space="preserve">is a compact</w:t>
      </w:r>
      <w:r>
        <w:t xml:space="preserve"> </w:t>
      </w:r>
      <w:r>
        <w:rPr>
          <w:b/>
          <w:bCs/>
        </w:rPr>
        <w:t xml:space="preserve">Legend</w:t>
      </w:r>
      <w:r>
        <w:t xml:space="preserve"> </w:t>
      </w:r>
      <w:r>
        <w:t xml:space="preserve">chip above the sheet that opens the full legend, moving into the sheet’s own</w:t>
      </w:r>
      <w:r>
        <w:t xml:space="preserve"> </w:t>
      </w:r>
      <w:r>
        <w:t xml:space="preserve">header at full height.</w:t>
      </w:r>
    </w:p>
    <w:bookmarkEnd w:id="504"/>
    <w:bookmarkStart w:id="509" w:name="sec-atlas-scores"/>
    <w:p>
      <w:pPr>
        <w:pStyle w:val="Heading2"/>
      </w:pPr>
      <w:r>
        <w:t xml:space="preserve">21.4 Scores lens</w:t>
      </w:r>
    </w:p>
    <w:p>
      <w:pPr>
        <w:pStyle w:val="FirstParagraph"/>
      </w:pPr>
      <w:r>
        <w:t xml:space="preserve">The Scores lens shows the composite, extinction-risk-weighted score for every 0.05° cell (or,</w:t>
      </w:r>
      <w:r>
        <w:t xml:space="preserve"> </w:t>
      </w:r>
      <w:r>
        <w:t xml:space="preserve">aggregated, every Program Area) of U.S. waters.</w:t>
      </w:r>
      <w:r>
        <w:t xml:space="preserve"> </w:t>
      </w:r>
      <w:r>
        <w:rPr>
          <w:b/>
          <w:bCs/>
        </w:rPr>
        <w:t xml:space="preserve">Layers</w:t>
      </w:r>
      <w:r>
        <w:t xml:space="preserve"> </w:t>
      </w:r>
      <w:r>
        <w:t xml:space="preserve">(</w:t>
      </w:r>
      <w:hyperlink w:anchor="fig-atlas-layers">
        <w:r>
          <w:rPr>
            <w:rStyle w:val="Hyperlink"/>
          </w:rPr>
          <w:t xml:space="preserve">Figure 21.4</w:t>
        </w:r>
      </w:hyperlink>
      <w:r>
        <w:t xml:space="preserve">) opens with this</w:t>
      </w:r>
      <w:r>
        <w:t xml:space="preserve"> </w:t>
      </w:r>
      <w:r>
        <w:t xml:space="preserve">lens’s own controls at the top: a</w:t>
      </w:r>
      <w:r>
        <w:t xml:space="preserve"> </w:t>
      </w:r>
      <w:r>
        <w:rPr>
          <w:b/>
          <w:bCs/>
        </w:rPr>
        <w:t xml:space="preserve">Raster cells | Program areas</w:t>
      </w:r>
      <w:r>
        <w:t xml:space="preserve"> </w:t>
      </w:r>
      <w:r>
        <w:t xml:space="preserve">switch for the spatial unit, and</w:t>
      </w:r>
      <w:r>
        <w:t xml:space="preserve"> </w:t>
      </w:r>
      <w:r>
        <w:t xml:space="preserve">a</w:t>
      </w:r>
      <w:r>
        <w:t xml:space="preserve"> </w:t>
      </w:r>
      <w:r>
        <w:rPr>
          <w:b/>
          <w:bCs/>
        </w:rPr>
        <w:t xml:space="preserve">Layer</w:t>
      </w:r>
      <w:r>
        <w:t xml:space="preserve"> </w:t>
      </w:r>
      <w:r>
        <w:t xml:space="preserve">menu (the composite score or one component) with a short description of what it</w:t>
      </w:r>
      <w:r>
        <w:t xml:space="preserve"> </w:t>
      </w:r>
      <w:r>
        <w:t xml:space="preserve">shows. Below them,</w:t>
      </w:r>
      <w:r>
        <w:t xml:space="preserve"> </w:t>
      </w:r>
      <w:r>
        <w:rPr>
          <w:b/>
          <w:bCs/>
        </w:rPr>
        <w:t xml:space="preserve">Layers on the map</w:t>
      </w:r>
      <w:r>
        <w:t xml:space="preserve"> </w:t>
      </w:r>
      <w:r>
        <w:t xml:space="preserve">lists the rows you can change, top to bottom:</w:t>
      </w:r>
      <w:r>
        <w:t xml:space="preserve"> </w:t>
      </w:r>
      <w:r>
        <w:rPr>
          <w:b/>
          <w:bCs/>
        </w:rPr>
        <w:t xml:space="preserve">Selection</w:t>
      </w:r>
      <w:r>
        <w:t xml:space="preserve"> </w:t>
      </w:r>
      <w:r>
        <w:t xml:space="preserve">(pinned at the top),</w:t>
      </w:r>
      <w:r>
        <w:t xml:space="preserve"> </w:t>
      </w:r>
      <w:r>
        <w:rPr>
          <w:b/>
          <w:bCs/>
        </w:rPr>
        <w:t xml:space="preserve">Outlines</w:t>
      </w:r>
      <w:r>
        <w:t xml:space="preserve">,</w:t>
      </w:r>
      <w:r>
        <w:t xml:space="preserve"> </w:t>
      </w:r>
      <w:r>
        <w:rPr>
          <w:b/>
          <w:bCs/>
        </w:rPr>
        <w:t xml:space="preserve">Data</w:t>
      </w:r>
      <w:r>
        <w:t xml:space="preserve"> </w:t>
      </w:r>
      <w:r>
        <w:t xml:space="preserve">and</w:t>
      </w:r>
      <w:r>
        <w:t xml:space="preserve"> </w:t>
      </w:r>
      <w:r>
        <w:rPr>
          <w:b/>
          <w:bCs/>
        </w:rPr>
        <w:t xml:space="preserve">Place labels</w:t>
      </w:r>
      <w:r>
        <w:t xml:space="preserve">. Expanding</w:t>
      </w:r>
      <w:r>
        <w:t xml:space="preserve"> </w:t>
      </w:r>
      <w:r>
        <w:rPr>
          <w:b/>
          <w:bCs/>
        </w:rPr>
        <w:t xml:space="preserve">Data</w:t>
      </w:r>
      <w:r>
        <w:t xml:space="preserve"> </w:t>
      </w:r>
      <w:r>
        <w:t xml:space="preserve">gives its</w:t>
      </w:r>
      <w:r>
        <w:t xml:space="preserve"> </w:t>
      </w:r>
      <w:r>
        <w:rPr>
          <w:b/>
          <w:bCs/>
        </w:rPr>
        <w:t xml:space="preserve">Color palette</w:t>
      </w:r>
      <w:r>
        <w:t xml:space="preserve"> </w:t>
      </w:r>
      <w:r>
        <w:t xml:space="preserve">and, where the release publishes that overlay, a</w:t>
      </w:r>
      <w:r>
        <w:t xml:space="preserve"> </w:t>
      </w:r>
      <w:r>
        <w:rPr>
          <w:b/>
          <w:bCs/>
        </w:rPr>
        <w:t xml:space="preserve">Cells outside</w:t>
      </w:r>
      <w:r>
        <w:rPr>
          <w:b/>
          <w:bCs/>
        </w:rPr>
        <w:t xml:space="preserve"> </w:t>
      </w:r>
      <w:r>
        <w:rPr>
          <w:b/>
          <w:bCs/>
        </w:rPr>
        <w:t xml:space="preserve">Program Areas</w:t>
      </w:r>
      <w:r>
        <w:t xml:space="preserve"> </w:t>
      </w:r>
      <w:r>
        <w:t xml:space="preserve">switch; a</w:t>
      </w:r>
      <w:r>
        <w:t xml:space="preserve"> </w:t>
      </w:r>
      <w:r>
        <w:rPr>
          <w:b/>
          <w:bCs/>
        </w:rPr>
        <w:t xml:space="preserve">Sphere (globe projection)</w:t>
      </w:r>
      <w:r>
        <w:t xml:space="preserve"> </w:t>
      </w:r>
      <w:r>
        <w:t xml:space="preserve">switch sits under the list. Every row’s</w:t>
      </w:r>
      <w:r>
        <w:t xml:space="preserve"> </w:t>
      </w:r>
      <w:r>
        <w:t xml:space="preserve">visibility and opacity can be changed and most can be reordered, but</w:t>
      </w:r>
      <w:r>
        <w:t xml:space="preserve"> </w:t>
      </w:r>
      <w:r>
        <w:rPr>
          <w:b/>
          <w:bCs/>
        </w:rPr>
        <w:t xml:space="preserve">Data</w:t>
      </w:r>
      <w:r>
        <w:t xml:space="preserve"> </w:t>
      </w:r>
      <w:r>
        <w:t xml:space="preserve">can never move</w:t>
      </w:r>
      <w:r>
        <w:t xml:space="preserve"> </w:t>
      </w:r>
      <w:r>
        <w:t xml:space="preserve">above</w:t>
      </w:r>
      <w:r>
        <w:t xml:space="preserve"> </w:t>
      </w:r>
      <w:r>
        <w:rPr>
          <w:b/>
          <w:bCs/>
        </w:rPr>
        <w:t xml:space="preserve">Outlines</w:t>
      </w:r>
      <w:r>
        <w:t xml:space="preserve">, so an opaque score raster can never hide the boundaries it is measured</w:t>
      </w:r>
      <w:r>
        <w:t xml:space="preserve"> </w:t>
      </w:r>
      <w:r>
        <w:t xml:space="preserve">against. The basemap’s land, boundaries and roads are drawn under everything and have no row of</w:t>
      </w:r>
      <w:r>
        <w:t xml:space="preserve"> </w:t>
      </w:r>
      <w:r>
        <w:t xml:space="preserve">their own.</w:t>
      </w:r>
      <w:r>
        <w:t xml:space="preserve"> </w:t>
      </w:r>
      <w:r>
        <w:rPr>
          <w:b/>
          <w:bCs/>
        </w:rPr>
        <w:t xml:space="preserve">Reset layers</w:t>
      </w:r>
      <w:r>
        <w:t xml:space="preserve"> </w:t>
      </w:r>
      <w:r>
        <w:t xml:space="preserve">restores the default stack.</w:t>
      </w:r>
    </w:p>
    <w:tbl>
      <w:tblPr>
        <w:tblStyle w:val="Table"/>
        <w:tblW w:type="pct" w:w="5000"/>
        <w:tblLayout w:type="fixed"/>
        <w:tblLook w:firstRow="0" w:lastRow="0" w:firstColumn="0" w:lastColumn="0" w:noHBand="0" w:noVBand="0" w:val="0000"/>
      </w:tblPr>
      <w:tblGrid>
        <w:gridCol w:w="7920"/>
      </w:tblGrid>
      <w:tr>
        <w:tc>
          <w:tcPr/>
          <w:bookmarkStart w:id="508" w:name="fig-atlas-layers"/>
          <w:p>
            <w:pPr>
              <w:pStyle w:val="Compact"/>
              <w:jc w:val="center"/>
            </w:pPr>
            <w:r>
              <w:drawing>
                <wp:inline>
                  <wp:extent cx="5334000" cy="3333750"/>
                  <wp:effectExtent b="0" l="0" r="0" t="0"/>
                  <wp:docPr descr="" title="" id="506" name="Picture"/>
                  <a:graphic>
                    <a:graphicData uri="http://schemas.openxmlformats.org/drawingml/2006/picture">
                      <pic:pic>
                        <pic:nvPicPr>
                          <pic:cNvPr descr="images/atlas/desktop-layers.png" id="507" name="Picture"/>
                          <pic:cNvPicPr>
                            <a:picLocks noChangeArrowheads="1" noChangeAspect="1"/>
                          </pic:cNvPicPr>
                        </pic:nvPicPr>
                        <pic:blipFill>
                          <a:blip r:embed="rId50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21.4: The Layers panel with Place labels moved above Data (one</w:t>
            </w:r>
            <w:r>
              <w:t xml:space="preserve"> </w:t>
            </w:r>
            <w:r>
              <w:t xml:space="preserve">“move up”</w:t>
            </w:r>
            <w:r>
              <w:t xml:space="preserve"> </w:t>
            </w:r>
            <w:r>
              <w:t xml:space="preserve">click) to show the reorder feature, and Data expanded to its Color palette menu and the Cells outside Program Areas switch. The panel’s header names what is on the map (</w:t>
            </w:r>
            <w:r>
              <w:t xml:space="preserve">“Score · Raster cells”</w:t>
            </w:r>
            <w:r>
              <w:t xml:space="preserve">); the Raster cells and Program areas switch, the Layer menu with a short description of the score, and the layer stack sit below it. Atlas 0.10.91, release v7, 2026-10-16.</w:t>
            </w:r>
          </w:p>
          <w:bookmarkEnd w:id="508"/>
        </w:tc>
      </w:tr>
    </w:tbl>
    <w:p>
      <w:pPr>
        <w:pStyle w:val="BodyText"/>
      </w:pPr>
      <w:r>
        <w:t xml:space="preserve">Clicking a cell or a Program Area selects it: the URL gains a</w:t>
      </w:r>
      <w:r>
        <w:t xml:space="preserve"> </w:t>
      </w:r>
      <w:r>
        <w:rPr>
          <w:rStyle w:val="VerbatimChar"/>
        </w:rPr>
        <w:t xml:space="preserve">sel=cell:&lt;id&gt;</w:t>
      </w:r>
      <w:r>
        <w:t xml:space="preserve"> </w:t>
      </w:r>
      <w:r>
        <w:t xml:space="preserve">or</w:t>
      </w:r>
      <w:r>
        <w:t xml:space="preserve"> </w:t>
      </w:r>
      <w:r>
        <w:rPr>
          <w:rStyle w:val="VerbatimChar"/>
        </w:rPr>
        <w:t xml:space="preserve">sel=zone:&lt;unit&gt;:&lt;key&gt;</w:t>
      </w:r>
      <w:r>
        <w:t xml:space="preserve"> </w:t>
      </w:r>
      <w:r>
        <w:t xml:space="preserve">token, which the</w:t>
      </w:r>
      <w:r>
        <w:t xml:space="preserve"> </w:t>
      </w:r>
      <w:r>
        <w:rPr>
          <w:b/>
          <w:bCs/>
        </w:rPr>
        <w:t xml:space="preserve">Details</w:t>
      </w:r>
      <w:r>
        <w:t xml:space="preserve"> </w:t>
      </w:r>
      <w:r>
        <w:t xml:space="preserve">(flower plot) and</w:t>
      </w:r>
      <w:r>
        <w:t xml:space="preserve"> </w:t>
      </w:r>
      <w:r>
        <w:rPr>
          <w:b/>
          <w:bCs/>
        </w:rPr>
        <w:t xml:space="preserve">Table</w:t>
      </w:r>
      <w:r>
        <w:t xml:space="preserve"> </w:t>
      </w:r>
      <w:r>
        <w:t xml:space="preserve">tools then</w:t>
      </w:r>
      <w:r>
        <w:t xml:space="preserve"> </w:t>
      </w:r>
      <w:r>
        <w:t xml:space="preserve">describe (</w:t>
      </w:r>
      <w:hyperlink w:anchor="sec-atlas-flower-table">
        <w:r>
          <w:rPr>
            <w:rStyle w:val="Hyperlink"/>
          </w:rPr>
          <w:t xml:space="preserve">Section 21.8</w:t>
        </w:r>
      </w:hyperlink>
      <w:r>
        <w:t xml:space="preserve">). A click never switches tools: it updates Details in place and</w:t>
      </w:r>
      <w:r>
        <w:t xml:space="preserve"> </w:t>
      </w:r>
      <w:r>
        <w:t xml:space="preserve">adds a</w:t>
      </w:r>
      <w:r>
        <w:t xml:space="preserve"> </w:t>
      </w:r>
      <w:r>
        <w:t xml:space="preserve">“Last clicked”</w:t>
      </w:r>
      <w:r>
        <w:t xml:space="preserve"> </w:t>
      </w:r>
      <w:r>
        <w:t xml:space="preserve">row to the Report tool. A click on land or outside the scored area shows</w:t>
      </w:r>
      <w:r>
        <w:t xml:space="preserve"> </w:t>
      </w:r>
      <w:r>
        <w:rPr>
          <w:i/>
          <w:iCs/>
        </w:rPr>
        <w:t xml:space="preserve">“No scored cell</w:t>
      </w:r>
      <w:r>
        <w:rPr>
          <w:i/>
          <w:iCs/>
        </w:rPr>
        <w:t xml:space="preserve"> </w:t>
      </w:r>
      <w:r>
        <w:rPr>
          <w:i/>
          <w:iCs/>
        </w:rPr>
        <w:t xml:space="preserve">here”</w:t>
      </w:r>
      <w:r>
        <w:t xml:space="preserve"> </w:t>
      </w:r>
      <w:r>
        <w:t xml:space="preserve">with its coordinates and leaves the selection unchanged.</w:t>
      </w:r>
    </w:p>
    <w:p>
      <w:pPr>
        <w:pStyle w:val="BodyText"/>
      </w:pPr>
      <w:r>
        <w:t xml:space="preserve">The top-bar</w:t>
      </w:r>
      <w:r>
        <w:t xml:space="preserve"> </w:t>
      </w:r>
      <w:r>
        <w:rPr>
          <w:b/>
          <w:bCs/>
        </w:rPr>
        <w:t xml:space="preserve">search field</w:t>
      </w:r>
      <w:r>
        <w:t xml:space="preserve"> </w:t>
      </w:r>
      <w:r>
        <w:t xml:space="preserve">also works here: it matches Program Areas (and any subregion/ecoregion</w:t>
      </w:r>
      <w:r>
        <w:t xml:space="preserve"> </w:t>
      </w:r>
      <w:r>
        <w:t xml:space="preserve">archive the release happens to publish) by key (</w:t>
      </w:r>
      <w:r>
        <w:t xml:space="preserve">“ALA”</w:t>
      </w:r>
      <w:r>
        <w:t xml:space="preserve">) or by name (</w:t>
      </w:r>
      <w:r>
        <w:t xml:space="preserve">“Aleutian”</w:t>
      </w:r>
      <w:r>
        <w:t xml:space="preserve">), and coordinates</w:t>
      </w:r>
      <w:r>
        <w:t xml:space="preserve"> </w:t>
      </w:r>
      <w:r>
        <w:t xml:space="preserve">typed as</w:t>
      </w:r>
      <w:r>
        <w:t xml:space="preserve"> </w:t>
      </w:r>
      <w:r>
        <w:t xml:space="preserve">“lon, lat”</w:t>
      </w:r>
      <w:r>
        <w:t xml:space="preserve"> </w:t>
      </w:r>
      <w:r>
        <w:t xml:space="preserve">(e.g. </w:t>
      </w:r>
      <w:r>
        <w:t xml:space="preserve">“-140, 57”</w:t>
      </w:r>
      <w:r>
        <w:t xml:space="preserve"> </w:t>
      </w:r>
      <w:r>
        <w:t xml:space="preserve">—</w:t>
      </w:r>
      <w:r>
        <w:t xml:space="preserve"> </w:t>
      </w:r>
      <w:r>
        <w:t xml:space="preserve">“lat, lon”</w:t>
      </w:r>
      <w:r>
        <w:t xml:space="preserve"> </w:t>
      </w:r>
      <w:r>
        <w:t xml:space="preserve">is read correctly too, either by an explicit</w:t>
      </w:r>
      <w:r>
        <w:t xml:space="preserve"> </w:t>
      </w:r>
      <w:r>
        <w:rPr>
          <w:rStyle w:val="VerbatimChar"/>
        </w:rPr>
        <w:t xml:space="preserve">lat</w:t>
      </w:r>
      <w:r>
        <w:t xml:space="preserve">/</w:t>
      </w:r>
      <w:r>
        <w:rPr>
          <w:rStyle w:val="VerbatimChar"/>
        </w:rPr>
        <w:t xml:space="preserve">lon</w:t>
      </w:r>
      <w:r>
        <w:t xml:space="preserve"> </w:t>
      </w:r>
      <w:r>
        <w:t xml:space="preserve">label or because the default order would be out of range). Matching is entirely</w:t>
      </w:r>
      <w:r>
        <w:t xml:space="preserve"> </w:t>
      </w:r>
      <w:r>
        <w:t xml:space="preserve">offline, against only what the release itself already publishes — no Nominatim, no third-party</w:t>
      </w:r>
      <w:r>
        <w:t xml:space="preserve"> </w:t>
      </w:r>
      <w:r>
        <w:t xml:space="preserve">geocoder, no network call. Choosing a Program Area result selects it exactly as clicking it on the</w:t>
      </w:r>
      <w:r>
        <w:t xml:space="preserve"> </w:t>
      </w:r>
      <w:r>
        <w:t xml:space="preserve">map would, and flies the camera there; choosing a coordinate result flies to the point and selects</w:t>
      </w:r>
      <w:r>
        <w:t xml:space="preserve"> </w:t>
      </w:r>
      <w:r>
        <w:t xml:space="preserve">that cell. Results are a keyboard-navigable list (arrow keys, Enter to select, Esc to close), on</w:t>
      </w:r>
      <w:r>
        <w:t xml:space="preserve"> </w:t>
      </w:r>
      <w:r>
        <w:t xml:space="preserve">both the desktop top-bar field and the phone’s search modal.</w:t>
      </w:r>
    </w:p>
    <w:bookmarkEnd w:id="509"/>
    <w:bookmarkStart w:id="514" w:name="species-lens"/>
    <w:p>
      <w:pPr>
        <w:pStyle w:val="Heading2"/>
      </w:pPr>
      <w:r>
        <w:t xml:space="preserve">21.5 Species lens</w:t>
      </w:r>
    </w:p>
    <w:p>
      <w:pPr>
        <w:pStyle w:val="FirstParagraph"/>
      </w:pPr>
      <w:r>
        <w:t xml:space="preserve">Switching to</w:t>
      </w:r>
      <w:r>
        <w:t xml:space="preserve"> </w:t>
      </w:r>
      <w:r>
        <w:rPr>
          <w:b/>
          <w:bCs/>
        </w:rPr>
        <w:t xml:space="preserve">Species</w:t>
      </w:r>
      <w:r>
        <w:t xml:space="preserve"> </w:t>
      </w:r>
      <w:r>
        <w:t xml:space="preserve">turns the top-bar search into a species picker (common or scientific</w:t>
      </w:r>
      <w:r>
        <w:t xml:space="preserve"> </w:t>
      </w:r>
      <w:r>
        <w:t xml:space="preserve">name, with an</w:t>
      </w:r>
      <w:r>
        <w:t xml:space="preserve"> </w:t>
      </w:r>
      <w:r>
        <w:t xml:space="preserve">“Only species in US waters”</w:t>
      </w:r>
      <w:r>
        <w:t xml:space="preserve"> </w:t>
      </w:r>
      <w:r>
        <w:t xml:space="preserve">checkbox).</w:t>
      </w:r>
      <w:r>
        <w:t xml:space="preserve"> </w:t>
      </w:r>
      <w:r>
        <w:rPr>
          <w:b/>
          <w:bCs/>
        </w:rPr>
        <w:t xml:space="preserve">Layers</w:t>
      </w:r>
      <w:r>
        <w:t xml:space="preserve"> </w:t>
      </w:r>
      <w:r>
        <w:t xml:space="preserve">then leads with a</w:t>
      </w:r>
      <w:r>
        <w:t xml:space="preserve"> </w:t>
      </w:r>
      <w:r>
        <w:rPr>
          <w:b/>
          <w:bCs/>
        </w:rPr>
        <w:t xml:space="preserve">Model input</w:t>
      </w:r>
      <w:r>
        <w:t xml:space="preserve"> </w:t>
      </w:r>
      <w:r>
        <w:t xml:space="preserve">picker — a bar headed</w:t>
      </w:r>
      <w:r>
        <w:t xml:space="preserve"> </w:t>
      </w:r>
      <w:r>
        <w:rPr>
          <w:b/>
          <w:bCs/>
        </w:rPr>
        <w:t xml:space="preserve">✓ Merged Model (maximum of</w:t>
      </w:r>
      <w:r>
        <w:rPr>
          <w:b/>
          <w:bCs/>
        </w:rPr>
        <w:t xml:space="preserve"> </w:t>
      </w:r>
      <w:r>
        <w:rPr>
          <w:b/>
          <w:bCs/>
          <w:i/>
          <w:iCs/>
        </w:rPr>
        <w:t xml:space="preserve">N</w:t>
      </w:r>
      <w:r>
        <w:rPr>
          <w:b/>
          <w:bCs/>
        </w:rPr>
        <w:t xml:space="preserve"> </w:t>
      </w:r>
      <w:r>
        <w:rPr>
          <w:b/>
          <w:bCs/>
        </w:rPr>
        <w:t xml:space="preserve">inputs)</w:t>
      </w:r>
      <w:r>
        <w:t xml:space="preserve"> </w:t>
      </w:r>
      <w:r>
        <w:t xml:space="preserve">(▶ and the input’s name once an</w:t>
      </w:r>
      <w:r>
        <w:t xml:space="preserve"> </w:t>
      </w:r>
      <w:r>
        <w:t xml:space="preserve">input is picked) with a gold left edge, the active layer as a gold-filled pill, plus one pill per</w:t>
      </w:r>
      <w:r>
        <w:t xml:space="preserve"> </w:t>
      </w:r>
      <w:r>
        <w:t xml:space="preserve">contributing input dataset — a</w:t>
      </w:r>
      <w:r>
        <w:t xml:space="preserve"> </w:t>
      </w:r>
      <w:r>
        <w:rPr>
          <w:b/>
          <w:bCs/>
        </w:rPr>
        <w:t xml:space="preserve">Zoom to layer on change</w:t>
      </w:r>
      <w:r>
        <w:t xml:space="preserve"> </w:t>
      </w:r>
      <w:r>
        <w:t xml:space="preserve">checkbox (on by default; picking an input</w:t>
      </w:r>
      <w:r>
        <w:t xml:space="preserve"> </w:t>
      </w:r>
      <w:r>
        <w:t xml:space="preserve">refits the camera to that surface, and</w:t>
      </w:r>
      <w:r>
        <w:t xml:space="preserve"> </w:t>
      </w:r>
      <w:r>
        <w:rPr>
          <w:rStyle w:val="VerbatimChar"/>
        </w:rPr>
        <w:t xml:space="preserve">zl=0</w:t>
      </w:r>
      <w:r>
        <w:t xml:space="preserve"> </w:t>
      </w:r>
      <w:r>
        <w:t xml:space="preserve">in the link turns it off), and, where the selected</w:t>
      </w:r>
      <w:r>
        <w:t xml:space="preserve"> </w:t>
      </w:r>
      <w:r>
        <w:t xml:space="preserve">input publishes both, a labelled</w:t>
      </w:r>
      <w:r>
        <w:t xml:space="preserve"> </w:t>
      </w:r>
      <w:r>
        <w:rPr>
          <w:b/>
          <w:bCs/>
        </w:rPr>
        <w:t xml:space="preserve">Show … as</w:t>
      </w:r>
      <w:r>
        <w:t xml:space="preserve"> </w:t>
      </w:r>
      <w:r>
        <w:t xml:space="preserve">switch (</w:t>
      </w:r>
      <w:r>
        <w:t xml:space="preserve">“Original”</w:t>
      </w:r>
      <w:r>
        <w:t xml:space="preserve"> </w:t>
      </w:r>
      <w:r>
        <w:t xml:space="preserve">vs. </w:t>
      </w:r>
      <w:r>
        <w:t xml:space="preserve">“Interpolated,”</w:t>
      </w:r>
      <w:r>
        <w:t xml:space="preserve"> </w:t>
      </w:r>
      <w:r>
        <w:t xml:space="preserve">or</w:t>
      </w:r>
      <w:r>
        <w:t xml:space="preserve"> </w:t>
      </w:r>
      <w:r>
        <w:t xml:space="preserve">“Delivered”</w:t>
      </w:r>
      <w:r>
        <w:t xml:space="preserve"> </w:t>
      </w:r>
      <w:r>
        <w:t xml:space="preserve">vs. </w:t>
      </w:r>
      <w:r>
        <w:t xml:space="preserve">“As ingested”</w:t>
      </w:r>
      <w:r>
        <w:t xml:space="preserve"> </w:t>
      </w:r>
      <w:r>
        <w:t xml:space="preserve">for a dataset already on the scoring grid). Below it the</w:t>
      </w:r>
      <w:r>
        <w:t xml:space="preserve"> </w:t>
      </w:r>
      <w:r>
        <w:rPr>
          <w:b/>
          <w:bCs/>
        </w:rPr>
        <w:t xml:space="preserve">Data</w:t>
      </w:r>
      <w:r>
        <w:t xml:space="preserve"> </w:t>
      </w:r>
      <w:r>
        <w:t xml:space="preserve">row carries the</w:t>
      </w:r>
      <w:r>
        <w:t xml:space="preserve"> </w:t>
      </w:r>
      <w:r>
        <w:t xml:space="preserve">species title with its zoom actions. An input’s raster is found the way the retired Species Shiny</w:t>
      </w:r>
      <w:r>
        <w:t xml:space="preserve"> </w:t>
      </w:r>
      <w:r>
        <w:t xml:space="preserve">app found it — through the release’s</w:t>
      </w:r>
      <w:r>
        <w:t xml:space="preserve"> </w:t>
      </w:r>
      <w:r>
        <w:rPr>
          <w:b/>
          <w:bCs/>
        </w:rPr>
        <w:t xml:space="preserve">model-asset registry</w:t>
      </w:r>
      <w:r>
        <w:t xml:space="preserve">, looked up by model key — and an input</w:t>
      </w:r>
      <w:r>
        <w:t xml:space="preserve"> </w:t>
      </w:r>
      <w:r>
        <w:t xml:space="preserve">whose registry row is missing renders as a</w:t>
      </w:r>
      <w:r>
        <w:t xml:space="preserve"> </w:t>
      </w:r>
      <w:r>
        <w:rPr>
          <w:b/>
          <w:bCs/>
        </w:rPr>
        <w:t xml:space="preserve">struck-through, non-interactive pill</w:t>
      </w:r>
      <w:r>
        <w:t xml:space="preserve">, never simply</w:t>
      </w:r>
      <w:r>
        <w:t xml:space="preserve"> </w:t>
      </w:r>
      <w:r>
        <w:t xml:space="preserve">omitted. The species’ own information — names, ESA listing, IUCN Red List category, WoRMS id, and the</w:t>
      </w:r>
      <w:r>
        <w:t xml:space="preserve"> </w:t>
      </w:r>
      <w:r>
        <w:t xml:space="preserve">tree of values (the merged model and its inputs, the layer on screen in bold) — is in</w:t>
      </w:r>
      <w:r>
        <w:t xml:space="preserve"> </w:t>
      </w:r>
      <w:r>
        <w:rPr>
          <w:b/>
          <w:bCs/>
        </w:rPr>
        <w:t xml:space="preserve">Details</w:t>
      </w:r>
      <w:r>
        <w:t xml:space="preserve">.</w:t>
      </w:r>
      <w:r>
        <w:t xml:space="preserve"> </w:t>
      </w:r>
      <w:r>
        <w:t xml:space="preserve">Selecting a species flies the map to that model’s extent; clicking it then returns that cell’s</w:t>
      </w:r>
      <w:r>
        <w:t xml:space="preserve"> </w:t>
      </w:r>
      <w:r>
        <w:t xml:space="preserve">modelled value, or</w:t>
      </w:r>
      <w:r>
        <w:t xml:space="preserve"> </w:t>
      </w:r>
      <w:r>
        <w:rPr>
          <w:i/>
          <w:iCs/>
        </w:rPr>
        <w:t xml:space="preserve">“No scored cell here”</w:t>
      </w:r>
      <w:r>
        <w:t xml:space="preserve"> </w:t>
      </w:r>
      <w:r>
        <w:t xml:space="preserve">outside the model’s range. The legend floats in a corner</w:t>
      </w:r>
      <w:r>
        <w:t xml:space="preserve"> </w:t>
      </w:r>
      <w:r>
        <w:t xml:space="preserve">of the map (a legend chip on a phone), titled with the species’ common and scientific name, with a</w:t>
      </w:r>
      <w:r>
        <w:t xml:space="preserve"> </w:t>
      </w:r>
      <w:r>
        <w:t xml:space="preserve">subtitle naming the layer and its 1–100 range.</w:t>
      </w:r>
    </w:p>
    <w:tbl>
      <w:tblPr>
        <w:tblStyle w:val="Table"/>
        <w:tblW w:type="pct" w:w="5000"/>
        <w:tblLayout w:type="fixed"/>
        <w:tblLook w:firstRow="0" w:lastRow="0" w:firstColumn="0" w:lastColumn="0" w:noHBand="0" w:noVBand="0" w:val="0000"/>
      </w:tblPr>
      <w:tblGrid>
        <w:gridCol w:w="7920"/>
      </w:tblGrid>
      <w:tr>
        <w:tc>
          <w:tcPr/>
          <w:bookmarkStart w:id="513" w:name="fig-atlas-species"/>
          <w:p>
            <w:pPr>
              <w:pStyle w:val="Compact"/>
              <w:jc w:val="center"/>
            </w:pPr>
            <w:r>
              <w:drawing>
                <wp:inline>
                  <wp:extent cx="5334000" cy="3333750"/>
                  <wp:effectExtent b="0" l="0" r="0" t="0"/>
                  <wp:docPr descr="" title="" id="511" name="Picture"/>
                  <a:graphic>
                    <a:graphicData uri="http://schemas.openxmlformats.org/drawingml/2006/picture">
                      <pic:pic>
                        <pic:nvPicPr>
                          <pic:cNvPr descr="images/atlas/desktop-species.png" id="512" name="Picture"/>
                          <pic:cNvPicPr>
                            <a:picLocks noChangeArrowheads="1" noChangeAspect="1"/>
                          </pic:cNvPicPr>
                        </pic:nvPicPr>
                        <pic:blipFill>
                          <a:blip r:embed="rId51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21.5: The Species lens’ Layers panel for the leatherback turtle (</w:t>
            </w:r>
            <w:r>
              <w:rPr>
                <w:i/>
                <w:iCs/>
              </w:rPr>
              <w:t xml:space="preserve">Dermochelys coriacea</w:t>
            </w:r>
            <w:r>
              <w:t xml:space="preserve">): the merged model selected, with all six of its inputs available as pills. In the layer stack, the expanded Data row shows the scientific and common names (each with a copy button) and, for a wide-range model, a US waters / Whole range zoom switch. Atlas 0.10.91, release v7, 2026-10-16.</w:t>
            </w:r>
          </w:p>
          <w:bookmarkEnd w:id="513"/>
        </w:tc>
      </w:tr>
    </w:tbl>
    <w:bookmarkEnd w:id="514"/>
    <w:bookmarkStart w:id="523" w:name="sec-atlas-places"/>
    <w:p>
      <w:pPr>
        <w:pStyle w:val="Heading2"/>
      </w:pPr>
      <w:r>
        <w:t xml:space="preserve">21.6 Places</w:t>
      </w:r>
    </w:p>
    <w:p>
      <w:pPr>
        <w:pStyle w:val="FirstParagraph"/>
      </w:pPr>
      <w:r>
        <w:rPr>
          <w:b/>
          <w:bCs/>
        </w:rPr>
        <w:t xml:space="preserve">Places</w:t>
      </w:r>
      <w:r>
        <w:t xml:space="preserve"> </w:t>
      </w:r>
      <w:r>
        <w:t xml:space="preserve">— the first part of the</w:t>
      </w:r>
      <w:r>
        <w:t xml:space="preserve"> </w:t>
      </w:r>
      <w:r>
        <w:rPr>
          <w:b/>
          <w:bCs/>
        </w:rPr>
        <w:t xml:space="preserve">Report</w:t>
      </w:r>
      <w:r>
        <w:t xml:space="preserve"> </w:t>
      </w:r>
      <w:r>
        <w:t xml:space="preserve">tool, listed with its count (</w:t>
      </w:r>
      <w:r>
        <w:t xml:space="preserve">“Places 2 / 20”</w:t>
      </w:r>
      <w:r>
        <w:t xml:space="preserve">) above</w:t>
      </w:r>
      <w:r>
        <w:t xml:space="preserve"> </w:t>
      </w:r>
      <w:r>
        <w:t xml:space="preserve">an</w:t>
      </w:r>
      <w:r>
        <w:t xml:space="preserve"> </w:t>
      </w:r>
      <w:r>
        <w:rPr>
          <w:b/>
          <w:bCs/>
        </w:rPr>
        <w:t xml:space="preserve">Add a place</w:t>
      </w:r>
      <w:r>
        <w:t xml:space="preserve"> </w:t>
      </w:r>
      <w:r>
        <w:t xml:space="preserve">section — is what the two retired Shiny apps did not have: any area you outline</w:t>
      </w:r>
      <w:r>
        <w:t xml:space="preserve"> </w:t>
      </w:r>
      <w:r>
        <w:t xml:space="preserve">gets the same scores and species results the built-in Program Areas get. The empty state reads</w:t>
      </w:r>
      <w:r>
        <w:t xml:space="preserve"> </w:t>
      </w:r>
      <w:r>
        <w:t xml:space="preserve">exactly:</w:t>
      </w:r>
      <w:r>
        <w:t xml:space="preserve"> </w:t>
      </w:r>
      <w:r>
        <w:rPr>
          <w:i/>
          <w:iCs/>
        </w:rPr>
        <w:t xml:space="preserve">“No places yet. Click the map, or add one below.”</w:t>
      </w:r>
      <w:r>
        <w:t xml:space="preserve"> </w:t>
      </w:r>
      <w:r>
        <w:t xml:space="preserve">A click on the map shows up as a pink</w:t>
      </w:r>
      <w:r>
        <w:t xml:space="preserve"> </w:t>
      </w:r>
      <w:r>
        <w:rPr>
          <w:b/>
          <w:bCs/>
        </w:rPr>
        <w:t xml:space="preserve">Last clicked</w:t>
      </w:r>
      <w:r>
        <w:t xml:space="preserve"> </w:t>
      </w:r>
      <w:r>
        <w:t xml:space="preserve">row with an</w:t>
      </w:r>
      <w:r>
        <w:t xml:space="preserve"> </w:t>
      </w:r>
      <w:r>
        <w:rPr>
          <w:b/>
          <w:bCs/>
        </w:rPr>
        <w:t xml:space="preserve">Add</w:t>
      </w:r>
      <w:r>
        <w:t xml:space="preserve"> </w:t>
      </w:r>
      <w:r>
        <w:t xml:space="preserve">button, which hides once that place is in the list; a click</w:t>
      </w:r>
      <w:r>
        <w:t xml:space="preserve"> </w:t>
      </w:r>
      <w:r>
        <w:t xml:space="preserve">never wipes places you have explicitly added.</w:t>
      </w:r>
    </w:p>
    <w:p>
      <w:pPr>
        <w:pStyle w:val="Compact"/>
        <w:numPr>
          <w:ilvl w:val="0"/>
          <w:numId w:val="1059"/>
        </w:numPr>
      </w:pPr>
      <w:r>
        <w:rPr>
          <w:b/>
          <w:bCs/>
        </w:rPr>
        <w:t xml:space="preserve">Pick a Program Area.</w:t>
      </w:r>
      <w:r>
        <w:t xml:space="preserve"> </w:t>
      </w:r>
      <w:r>
        <w:t xml:space="preserve">The</w:t>
      </w:r>
      <w:r>
        <w:t xml:space="preserve"> </w:t>
      </w:r>
      <w:r>
        <w:rPr>
          <w:b/>
          <w:bCs/>
        </w:rPr>
        <w:t xml:space="preserve">Add a Program Area</w:t>
      </w:r>
      <w:r>
        <w:t xml:space="preserve"> </w:t>
      </w:r>
      <w:r>
        <w:t xml:space="preserve">chooser plus</w:t>
      </w:r>
      <w:r>
        <w:t xml:space="preserve"> </w:t>
      </w:r>
      <w:r>
        <w:rPr>
          <w:b/>
          <w:bCs/>
        </w:rPr>
        <w:t xml:space="preserve">Add this Program Area</w:t>
      </w:r>
      <w:r>
        <w:t xml:space="preserve"> </w:t>
      </w:r>
      <w:r>
        <w:t xml:space="preserve">needs no</w:t>
      </w:r>
      <w:r>
        <w:t xml:space="preserve"> </w:t>
      </w:r>
      <w:r>
        <w:t xml:space="preserve">pointer and works on a phone. Or turn on</w:t>
      </w:r>
      <w:r>
        <w:t xml:space="preserve"> </w:t>
      </w:r>
      <w:r>
        <w:rPr>
          <w:b/>
          <w:bCs/>
        </w:rPr>
        <w:t xml:space="preserve">Pick mode</w:t>
      </w:r>
      <w:r>
        <w:t xml:space="preserve"> </w:t>
      </w:r>
      <w:r>
        <w:t xml:space="preserve">and click on the map — that only highlights</w:t>
      </w:r>
      <w:r>
        <w:t xml:space="preserve"> </w:t>
      </w:r>
      <w:r>
        <w:t xml:space="preserve">it (Ctrl/Cmd-click, Shift-click or long-press to highlight several) — and</w:t>
      </w:r>
      <w:r>
        <w:t xml:space="preserve"> </w:t>
      </w:r>
      <w:r>
        <w:rPr>
          <w:b/>
          <w:bCs/>
        </w:rPr>
        <w:t xml:space="preserve">“Add to places (n)”</w:t>
      </w:r>
      <w:r>
        <w:t xml:space="preserve"> </w:t>
      </w:r>
      <w:r>
        <w:t xml:space="preserve">is the button that actually adds it; several picks become</w:t>
      </w:r>
      <w:r>
        <w:t xml:space="preserve"> </w:t>
      </w:r>
      <w:r>
        <w:rPr>
          <w:b/>
          <w:bCs/>
        </w:rPr>
        <w:t xml:space="preserve">one</w:t>
      </w:r>
      <w:r>
        <w:t xml:space="preserve"> </w:t>
      </w:r>
      <w:r>
        <w:t xml:space="preserve">place. Program Areas are shown as</w:t>
      </w:r>
      <w:r>
        <w:t xml:space="preserve"> </w:t>
      </w:r>
      <w:r>
        <w:rPr>
          <w:b/>
          <w:bCs/>
        </w:rPr>
        <w:t xml:space="preserve">“Full Name (KEY)”</w:t>
      </w:r>
      <w:r>
        <w:t xml:space="preserve"> </w:t>
      </w:r>
      <w:r>
        <w:t xml:space="preserve">— e.g. </w:t>
      </w:r>
      <w:r>
        <w:t xml:space="preserve">“St. George Basin (GEO)”</w:t>
      </w:r>
      <w:r>
        <w:t xml:space="preserve"> </w:t>
      </w:r>
      <w:r>
        <w:t xml:space="preserve">— from an app-side name table generated off</w:t>
      </w:r>
      <w:r>
        <w:t xml:space="preserve"> </w:t>
      </w:r>
      <w:r>
        <w:t xml:space="preserve">the canonical Program-Area geometry (no published release, v6 through v9, actually publishes a</w:t>
      </w:r>
      <w:r>
        <w:t xml:space="preserve"> </w:t>
      </w:r>
      <w:r>
        <w:t xml:space="preserve">full name on its own Program Area rows; a release that does publish one is preferred when</w:t>
      </w:r>
      <w:r>
        <w:t xml:space="preserve"> </w:t>
      </w:r>
      <w:r>
        <w:t xml:space="preserve">present), everywhere: Places, search, the map tooltip, the Details flower’s title, the Table</w:t>
      </w:r>
      <w:r>
        <w:t xml:space="preserve"> </w:t>
      </w:r>
      <w:r>
        <w:t xml:space="preserve">header, the Zones table and the report.</w:t>
      </w:r>
    </w:p>
    <w:p>
      <w:pPr>
        <w:pStyle w:val="Compact"/>
        <w:numPr>
          <w:ilvl w:val="0"/>
          <w:numId w:val="1059"/>
        </w:numPr>
      </w:pPr>
      <w:r>
        <w:rPr>
          <w:b/>
          <w:bCs/>
        </w:rPr>
        <w:t xml:space="preserve">Pick from the gazetteer.</w:t>
      </w:r>
      <w:r>
        <w:t xml:space="preserve"> </w:t>
      </w:r>
      <w:r>
        <w:t xml:space="preserve">Turn on</w:t>
      </w:r>
      <w:r>
        <w:t xml:space="preserve"> </w:t>
      </w:r>
      <w:r>
        <w:rPr>
          <w:b/>
          <w:bCs/>
        </w:rPr>
        <w:t xml:space="preserve">Pick from gazetteer</w:t>
      </w:r>
      <w:r>
        <w:t xml:space="preserve"> </w:t>
      </w:r>
      <w:r>
        <w:t xml:space="preserve">to show the gazetteer’s polygons on the</w:t>
      </w:r>
      <w:r>
        <w:t xml:space="preserve"> </w:t>
      </w:r>
      <w:r>
        <w:t xml:space="preserve">map and click one to add it. The place is carried in the link by its gazetteer id, not its outline</w:t>
      </w:r>
      <w:r>
        <w:t xml:space="preserve"> </w:t>
      </w:r>
      <w:r>
        <w:t xml:space="preserve">(</w:t>
      </w:r>
      <w:hyperlink w:anchor="sec-atlas-place-links">
        <w:r>
          <w:rPr>
            <w:rStyle w:val="Hyperlink"/>
          </w:rPr>
          <w:t xml:space="preserve">Section 21.7</w:t>
        </w:r>
      </w:hyperlink>
      <w:r>
        <w:t xml:space="preserve">); other gazetteer collections appear in a</w:t>
      </w:r>
      <w:r>
        <w:t xml:space="preserve"> </w:t>
      </w:r>
      <w:r>
        <w:rPr>
          <w:b/>
          <w:bCs/>
        </w:rPr>
        <w:t xml:space="preserve">Gazetteer layer</w:t>
      </w:r>
      <w:r>
        <w:t xml:space="preserve"> </w:t>
      </w:r>
      <w:r>
        <w:t xml:space="preserve">selector once</w:t>
      </w:r>
      <w:r>
        <w:t xml:space="preserve"> </w:t>
      </w:r>
      <w:r>
        <w:t xml:space="preserve">the gazetteer publishes its layer list, and the map’s credit line names the gazetteer’s data while</w:t>
      </w:r>
      <w:r>
        <w:t xml:space="preserve"> </w:t>
      </w:r>
      <w:r>
        <w:t xml:space="preserve">its polygons or places are shown.</w:t>
      </w:r>
    </w:p>
    <w:p>
      <w:pPr>
        <w:pStyle w:val="Compact"/>
        <w:numPr>
          <w:ilvl w:val="0"/>
          <w:numId w:val="1059"/>
        </w:numPr>
      </w:pPr>
      <w:r>
        <w:rPr>
          <w:b/>
          <w:bCs/>
        </w:rPr>
        <w:t xml:space="preserve">Draw</w:t>
      </w:r>
      <w:r>
        <w:t xml:space="preserve"> </w:t>
      </w:r>
      <w:r>
        <w:t xml:space="preserve">a Polygon, Rectangle or Circle:</w:t>
      </w:r>
      <w:r>
        <w:t xml:space="preserve"> </w:t>
      </w:r>
      <w:r>
        <w:rPr>
          <w:b/>
          <w:bCs/>
        </w:rPr>
        <w:t xml:space="preserve">click, move, click</w:t>
      </w:r>
      <w:r>
        <w:t xml:space="preserve"> </w:t>
      </w:r>
      <w:r>
        <w:t xml:space="preserve">for each vertex or corner (not a</w:t>
      </w:r>
      <w:r>
        <w:t xml:space="preserve"> </w:t>
      </w:r>
      <w:r>
        <w:t xml:space="preserve">drag), then press</w:t>
      </w:r>
      <w:r>
        <w:t xml:space="preserve"> </w:t>
      </w:r>
      <w:r>
        <w:rPr>
          <w:b/>
          <w:bCs/>
        </w:rPr>
        <w:t xml:space="preserve">Done</w:t>
      </w:r>
      <w:r>
        <w:t xml:space="preserve"> </w:t>
      </w:r>
      <w:r>
        <w:t xml:space="preserve">— a polygon also closes when you click its first vertex again, or</w:t>
      </w:r>
      <w:r>
        <w:t xml:space="preserve"> </w:t>
      </w:r>
      <w:r>
        <w:t xml:space="preserve">press Enter. A circle is stored as a 64-sided polygon. Dragging a finished shape’s corner</w:t>
      </w:r>
      <w:r>
        <w:t xml:space="preserve"> </w:t>
      </w:r>
      <w:r>
        <w:rPr>
          <w:b/>
          <w:bCs/>
        </w:rPr>
        <w:t xml:space="preserve">edits</w:t>
      </w:r>
      <w:r>
        <w:rPr>
          <w:b/>
          <w:bCs/>
        </w:rPr>
        <w:t xml:space="preserve"> </w:t>
      </w:r>
      <w:r>
        <w:rPr>
          <w:b/>
          <w:bCs/>
        </w:rPr>
        <w:t xml:space="preserve">that place in place</w:t>
      </w:r>
      <w:r>
        <w:t xml:space="preserve"> </w:t>
      </w:r>
      <w:r>
        <w:t xml:space="preserve">(same row, same name, re-analysed) rather than adding a new one.</w:t>
      </w:r>
    </w:p>
    <w:p>
      <w:pPr>
        <w:pStyle w:val="Compact"/>
        <w:numPr>
          <w:ilvl w:val="0"/>
          <w:numId w:val="1059"/>
        </w:numPr>
      </w:pPr>
      <w:r>
        <w:rPr>
          <w:b/>
          <w:bCs/>
        </w:rPr>
        <w:t xml:space="preserve">Enter coordinates</w:t>
      </w:r>
      <w:r>
        <w:t xml:space="preserve"> </w:t>
      </w:r>
      <w:r>
        <w:t xml:space="preserve">— the keyboard/screen-reader alternative to drawing, in a modal dialog: a</w:t>
      </w:r>
      <w:r>
        <w:t xml:space="preserve"> </w:t>
      </w:r>
      <w:r>
        <w:t xml:space="preserve">bounding box (</w:t>
      </w:r>
      <w:r>
        <w:rPr>
          <w:rStyle w:val="VerbatimChar"/>
        </w:rPr>
        <w:t xml:space="preserve">xmin, ymin, xmax, ymax</w:t>
      </w:r>
      <w:r>
        <w:t xml:space="preserve">), a list of</w:t>
      </w:r>
      <w:r>
        <w:t xml:space="preserve"> </w:t>
      </w:r>
      <w:r>
        <w:rPr>
          <w:rStyle w:val="VerbatimChar"/>
        </w:rPr>
        <w:t xml:space="preserve">lon, lat</w:t>
      </w:r>
      <w:r>
        <w:t xml:space="preserve"> </w:t>
      </w:r>
      <w:r>
        <w:t xml:space="preserve">vertices one per line, or pasted</w:t>
      </w:r>
      <w:r>
        <w:t xml:space="preserve"> </w:t>
      </w:r>
      <w:r>
        <w:t xml:space="preserve">WKT/GeoJSON. A refusal is shown verbatim — what went wrong, why, and how to fix it.</w:t>
      </w:r>
    </w:p>
    <w:p>
      <w:pPr>
        <w:pStyle w:val="Compact"/>
        <w:numPr>
          <w:ilvl w:val="0"/>
          <w:numId w:val="1059"/>
        </w:numPr>
      </w:pPr>
      <w:r>
        <w:rPr>
          <w:b/>
          <w:bCs/>
        </w:rPr>
        <w:t xml:space="preserve">Upload a file</w:t>
      </w:r>
      <w:r>
        <w:t xml:space="preserve">, through the picker or by dropping it anywhere on the map:</w:t>
      </w:r>
      <w:r>
        <w:t xml:space="preserve"> </w:t>
      </w:r>
      <w:r>
        <w:rPr>
          <w:i/>
          <w:iCs/>
        </w:rPr>
        <w:t xml:space="preserve">“GeoJSON, zipped</w:t>
      </w:r>
      <w:r>
        <w:rPr>
          <w:i/>
          <w:iCs/>
        </w:rPr>
        <w:t xml:space="preserve"> </w:t>
      </w:r>
      <w:r>
        <w:rPr>
          <w:i/>
          <w:iCs/>
        </w:rPr>
        <w:t xml:space="preserve">shapefile, KML, GPX, FlatGeobuf, WKT or GeoPackage, up to 10 MB.”</w:t>
      </w:r>
      <w:r>
        <w:t xml:space="preserve"> </w:t>
      </w:r>
      <w:r>
        <w:rPr>
          <w:b/>
          <w:bCs/>
        </w:rPr>
        <w:t xml:space="preserve">GeoPackage</w:t>
      </w:r>
      <w:r>
        <w:t xml:space="preserve"> </w:t>
      </w:r>
      <w:r>
        <w:t xml:space="preserve">is now read</w:t>
      </w:r>
      <w:r>
        <w:t xml:space="preserve"> </w:t>
      </w:r>
      <w:r>
        <w:t xml:space="preserve">(polygons only, same as every other format), through the same resident DuckDB-WASM engine the</w:t>
      </w:r>
      <w:r>
        <w:t xml:space="preserve"> </w:t>
      </w:r>
      <w:r>
        <w:t xml:space="preserve">scores boot, via its</w:t>
      </w:r>
      <w:r>
        <w:t xml:space="preserve"> </w:t>
      </w:r>
      <w:r>
        <w:rPr>
          <w:rStyle w:val="VerbatimChar"/>
        </w:rPr>
        <w:t xml:space="preserve">spatial</w:t>
      </w:r>
      <w:r>
        <w:t xml:space="preserve"> </w:t>
      </w:r>
      <w:r>
        <w:t xml:space="preserve">extension — fetched live, with consent, from</w:t>
      </w:r>
      <w:r>
        <w:t xml:space="preserve"> </w:t>
      </w:r>
      <w:r>
        <w:rPr>
          <w:rStyle w:val="VerbatimChar"/>
        </w:rPr>
        <w:t xml:space="preserve">extensions.duckdb.org</w:t>
      </w:r>
      <w:r>
        <w:t xml:space="preserve"> </w:t>
      </w:r>
      <w:r>
        <w:t xml:space="preserve">(the one deliberately non-mirrored third-party download, 22.4 MB); each</w:t>
      </w:r>
      <w:r>
        <w:t xml:space="preserve"> </w:t>
      </w:r>
      <w:r>
        <w:rPr>
          <w:rStyle w:val="VerbatimChar"/>
        </w:rPr>
        <w:t xml:space="preserve">.gpkg</w:t>
      </w:r>
      <w:r>
        <w:t xml:space="preserve"> </w:t>
      </w:r>
      <w:r>
        <w:t xml:space="preserve">upload asks first, not just the first one in a session. A GeoPackage with no</w:t>
      </w:r>
      <w:r>
        <w:t xml:space="preserve"> </w:t>
      </w:r>
      <w:r>
        <w:t xml:space="preserve">vector layer (raster tiles, or a plain attribute table) is refused when</w:t>
      </w:r>
      <w:r>
        <w:t xml:space="preserve"> </w:t>
      </w:r>
      <w:r>
        <w:rPr>
          <w:rStyle w:val="VerbatimChar"/>
        </w:rPr>
        <w:t xml:space="preserve">ST_Read</w:t>
      </w:r>
      <w:r>
        <w:t xml:space="preserve"> </w:t>
      </w:r>
      <w:r>
        <w:t xml:space="preserve">fails to read</w:t>
      </w:r>
      <w:r>
        <w:t xml:space="preserve"> </w:t>
      </w:r>
      <w:r>
        <w:t xml:space="preserve">it (see Known limitations), not by a dedicated check. Other rules that cause a refusal: polygons</w:t>
      </w:r>
      <w:r>
        <w:t xml:space="preserve"> </w:t>
      </w:r>
      <w:r>
        <w:t xml:space="preserve">only (points and lines are refused, never buffered); a shapefile needs its</w:t>
      </w:r>
      <w:r>
        <w:t xml:space="preserve"> </w:t>
      </w:r>
      <w:r>
        <w:rPr>
          <w:rStyle w:val="VerbatimChar"/>
        </w:rPr>
        <w:t xml:space="preserve">.prj</w:t>
      </w:r>
      <w:r>
        <w:t xml:space="preserve"> </w:t>
      </w:r>
      <w:r>
        <w:t xml:space="preserve">(projected</w:t>
      </w:r>
      <w:r>
        <w:t xml:space="preserve"> </w:t>
      </w:r>
      <w:r>
        <w:t xml:space="preserve">coordinates are refused); at most 50,000 vertices; a zipped shapefile at most 50 MB uncompressed</w:t>
      </w:r>
      <w:r>
        <w:t xml:space="preserve"> </w:t>
      </w:r>
      <w:r>
        <w:t xml:space="preserve">and 200 entries; and the shape must touch the U.S. study area. A feature’s own name (KML’s</w:t>
      </w:r>
      <w:r>
        <w:t xml:space="preserve"> </w:t>
      </w:r>
      <w:r>
        <w:rPr>
          <w:rStyle w:val="VerbatimChar"/>
        </w:rPr>
        <w:t xml:space="preserve">&lt;name&gt;</w:t>
      </w:r>
      <w:r>
        <w:t xml:space="preserve">, or a</w:t>
      </w:r>
      <w:r>
        <w:t xml:space="preserve"> </w:t>
      </w:r>
      <w:r>
        <w:rPr>
          <w:rStyle w:val="VerbatimChar"/>
        </w:rPr>
        <w:t xml:space="preserve">name</w:t>
      </w:r>
      <w:r>
        <w:t xml:space="preserve">/</w:t>
      </w:r>
      <w:r>
        <w:rPr>
          <w:rStyle w:val="VerbatimChar"/>
        </w:rPr>
        <w:t xml:space="preserve">title</w:t>
      </w:r>
      <w:r>
        <w:t xml:space="preserve">/</w:t>
      </w:r>
      <w:r>
        <w:rPr>
          <w:rStyle w:val="VerbatimChar"/>
        </w:rPr>
        <w:t xml:space="preserve">label</w:t>
      </w:r>
      <w:r>
        <w:t xml:space="preserve"> </w:t>
      </w:r>
      <w:r>
        <w:t xml:space="preserve">property on GeoJSON/shapefile/etc., case-insensitive) —</w:t>
      </w:r>
      <w:r>
        <w:t xml:space="preserve"> </w:t>
      </w:r>
      <w:r>
        <w:t xml:space="preserve">auto-detected from the file’s</w:t>
      </w:r>
      <w:r>
        <w:t xml:space="preserve"> </w:t>
      </w:r>
      <w:r>
        <w:rPr>
          <w:b/>
          <w:bCs/>
        </w:rPr>
        <w:t xml:space="preserve">first</w:t>
      </w:r>
      <w:r>
        <w:t xml:space="preserve"> </w:t>
      </w:r>
      <w:r>
        <w:t xml:space="preserve">feature and applied to every feature — names each place;</w:t>
      </w:r>
      <w:r>
        <w:t xml:space="preserve"> </w:t>
      </w:r>
      <w:r>
        <w:t xml:space="preserve">a file with no such property falls back to the file name, numbered. A file with several features</w:t>
      </w:r>
      <w:r>
        <w:t xml:space="preserve"> </w:t>
      </w:r>
      <w:r>
        <w:t xml:space="preserve">becomes one place per feature (up to 20), each named this way, or one merged place, named after</w:t>
      </w:r>
      <w:r>
        <w:t xml:space="preserve"> </w:t>
      </w:r>
      <w:r>
        <w:t xml:space="preserve">the file, your choice.</w:t>
      </w:r>
    </w:p>
    <w:tbl>
      <w:tblPr>
        <w:tblStyle w:val="Table"/>
        <w:tblW w:type="pct" w:w="5000"/>
        <w:tblLayout w:type="fixed"/>
        <w:tblLook w:firstRow="0" w:lastRow="0" w:firstColumn="0" w:lastColumn="0" w:noHBand="0" w:noVBand="0" w:val="0000"/>
      </w:tblPr>
      <w:tblGrid>
        <w:gridCol w:w="7920"/>
      </w:tblGrid>
      <w:tr>
        <w:tc>
          <w:tcPr/>
          <w:bookmarkStart w:id="518" w:name="fig-atlas-places"/>
          <w:p>
            <w:pPr>
              <w:pStyle w:val="Compact"/>
              <w:jc w:val="center"/>
            </w:pPr>
            <w:r>
              <w:drawing>
                <wp:inline>
                  <wp:extent cx="5334000" cy="3333750"/>
                  <wp:effectExtent b="0" l="0" r="0" t="0"/>
                  <wp:docPr descr="" title="" id="516" name="Picture"/>
                  <a:graphic>
                    <a:graphicData uri="http://schemas.openxmlformats.org/drawingml/2006/picture">
                      <pic:pic>
                        <pic:nvPicPr>
                          <pic:cNvPr descr="images/atlas/desktop-places.png" id="517" name="Picture"/>
                          <pic:cNvPicPr>
                            <a:picLocks noChangeArrowheads="1" noChangeAspect="1"/>
                          </pic:cNvPicPr>
                        </pic:nvPicPr>
                        <pic:blipFill>
                          <a:blip r:embed="rId51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21.6: The Report tool’s list of places with two places, both analysed: a Program Area (</w:t>
            </w:r>
            <w:r>
              <w:t xml:space="preserve">“Aleutian Arc (ALA),”</w:t>
            </w:r>
            <w:r>
              <w:t xml:space="preserve"> </w:t>
            </w:r>
            <w:r>
              <w:t xml:space="preserve">875,225 km², 28.3 composite) and a selected, entered-coordinates place (</w:t>
            </w:r>
            <w:r>
              <w:t xml:space="preserve">“bounding box,”</w:t>
            </w:r>
            <w:r>
              <w:t xml:space="preserve"> </w:t>
            </w:r>
            <w:r>
              <w:t xml:space="preserve">98,973 km², 100% coverage, 34.7 composite) whose coverage note reads</w:t>
            </w:r>
            <w:r>
              <w:t xml:space="preserve"> </w:t>
            </w:r>
            <w:r>
              <w:t xml:space="preserve">“100.0% of this place is inside the US study area (3,600 of 3,600 cells),”</w:t>
            </w:r>
            <w:r>
              <w:t xml:space="preserve"> </w:t>
            </w:r>
            <w:r>
              <w:t xml:space="preserve">with its flower plot below; the box is outlined in pink over the Gulf of America on the map. The pinned footer below reads</w:t>
            </w:r>
            <w:r>
              <w:t xml:space="preserve"> </w:t>
            </w:r>
            <w:r>
              <w:t xml:space="preserve">“Reporting on 2 places.”</w:t>
            </w:r>
            <w:r>
              <w:t xml:space="preserve"> </w:t>
            </w:r>
            <w:r>
              <w:t xml:space="preserve">above the gold Open report button, Share and Download places. Atlas 0.10.92, release v7, 2026-10-16.</w:t>
            </w:r>
          </w:p>
          <w:bookmarkEnd w:id="51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2" w:name="fig-atlas-coords"/>
          <w:p>
            <w:pPr>
              <w:pStyle w:val="Compact"/>
              <w:jc w:val="center"/>
            </w:pPr>
            <w:r>
              <w:drawing>
                <wp:inline>
                  <wp:extent cx="5334000" cy="3333750"/>
                  <wp:effectExtent b="0" l="0" r="0" t="0"/>
                  <wp:docPr descr="" title="" id="520" name="Picture"/>
                  <a:graphic>
                    <a:graphicData uri="http://schemas.openxmlformats.org/drawingml/2006/picture">
                      <pic:pic>
                        <pic:nvPicPr>
                          <pic:cNvPr descr="images/atlas/desktop-coordinate-dialog.png" id="521" name="Picture"/>
                          <pic:cNvPicPr>
                            <a:picLocks noChangeArrowheads="1" noChangeAspect="1"/>
                          </pic:cNvPicPr>
                        </pic:nvPicPr>
                        <pic:blipFill>
                          <a:blip r:embed="rId51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21.7: The</w:t>
            </w:r>
            <w:r>
              <w:t xml:space="preserve"> </w:t>
            </w:r>
            <w:r>
              <w:t xml:space="preserve">“Enter coordinates”</w:t>
            </w:r>
            <w:r>
              <w:t xml:space="preserve"> </w:t>
            </w:r>
            <w:r>
              <w:t xml:space="preserve">dialog after a single longitude, latitude point (</w:t>
            </w:r>
            <w:r>
              <w:t xml:space="preserve">“-124.1, 40.2”</w:t>
            </w:r>
            <w:r>
              <w:t xml:space="preserve">) was entered and</w:t>
            </w:r>
            <w:r>
              <w:t xml:space="preserve"> </w:t>
            </w:r>
            <w:r>
              <w:rPr>
                <w:b/>
                <w:bCs/>
              </w:rPr>
              <w:t xml:space="preserve">Add place</w:t>
            </w:r>
            <w:r>
              <w:t xml:space="preserve"> </w:t>
            </w:r>
            <w:r>
              <w:t xml:space="preserve">clicked: it is refused, because the text matches none of the three accepted shapes (a bounding box, a list of coordinates, pasted WKT/GeoJSON). Atlas 0.10.91, release v7, 2026-10-16.</w:t>
            </w:r>
          </w:p>
          <w:bookmarkEnd w:id="522"/>
        </w:tc>
      </w:tr>
    </w:tbl>
    <w:p>
      <w:pPr>
        <w:pStyle w:val="BodyText"/>
      </w:pPr>
      <w:r>
        <w:t xml:space="preserve">Each row shows its area and, as soon as it is analysed, its data coverage percentage and composite</w:t>
      </w:r>
      <w:r>
        <w:t xml:space="preserve"> </w:t>
      </w:r>
      <w:r>
        <w:t xml:space="preserve">score directly in the row — for a</w:t>
      </w:r>
      <w:r>
        <w:t xml:space="preserve"> </w:t>
      </w:r>
      <w:r>
        <w:rPr>
          <w:b/>
          <w:bCs/>
        </w:rPr>
        <w:t xml:space="preserve">drawn, typed or uploaded</w:t>
      </w:r>
      <w:r>
        <w:t xml:space="preserve"> </w:t>
      </w:r>
      <w:r>
        <w:t xml:space="preserve">place the same analysis runs for</w:t>
      </w:r>
      <w:r>
        <w:t xml:space="preserve"> </w:t>
      </w:r>
      <w:r>
        <w:t xml:space="preserve">every such place in the list, not only the one currently selected; a</w:t>
      </w:r>
      <w:r>
        <w:t xml:space="preserve"> </w:t>
      </w:r>
      <w:r>
        <w:rPr>
          <w:b/>
          <w:bCs/>
        </w:rPr>
        <w:t xml:space="preserve">Program Area</w:t>
      </w:r>
      <w:r>
        <w:t xml:space="preserve"> </w:t>
      </w:r>
      <w:r>
        <w:t xml:space="preserve">row shows</w:t>
      </w:r>
      <w:r>
        <w:t xml:space="preserve"> </w:t>
      </w:r>
      <w:r>
        <w:t xml:space="preserve">its own published composite the same way (e.g. </w:t>
      </w:r>
      <w:r>
        <w:t xml:space="preserve">“Aleutian Arc (ALA) … 28.3 composite”</w:t>
      </w:r>
      <w:r>
        <w:t xml:space="preserve">). Row actions:</w:t>
      </w:r>
      <w:r>
        <w:t xml:space="preserve"> </w:t>
      </w:r>
      <w:r>
        <w:t xml:space="preserve">an inline</w:t>
      </w:r>
      <w:r>
        <w:t xml:space="preserve"> </w:t>
      </w:r>
      <w:r>
        <w:rPr>
          <w:b/>
          <w:bCs/>
        </w:rPr>
        <w:t xml:space="preserve">rename</w:t>
      </w:r>
      <w:r>
        <w:t xml:space="preserve"> </w:t>
      </w:r>
      <w:r>
        <w:t xml:space="preserve">(≤ 60 characters, drawn/uploaded places only),</w:t>
      </w:r>
      <w:r>
        <w:t xml:space="preserve"> </w:t>
      </w:r>
      <w:r>
        <w:rPr>
          <w:b/>
          <w:bCs/>
        </w:rPr>
        <w:t xml:space="preserve">zoom to</w:t>
      </w:r>
      <w:r>
        <w:t xml:space="preserve">,</w:t>
      </w:r>
      <w:r>
        <w:t xml:space="preserve"> </w:t>
      </w:r>
      <w:r>
        <w:rPr>
          <w:b/>
          <w:bCs/>
        </w:rPr>
        <w:t xml:space="preserve">duplicate</w:t>
      </w:r>
      <w:r>
        <w:t xml:space="preserve"> </w:t>
      </w:r>
      <w:r>
        <w:t xml:space="preserve">(drawn/uploaded only),</w:t>
      </w:r>
      <w:r>
        <w:t xml:space="preserve"> </w:t>
      </w:r>
      <w:r>
        <w:rPr>
          <w:b/>
          <w:bCs/>
        </w:rPr>
        <w:t xml:space="preserve">delete</w:t>
      </w:r>
      <w:r>
        <w:t xml:space="preserve">, and</w:t>
      </w:r>
      <w:r>
        <w:t xml:space="preserve"> </w:t>
      </w:r>
      <w:r>
        <w:rPr>
          <w:b/>
          <w:bCs/>
        </w:rPr>
        <w:t xml:space="preserve">Open in report</w:t>
      </w:r>
      <w:r>
        <w:t xml:space="preserve">. Selecting</w:t>
      </w:r>
      <w:r>
        <w:t xml:space="preserve"> </w:t>
      </w:r>
      <w:r>
        <w:rPr>
          <w:b/>
          <w:bCs/>
        </w:rPr>
        <w:t xml:space="preserve">any</w:t>
      </w:r>
      <w:r>
        <w:t xml:space="preserve"> </w:t>
      </w:r>
      <w:r>
        <w:t xml:space="preserve">place — drawn, typed,</w:t>
      </w:r>
      <w:r>
        <w:t xml:space="preserve"> </w:t>
      </w:r>
      <w:r>
        <w:t xml:space="preserve">uploaded, or a</w:t>
      </w:r>
      <w:r>
        <w:t xml:space="preserve"> </w:t>
      </w:r>
      <w:r>
        <w:rPr>
          <w:b/>
          <w:bCs/>
        </w:rPr>
        <w:t xml:space="preserve">Program Area</w:t>
      </w:r>
      <w:r>
        <w:t xml:space="preserve"> </w:t>
      </w:r>
      <w:r>
        <w:t xml:space="preserve">— expands the same</w:t>
      </w:r>
      <w:r>
        <w:t xml:space="preserve"> </w:t>
      </w:r>
      <w:r>
        <w:rPr>
          <w:b/>
          <w:bCs/>
        </w:rPr>
        <w:t xml:space="preserve">results</w:t>
      </w:r>
      <w:r>
        <w:t xml:space="preserve"> </w:t>
      </w:r>
      <w:r>
        <w:t xml:space="preserve">panel below the list, though the</w:t>
      </w:r>
      <w:r>
        <w:t xml:space="preserve"> </w:t>
      </w:r>
      <w:r>
        <w:t xml:space="preserve">note at its top differs by kind: a drawn, typed or uploaded place shows a coverage note (</w:t>
      </w:r>
      <w:r>
        <w:t xml:space="preserve">“</w:t>
      </w:r>
      <w:r>
        <w:rPr>
          <w:i/>
          <w:iCs/>
        </w:rPr>
        <w:t xml:space="preserve">N</w:t>
      </w:r>
      <w:r>
        <w:t xml:space="preserve">% of</w:t>
      </w:r>
      <w:r>
        <w:t xml:space="preserve"> </w:t>
      </w:r>
      <w:r>
        <w:t xml:space="preserve">this place is inside the US study area (</w:t>
      </w:r>
      <w:r>
        <w:rPr>
          <w:i/>
          <w:iCs/>
        </w:rPr>
        <w:t xml:space="preserve">a</w:t>
      </w:r>
      <w:r>
        <w:t xml:space="preserve"> </w:t>
      </w:r>
      <w:r>
        <w:t xml:space="preserve">of</w:t>
      </w:r>
      <w:r>
        <w:t xml:space="preserve"> </w:t>
      </w:r>
      <w:r>
        <w:rPr>
          <w:i/>
          <w:iCs/>
        </w:rPr>
        <w:t xml:space="preserve">b</w:t>
      </w:r>
      <w:r>
        <w:t xml:space="preserve"> </w:t>
      </w:r>
      <w:r>
        <w:t xml:space="preserve">cells)”</w:t>
      </w:r>
      <w:r>
        <w:t xml:space="preserve">, or</w:t>
      </w:r>
      <w:r>
        <w:t xml:space="preserve"> </w:t>
      </w:r>
      <w:r>
        <w:t xml:space="preserve">“This place is outside US waters</w:t>
      </w:r>
      <w:r>
        <w:t xml:space="preserve"> </w:t>
      </w:r>
      <w:r>
        <w:t xml:space="preserve">here: no scores can be computed”</w:t>
      </w:r>
      <w:r>
        <w:t xml:space="preserve">); a Program Area shows its own note instead (</w:t>
      </w:r>
      <w:r>
        <w:t xml:space="preserve">“</w:t>
      </w:r>
      <w:r>
        <w:rPr>
          <w:i/>
          <w:iCs/>
        </w:rPr>
        <w:t xml:space="preserve">N</w:t>
      </w:r>
      <w:r>
        <w:t xml:space="preserve"> </w:t>
      </w:r>
      <w:r>
        <w:t xml:space="preserve">cells,</w:t>
      </w:r>
      <w:r>
        <w:t xml:space="preserve"> </w:t>
      </w:r>
      <w:r>
        <w:rPr>
          <w:i/>
          <w:iCs/>
        </w:rPr>
        <w:t xml:space="preserve">A</w:t>
      </w:r>
      <w:r>
        <w:t xml:space="preserve"> </w:t>
      </w:r>
      <w:r>
        <w:t xml:space="preserve">km²;</w:t>
      </w:r>
      <w:r>
        <w:t xml:space="preserve"> </w:t>
      </w:r>
      <w:r>
        <w:t xml:space="preserve">published composite</w:t>
      </w:r>
      <w:r>
        <w:t xml:space="preserve"> </w:t>
      </w:r>
      <w:r>
        <w:rPr>
          <w:i/>
          <w:iCs/>
        </w:rPr>
        <w:t xml:space="preserve">C</w:t>
      </w:r>
      <w:r>
        <w:t xml:space="preserve">.”</w:t>
      </w:r>
      <w:r>
        <w:t xml:space="preserve">). Both then show a flower plot and a component table, and a species</w:t>
      </w:r>
      <w:r>
        <w:t xml:space="preserve"> </w:t>
      </w:r>
      <w:r>
        <w:t xml:space="preserve">table on request — a drawn/typed/uploaded place behind a</w:t>
      </w:r>
      <w:r>
        <w:t xml:space="preserve"> </w:t>
      </w:r>
      <w:r>
        <w:t xml:space="preserve">“Loading species needs</w:t>
      </w:r>
      <w:r>
        <w:t xml:space="preserve"> </w:t>
      </w:r>
      <w:r>
        <w:rPr>
          <w:i/>
          <w:iCs/>
        </w:rPr>
        <w:t xml:space="preserve">N</w:t>
      </w:r>
      <w:r>
        <w:t xml:space="preserve"> </w:t>
      </w:r>
      <w:r>
        <w:t xml:space="preserve">tiles, about</w:t>
      </w:r>
      <w:r>
        <w:t xml:space="preserve"> </w:t>
      </w:r>
      <w:r>
        <w:rPr>
          <w:i/>
          <w:iCs/>
        </w:rPr>
        <w:t xml:space="preserve">X</w:t>
      </w:r>
      <w:r>
        <w:t xml:space="preserve"> </w:t>
      </w:r>
      <w:r>
        <w:t xml:space="preserve">MB. Continue?”</w:t>
      </w:r>
      <w:r>
        <w:t xml:space="preserve"> </w:t>
      </w:r>
      <w:r>
        <w:t xml:space="preserve">prompt (species come from map tiles), a Program Area behind a plain</w:t>
      </w:r>
      <w:r>
        <w:t xml:space="preserve"> </w:t>
      </w:r>
      <w:r>
        <w:rPr>
          <w:b/>
          <w:bCs/>
        </w:rPr>
        <w:t xml:space="preserve">Load</w:t>
      </w:r>
      <w:r>
        <w:rPr>
          <w:b/>
          <w:bCs/>
        </w:rPr>
        <w:t xml:space="preserve"> </w:t>
      </w:r>
      <w:r>
        <w:rPr>
          <w:b/>
          <w:bCs/>
        </w:rPr>
        <w:t xml:space="preserve">species</w:t>
      </w:r>
      <w:r>
        <w:t xml:space="preserve"> </w:t>
      </w:r>
      <w:r>
        <w:t xml:space="preserve">button with no such prompt (its species table is a precomputed release table, not</w:t>
      </w:r>
      <w:r>
        <w:t xml:space="preserve"> </w:t>
      </w:r>
      <w:r>
        <w:t xml:space="preserve">tiles). A single selected Program Area reads all of this straight off the release (the same path</w:t>
      </w:r>
      <w:r>
        <w:t xml:space="preserve"> </w:t>
      </w:r>
      <w:r>
        <w:t xml:space="preserve">the Scores lens’s</w:t>
      </w:r>
      <w:r>
        <w:t xml:space="preserve"> </w:t>
      </w:r>
      <w:r>
        <w:rPr>
          <w:b/>
          <w:bCs/>
        </w:rPr>
        <w:t xml:space="preserve">Table › Zones</w:t>
      </w:r>
      <w:r>
        <w:t xml:space="preserve"> </w:t>
      </w:r>
      <w:r>
        <w:t xml:space="preserve">tool uses,</w:t>
      </w:r>
      <w:r>
        <w:t xml:space="preserve"> </w:t>
      </w:r>
      <w:hyperlink w:anchor="sec-atlas-flower-table">
        <w:r>
          <w:rPr>
            <w:rStyle w:val="Hyperlink"/>
          </w:rPr>
          <w:t xml:space="preserve">Section 21.8</w:t>
        </w:r>
      </w:hyperlink>
      <w:r>
        <w:t xml:space="preserve">); a multi-Program-Area</w:t>
      </w:r>
      <w:r>
        <w:t xml:space="preserve"> </w:t>
      </w:r>
      <w:r>
        <w:t xml:space="preserve">selection (several picks added as one place) still sums area and means the composite for the list</w:t>
      </w:r>
      <w:r>
        <w:t xml:space="preserve"> </w:t>
      </w:r>
      <w:r>
        <w:t xml:space="preserve">row, but its flower/component/species panel asks you to select a single Program Area instead of</w:t>
      </w:r>
      <w:r>
        <w:t xml:space="preserve"> </w:t>
      </w:r>
      <w:r>
        <w:t xml:space="preserve">guessing which one’s to draw.</w:t>
      </w:r>
      <w:r>
        <w:t xml:space="preserve"> </w:t>
      </w:r>
      <w:r>
        <w:rPr>
          <w:b/>
          <w:bCs/>
        </w:rPr>
        <w:t xml:space="preserve">Show analysis cells</w:t>
      </w:r>
      <w:r>
        <w:t xml:space="preserve"> </w:t>
      </w:r>
      <w:r>
        <w:t xml:space="preserve">paints the analysed 0.05° cells (up to 20,000</w:t>
      </w:r>
      <w:r>
        <w:t xml:space="preserve"> </w:t>
      </w:r>
      <w:r>
        <w:t xml:space="preserve">of them) for a drawn, typed or uploaded place; for a Program Area it reads plainly</w:t>
      </w:r>
      <w:r>
        <w:t xml:space="preserve"> </w:t>
      </w:r>
      <w:r>
        <w:rPr>
          <w:i/>
          <w:iCs/>
        </w:rPr>
        <w:t xml:space="preserve">“Show analysis</w:t>
      </w:r>
      <w:r>
        <w:rPr>
          <w:i/>
          <w:iCs/>
        </w:rPr>
        <w:t xml:space="preserve"> </w:t>
      </w:r>
      <w:r>
        <w:rPr>
          <w:i/>
          <w:iCs/>
        </w:rPr>
        <w:t xml:space="preserve">cells: not available for Program Areas yet”</w:t>
      </w:r>
      <w:r>
        <w:t xml:space="preserve"> </w:t>
      </w:r>
      <w:r>
        <w:t xml:space="preserve">— the app bundle the Atlas reads does not yet carry</w:t>
      </w:r>
      <w:r>
        <w:t xml:space="preserve"> </w:t>
      </w:r>
      <w:r>
        <w:t xml:space="preserve">per-zone cells, even though the release’s own tables do (see Known limitations) — rather than</w:t>
      </w:r>
      <w:r>
        <w:t xml:space="preserve"> </w:t>
      </w:r>
      <w:r>
        <w:t xml:space="preserve">showing a disabled control with a misleading reason. The list caps at 20 places (</w:t>
      </w:r>
      <w:r>
        <w:t xml:space="preserve">“</w:t>
      </w:r>
      <w:r>
        <w:rPr>
          <w:i/>
          <w:iCs/>
        </w:rPr>
        <w:t xml:space="preserve">n</w:t>
      </w:r>
      <w:r>
        <w:t xml:space="preserve"> </w:t>
      </w:r>
      <w:r>
        <w:t xml:space="preserve">/ 20</w:t>
      </w:r>
      <w:r>
        <w:t xml:space="preserve"> </w:t>
      </w:r>
      <w:r>
        <w:t xml:space="preserve">places”</w:t>
      </w:r>
      <w:r>
        <w:t xml:space="preserve">);</w:t>
      </w:r>
      <w:r>
        <w:t xml:space="preserve"> </w:t>
      </w:r>
      <w:r>
        <w:rPr>
          <w:b/>
          <w:bCs/>
        </w:rPr>
        <w:t xml:space="preserve">Recent</w:t>
      </w:r>
      <w:r>
        <w:t xml:space="preserve"> </w:t>
      </w:r>
      <w:r>
        <w:t xml:space="preserve">(this browser only) offers to add a removed place back. The Report</w:t>
      </w:r>
      <w:r>
        <w:t xml:space="preserve"> </w:t>
      </w:r>
      <w:r>
        <w:t xml:space="preserve">tool’s footer is pinned to the bottom of the pane: a sentence saying what the report is about</w:t>
      </w:r>
      <w:r>
        <w:t xml:space="preserve"> </w:t>
      </w:r>
      <w:r>
        <w:t xml:space="preserve">(</w:t>
      </w:r>
      <w:r>
        <w:t xml:space="preserve">“Reporting on 2 places.”</w:t>
      </w:r>
      <w:r>
        <w:t xml:space="preserve">,</w:t>
      </w:r>
      <w:r>
        <w:t xml:space="preserve"> </w:t>
      </w:r>
      <w:r>
        <w:t xml:space="preserve">“Reporting on the last clicked place. Add it to keep it.”</w:t>
      </w:r>
      <w:r>
        <w:t xml:space="preserve">, or</w:t>
      </w:r>
      <w:r>
        <w:t xml:space="preserve"> </w:t>
      </w:r>
      <w:r>
        <w:t xml:space="preserve">“Add a</w:t>
      </w:r>
      <w:r>
        <w:t xml:space="preserve"> </w:t>
      </w:r>
      <w:r>
        <w:t xml:space="preserve">place to open a report.”</w:t>
      </w:r>
      <w:r>
        <w:t xml:space="preserve">), the gold</w:t>
      </w:r>
      <w:r>
        <w:t xml:space="preserve"> </w:t>
      </w:r>
      <w:r>
        <w:rPr>
          <w:b/>
          <w:bCs/>
        </w:rPr>
        <w:t xml:space="preserve">Open report</w:t>
      </w:r>
      <w:r>
        <w:t xml:space="preserve"> </w:t>
      </w:r>
      <w:r>
        <w:t xml:space="preserve">button (disabled with nothing to report on),</w:t>
      </w:r>
      <w:r>
        <w:t xml:space="preserve"> </w:t>
      </w:r>
      <w:r>
        <w:t xml:space="preserve">then</w:t>
      </w:r>
      <w:r>
        <w:t xml:space="preserve"> </w:t>
      </w:r>
      <w:r>
        <w:rPr>
          <w:b/>
          <w:bCs/>
        </w:rPr>
        <w:t xml:space="preserve">Share</w:t>
      </w:r>
      <w:r>
        <w:t xml:space="preserve"> </w:t>
      </w:r>
      <w:r>
        <w:t xml:space="preserve">and</w:t>
      </w:r>
      <w:r>
        <w:t xml:space="preserve"> </w:t>
      </w:r>
      <w:r>
        <w:rPr>
          <w:b/>
          <w:bCs/>
        </w:rPr>
        <w:t xml:space="preserve">Download places</w:t>
      </w:r>
      <w:r>
        <w:t xml:space="preserve"> </w:t>
      </w:r>
      <w:r>
        <w:t xml:space="preserve">(GeoJSON, with each gazetteer place’s id), the last two</w:t>
      </w:r>
      <w:r>
        <w:t xml:space="preserve"> </w:t>
      </w:r>
      <w:r>
        <w:t xml:space="preserve">disabled with zero places.</w:t>
      </w:r>
    </w:p>
    <w:p>
      <w:pPr>
        <w:pStyle w:val="BodyText"/>
      </w:pPr>
      <w:r>
        <w:rPr>
          <w:b/>
          <w:bCs/>
        </w:rPr>
        <w:t xml:space="preserve">Two different Share buttons.</w:t>
      </w:r>
      <w:r>
        <w:t xml:space="preserve"> </w:t>
      </w:r>
      <w:r>
        <w:t xml:space="preserve">The top-bar</w:t>
      </w:r>
      <w:r>
        <w:t xml:space="preserve"> </w:t>
      </w:r>
      <w:r>
        <w:rPr>
          <w:b/>
          <w:bCs/>
        </w:rPr>
        <w:t xml:space="preserve">Share</w:t>
      </w:r>
      <w:r>
        <w:t xml:space="preserve"> </w:t>
      </w:r>
      <w:r>
        <w:t xml:space="preserve">simply copies the current address to the</w:t>
      </w:r>
      <w:r>
        <w:t xml:space="preserve"> </w:t>
      </w:r>
      <w:r>
        <w:t xml:space="preserve">clipboard, plus a</w:t>
      </w:r>
      <w:r>
        <w:t xml:space="preserve"> </w:t>
      </w:r>
      <w:r>
        <w:rPr>
          <w:rStyle w:val="VerbatimChar"/>
        </w:rPr>
        <w:t xml:space="preserve">ui=</w:t>
      </w:r>
      <w:r>
        <w:t xml:space="preserve"> </w:t>
      </w:r>
      <w:r>
        <w:t xml:space="preserve">token that records the panel arrangement — no dialog, no summary, no length</w:t>
      </w:r>
      <w:r>
        <w:t xml:space="preserve"> </w:t>
      </w:r>
      <w:r>
        <w:t xml:space="preserve">check. The</w:t>
      </w:r>
      <w:r>
        <w:t xml:space="preserve"> </w:t>
      </w:r>
      <w:r>
        <w:rPr>
          <w:b/>
          <w:bCs/>
        </w:rPr>
        <w:t xml:space="preserve">Share</w:t>
      </w:r>
      <w:r>
        <w:t xml:space="preserve"> </w:t>
      </w:r>
      <w:r>
        <w:t xml:space="preserve">at the foot of the Report tool opens the real dialog described next, and is the</w:t>
      </w:r>
      <w:r>
        <w:t xml:space="preserve"> </w:t>
      </w:r>
      <w:r>
        <w:t xml:space="preserve">one to use whenever places are involved.</w:t>
      </w:r>
    </w:p>
    <w:bookmarkEnd w:id="523"/>
    <w:bookmarkStart w:id="534" w:name="sec-atlas-place-links"/>
    <w:p>
      <w:pPr>
        <w:pStyle w:val="Heading2"/>
      </w:pPr>
      <w:r>
        <w:t xml:space="preserve">21.7 How places are stored in the link</w:t>
      </w:r>
    </w:p>
    <w:p>
      <w:pPr>
        <w:pStyle w:val="FirstParagraph"/>
      </w:pPr>
      <w:r>
        <w:t xml:space="preserve">A place never lives on a server: it is encoded directly into the URL fragment (</w:t>
      </w:r>
      <w:r>
        <w:rPr>
          <w:rStyle w:val="VerbatimChar"/>
        </w:rPr>
        <w:t xml:space="preserve">#pl=</w:t>
      </w:r>
      <w:r>
        <w:t xml:space="preserve">, never the</w:t>
      </w:r>
      <w:r>
        <w:t xml:space="preserve"> </w:t>
      </w:r>
      <w:r>
        <w:t xml:space="preserve">query string, so it is never sent to a server or a referrer), so opening a shared link reproduces</w:t>
      </w:r>
      <w:r>
        <w:t xml:space="preserve"> </w:t>
      </w:r>
      <w:r>
        <w:t xml:space="preserve">the sender’s exact area. Every analysis runs on the</w:t>
      </w:r>
      <w:r>
        <w:t xml:space="preserve"> </w:t>
      </w:r>
      <w:r>
        <w:rPr>
          <w:b/>
          <w:bCs/>
        </w:rPr>
        <w:t xml:space="preserve">decoded</w:t>
      </w:r>
      <w:r>
        <w:t xml:space="preserve"> </w:t>
      </w:r>
      <w:r>
        <w:t xml:space="preserve">geometry, never the geometry as</w:t>
      </w:r>
      <w:r>
        <w:t xml:space="preserve"> </w:t>
      </w:r>
      <w:r>
        <w:t xml:space="preserve">drawn, so the numbers can never diverge between sender and recipient. Places are joined with</w:t>
      </w:r>
      <w:r>
        <w:t xml:space="preserve"> </w:t>
      </w:r>
      <w:r>
        <w:rPr>
          <w:rStyle w:val="VerbatimChar"/>
        </w:rPr>
        <w:t xml:space="preserve">~</w:t>
      </w:r>
      <w:r>
        <w:t xml:space="preserve">:</w:t>
      </w:r>
    </w:p>
    <w:p>
      <w:pPr>
        <w:pStyle w:val="SourceCode"/>
      </w:pPr>
      <w:r>
        <w:rPr>
          <w:rStyle w:val="VerbatimChar"/>
        </w:rPr>
        <w:t xml:space="preserve">#pl=z.pa.GAA~g1.Gulf%20box.EAMBAQSf_grYrQPQDwAA0A_PDwA~p.NMS%3ACINMS.Channel%20Islands</w:t>
      </w:r>
    </w:p>
    <w:p>
      <w:pPr>
        <w:pStyle w:val="FirstParagraph"/>
      </w:pPr>
      <w:r>
        <w:t xml:space="preserve">(the decoded form; the address bar itself percent-encodes</w:t>
      </w:r>
      <w:r>
        <w:t xml:space="preserve"> </w:t>
      </w:r>
      <w:r>
        <w:rPr>
          <w:rStyle w:val="VerbatimChar"/>
        </w:rPr>
        <w:t xml:space="preserve">~</w:t>
      </w:r>
      <w:r>
        <w:t xml:space="preserve"> </w:t>
      </w:r>
      <w:r>
        <w:t xml:space="preserve">and other reserved characters)</w:t>
      </w:r>
    </w:p>
    <w:p>
      <w:pPr>
        <w:pStyle w:val="Compact"/>
        <w:numPr>
          <w:ilvl w:val="0"/>
          <w:numId w:val="1060"/>
        </w:numPr>
      </w:pPr>
      <w:r>
        <w:rPr>
          <w:rStyle w:val="VerbatimChar"/>
          <w:b/>
          <w:bCs/>
        </w:rPr>
        <w:t xml:space="preserve">z.&lt;set&gt;.&lt;key&gt;[,&lt;key&gt;...]</w:t>
      </w:r>
      <w:r>
        <w:t xml:space="preserve"> </w:t>
      </w:r>
      <w:r>
        <w:t xml:space="preserve">— a reference to a</w:t>
      </w:r>
      <w:r>
        <w:t xml:space="preserve"> </w:t>
      </w:r>
      <w:r>
        <w:rPr>
          <w:i/>
          <w:iCs/>
        </w:rPr>
        <w:t xml:space="preserve">built-in</w:t>
      </w:r>
      <w:r>
        <w:t xml:space="preserve"> </w:t>
      </w:r>
      <w:r>
        <w:t xml:space="preserve">zone (</w:t>
      </w:r>
      <w:r>
        <w:rPr>
          <w:rStyle w:val="VerbatimChar"/>
        </w:rPr>
        <w:t xml:space="preserve">pa</w:t>
      </w:r>
      <w:r>
        <w:t xml:space="preserve"> </w:t>
      </w:r>
      <w:r>
        <w:t xml:space="preserve">Program Area,</w:t>
      </w:r>
      <w:r>
        <w:t xml:space="preserve"> </w:t>
      </w:r>
      <w:r>
        <w:rPr>
          <w:rStyle w:val="VerbatimChar"/>
        </w:rPr>
        <w:t xml:space="preserve">pl</w:t>
      </w:r>
      <w:r>
        <w:t xml:space="preserve"> </w:t>
      </w:r>
      <w:r>
        <w:t xml:space="preserve">Planning Area,</w:t>
      </w:r>
      <w:r>
        <w:t xml:space="preserve"> </w:t>
      </w:r>
      <w:r>
        <w:rPr>
          <w:rStyle w:val="VerbatimChar"/>
        </w:rPr>
        <w:t xml:space="preserve">er</w:t>
      </w:r>
      <w:r>
        <w:t xml:space="preserve"> </w:t>
      </w:r>
      <w:r>
        <w:t xml:space="preserve">ecoregion,</w:t>
      </w:r>
      <w:r>
        <w:t xml:space="preserve"> </w:t>
      </w:r>
      <w:r>
        <w:rPr>
          <w:rStyle w:val="VerbatimChar"/>
        </w:rPr>
        <w:t xml:space="preserve">sr</w:t>
      </w:r>
      <w:r>
        <w:t xml:space="preserve"> </w:t>
      </w:r>
      <w:r>
        <w:t xml:space="preserve">subregion); its geometry comes from the release’s own</w:t>
      </w:r>
      <w:r>
        <w:t xml:space="preserve"> </w:t>
      </w:r>
      <w:r>
        <w:t xml:space="preserve">PMTiles.</w:t>
      </w:r>
    </w:p>
    <w:p>
      <w:pPr>
        <w:pStyle w:val="Compact"/>
        <w:numPr>
          <w:ilvl w:val="0"/>
          <w:numId w:val="1060"/>
        </w:numPr>
      </w:pPr>
      <w:r>
        <w:rPr>
          <w:rStyle w:val="VerbatimChar"/>
          <w:b/>
          <w:bCs/>
        </w:rPr>
        <w:t xml:space="preserve">g1.&lt;name&gt;.&lt;base64url bytes&gt;</w:t>
      </w:r>
      <w:r>
        <w:t xml:space="preserve"> </w:t>
      </w:r>
      <w:r>
        <w:t xml:space="preserve">— a drawn, typed or uploaded polygon, carried inline as a</w:t>
      </w:r>
      <w:r>
        <w:t xml:space="preserve"> </w:t>
      </w:r>
      <w:r>
        <w:t xml:space="preserve">compact binary encoding (see</w:t>
      </w:r>
      <w:r>
        <w:t xml:space="preserve"> </w:t>
      </w:r>
      <w:r>
        <w:t xml:space="preserve">“For developers”</w:t>
      </w:r>
      <w:r>
        <w:t xml:space="preserve"> </w:t>
      </w:r>
      <w:r>
        <w:t xml:space="preserve">below).</w:t>
      </w:r>
    </w:p>
    <w:p>
      <w:pPr>
        <w:pStyle w:val="Compact"/>
        <w:numPr>
          <w:ilvl w:val="0"/>
          <w:numId w:val="1060"/>
        </w:numPr>
      </w:pPr>
      <w:r>
        <w:rPr>
          <w:rStyle w:val="VerbatimChar"/>
          <w:b/>
          <w:bCs/>
        </w:rPr>
        <w:t xml:space="preserve">p.&lt;place_id&gt;.&lt;name&gt;</w:t>
      </w:r>
      <w:r>
        <w:t xml:space="preserve"> </w:t>
      </w:r>
      <w:r>
        <w:t xml:space="preserve">— a gazetteer place, carried</w:t>
      </w:r>
      <w:r>
        <w:t xml:space="preserve"> </w:t>
      </w:r>
      <w:r>
        <w:rPr>
          <w:b/>
          <w:bCs/>
        </w:rPr>
        <w:t xml:space="preserve">by reference</w:t>
      </w:r>
      <w:r>
        <w:t xml:space="preserve">: only the gazetteer’s</w:t>
      </w:r>
      <w:r>
        <w:t xml:space="preserve"> </w:t>
      </w:r>
      <w:r>
        <w:rPr>
          <w:rStyle w:val="VerbatimChar"/>
        </w:rPr>
        <w:t xml:space="preserve">place_id</w:t>
      </w:r>
      <w:r>
        <w:t xml:space="preserve"> </w:t>
      </w:r>
      <w:r>
        <w:t xml:space="preserve">and a display name travel, e.g. </w:t>
      </w:r>
      <w:r>
        <w:rPr>
          <w:rStyle w:val="VerbatimChar"/>
        </w:rPr>
        <w:t xml:space="preserve">p.NMS%3ACINMS.Channel%20Islands</w:t>
      </w:r>
      <w:r>
        <w:t xml:space="preserve">. It is fetched when</w:t>
      </w:r>
      <w:r>
        <w:t xml:space="preserve"> </w:t>
      </w:r>
      <w:r>
        <w:t xml:space="preserve">the link opens and analysed like a drawn place; if the gazetteer cannot be reached the place stays</w:t>
      </w:r>
      <w:r>
        <w:t xml:space="preserve"> </w:t>
      </w:r>
      <w:r>
        <w:t xml:space="preserve">in the list (and the link) with a</w:t>
      </w:r>
      <w:r>
        <w:t xml:space="preserve"> </w:t>
      </w:r>
      <w:r>
        <w:t xml:space="preserve">“couldn’t load”</w:t>
      </w:r>
      <w:r>
        <w:t xml:space="preserve"> </w:t>
      </w:r>
      <w:r>
        <w:t xml:space="preserve">note and a Retry. Links made before 0.10.88 open</w:t>
      </w:r>
      <w:r>
        <w:t xml:space="preserve"> </w:t>
      </w:r>
      <w:r>
        <w:t xml:space="preserve">unchanged, but an older Atlas drops a</w:t>
      </w:r>
      <w:r>
        <w:t xml:space="preserve"> </w:t>
      </w:r>
      <w:r>
        <w:rPr>
          <w:rStyle w:val="VerbatimChar"/>
        </w:rPr>
        <w:t xml:space="preserve">p.</w:t>
      </w:r>
      <w:r>
        <w:t xml:space="preserve"> </w:t>
      </w:r>
      <w:r>
        <w:t xml:space="preserve">place it cannot read.</w:t>
      </w:r>
    </w:p>
    <w:p>
      <w:pPr>
        <w:pStyle w:val="Compact"/>
        <w:numPr>
          <w:ilvl w:val="0"/>
          <w:numId w:val="1060"/>
        </w:numPr>
      </w:pPr>
      <w:r>
        <w:rPr>
          <w:rStyle w:val="VerbatimChar"/>
          <w:b/>
          <w:bCs/>
        </w:rPr>
        <w:t xml:space="preserve">u.&lt;name&gt;.&lt;8-hex-digit digest&gt;</w:t>
      </w:r>
      <w:r>
        <w:t xml:space="preserve"> </w:t>
      </w:r>
      <w:r>
        <w:t xml:space="preserve">— the fallback for a place too large to carry (see below):</w:t>
      </w:r>
      <w:r>
        <w:t xml:space="preserve"> </w:t>
      </w:r>
      <w:r>
        <w:t xml:space="preserve">only a name and a digest travel.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Applications/quarto/share/formats/docx/note.png" id="5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developers: the</w:t>
            </w:r>
            <w:r>
              <w:t xml:space="preserve"> </w:t>
            </w:r>
            <w:r>
              <w:rPr>
                <w:rStyle w:val="VerbatimChar"/>
              </w:rPr>
              <w:t xml:space="preserve">g1</w:t>
            </w:r>
            <w:r>
              <w:t xml:space="preserve"> </w:t>
            </w:r>
            <w:r>
              <w:t xml:space="preserve">byte layout</w:t>
            </w:r>
          </w:p>
        </w:tc>
      </w:tr>
      <w:tr>
        <w:trPr>
          <w:cantSplit/>
        </w:trPr>
        <w:tc>
          <w:tcPr>
            <w:tcMar>
              <w:top w:w="108" w:type="dxa"/>
              <w:bottom w:w="108" w:type="dxa"/>
            </w:tcMar>
          </w:tcPr>
          <w:p>
            <w:pPr>
              <w:pStyle w:val="BodyText"/>
            </w:pPr>
            <w:pPr>
              <w:spacing w:before="16" w:after="16"/>
            </w:pPr>
            <w:r>
              <w:t xml:space="preserve">Each ring is quantized to a fixed precision (3 decimal digits, ~110 m — 4 digits when the place’s</w:t>
            </w:r>
            <w:r>
              <w:t xml:space="preserve"> </w:t>
            </w:r>
            <w:r>
              <w:t xml:space="preserve">bounding box is under 0.5° in</w:t>
            </w:r>
            <w:r>
              <w:t xml:space="preserve"> </w:t>
            </w:r>
            <w:r>
              <w:rPr>
                <w:b/>
                <w:bCs/>
              </w:rPr>
              <w:t xml:space="preserve">both</w:t>
            </w:r>
            <w:r>
              <w:t xml:space="preserve"> </w:t>
            </w:r>
            <w:r>
              <w:t xml:space="preserve">directions), delta-encoded vertex-to-vertex as zigzag</w:t>
            </w:r>
            <w:r>
              <w:t xml:space="preserve"> </w:t>
            </w:r>
            <w:r>
              <w:t xml:space="preserve">varints running across rings and polygons, and base64url-encoded with no general-purpose</w:t>
            </w:r>
            <w:r>
              <w:t xml:space="preserve"> </w:t>
            </w:r>
            <w:r>
              <w:t xml:space="preserve">compression (delta varints are already dense). Longitudes are stored unwrapped, so a place crossing</w:t>
            </w:r>
            <w:r>
              <w:t xml:space="preserve"> </w:t>
            </w:r>
            <w:r>
              <w:t xml:space="preserve">the antimeridian round-trips without a special case.</w:t>
            </w:r>
            <w:r>
              <w:t xml:space="preserve"> </w:t>
            </w:r>
            <w:r>
              <w:rPr>
                <w:rStyle w:val="VerbatimChar"/>
              </w:rPr>
              <w:t xml:space="preserve">msens::place_decode()</w:t>
            </w:r>
            <w:r>
              <w:t xml:space="preserve"> </w:t>
            </w:r>
            <w:r>
              <w:t xml:space="preserve">is the R decoder; the</w:t>
            </w:r>
            <w:r>
              <w:t xml:space="preserve"> </w:t>
            </w:r>
            <w:r>
              <w:t xml:space="preserve">shared test fixture (</w:t>
            </w:r>
            <w:r>
              <w:rPr>
                <w:rStyle w:val="VerbatimChar"/>
              </w:rPr>
              <w:t xml:space="preserve">tests/fixtures/place_codec.json</w:t>
            </w:r>
            <w:r>
              <w:t xml:space="preserve">) matches it byte for byte.</w:t>
            </w:r>
          </w:p>
          <w:p/>
        </w:tc>
      </w:tr>
    </w:tbl>
    <w:p>
      <w:pPr>
        <w:pStyle w:val="BodyText"/>
      </w:pPr>
      <w:r>
        <w:rPr>
          <w:b/>
          <w:bCs/>
        </w:rPr>
        <w:t xml:space="preserve">The link’s length is checked only when you open the Report tool’s Share dialog.</w:t>
      </w:r>
      <w:r>
        <w:t xml:space="preserve"> </w:t>
      </w:r>
      <w:r>
        <w:t xml:space="preserve">Adding a place, or copying the</w:t>
      </w:r>
      <w:r>
        <w:t xml:space="preserve"> </w:t>
      </w:r>
      <w:r>
        <w:t xml:space="preserve">top-bar Share link, carries the unsimplified geometry (already quantized to 3–4 decimals) regardless</w:t>
      </w:r>
      <w:r>
        <w:t xml:space="preserve"> </w:t>
      </w:r>
      <w:r>
        <w:t xml:space="preserve">of length. In that dialog: up to</w:t>
      </w:r>
      <w:r>
        <w:t xml:space="preserve"> </w:t>
      </w:r>
      <w:r>
        <w:rPr>
          <w:b/>
          <w:bCs/>
        </w:rPr>
        <w:t xml:space="preserve">2,000 characters</w:t>
      </w:r>
      <w:r>
        <w:t xml:space="preserve"> </w:t>
      </w:r>
      <w:r>
        <w:t xml:space="preserve">silently; between 2,000 and 8,000 a note reads</w:t>
      </w:r>
      <w:r>
        <w:t xml:space="preserve"> </w:t>
      </w:r>
      <w:r>
        <w:t xml:space="preserve">“This link is over 2,000 characters — some chat apps and older browsers truncate very long links,”</w:t>
      </w:r>
      <w:r>
        <w:t xml:space="preserve"> </w:t>
      </w:r>
      <w:r>
        <w:t xml:space="preserve">with</w:t>
      </w:r>
      <w:r>
        <w:t xml:space="preserve"> </w:t>
      </w:r>
      <w:r>
        <w:rPr>
          <w:b/>
          <w:bCs/>
        </w:rPr>
        <w:t xml:space="preserve">Copy anyway</w:t>
      </w:r>
      <w:r>
        <w:t xml:space="preserve">; only</w:t>
      </w:r>
      <w:r>
        <w:t xml:space="preserve"> </w:t>
      </w:r>
      <w:r>
        <w:rPr>
          <w:b/>
          <w:bCs/>
        </w:rPr>
        <w:t xml:space="preserve">above 8,000</w:t>
      </w:r>
      <w:r>
        <w:t xml:space="preserve"> </w:t>
      </w:r>
      <w:r>
        <w:t xml:space="preserve">does the Douglas-Peucker ladder run — 0.001° doubling to</w:t>
      </w:r>
      <w:r>
        <w:t xml:space="preserve"> </w:t>
      </w:r>
      <w:r>
        <w:t xml:space="preserve">0.016°, a rung accepted only while the area changes by no more than 1% and every ring stays simple —</w:t>
      </w:r>
      <w:r>
        <w:t xml:space="preserve"> </w:t>
      </w:r>
      <w:r>
        <w:rPr>
          <w:b/>
          <w:bCs/>
        </w:rPr>
        <w:t xml:space="preserve">aiming to bring the link back under 2,000 characters</w:t>
      </w:r>
      <w:r>
        <w:t xml:space="preserve">; it stops at the first rung that does, or,</w:t>
      </w:r>
      <w:r>
        <w:t xml:space="preserve"> </w:t>
      </w:r>
      <w:r>
        <w:t xml:space="preserve">if none does, uses the coarsest accepted rung provided that still fits under 8,000. This is never</w:t>
      </w:r>
      <w:r>
        <w:t xml:space="preserve"> </w:t>
      </w:r>
      <w:r>
        <w:t xml:space="preserve">silent: the dialog shows the before/after (vertices, area change, cells,</w:t>
      </w:r>
      <w:r>
        <w:t xml:space="preserve"> </w:t>
      </w:r>
      <w:hyperlink w:anchor="fig-atlas-share-ladder">
        <w:r>
          <w:rPr>
            <w:rStyle w:val="Hyperlink"/>
          </w:rPr>
          <w:t xml:space="preserve">Figure 21.9</w:t>
        </w:r>
      </w:hyperlink>
      <w:r>
        <w:t xml:space="preserve">),</w:t>
      </w:r>
      <w:r>
        <w:t xml:space="preserve"> </w:t>
      </w:r>
      <w:r>
        <w:t xml:space="preserve">and you click</w:t>
      </w:r>
      <w:r>
        <w:t xml:space="preserve"> </w:t>
      </w:r>
      <w:r>
        <w:rPr>
          <w:b/>
          <w:bCs/>
        </w:rPr>
        <w:t xml:space="preserve">“Simplify and update the numbers”</w:t>
      </w:r>
      <w:r>
        <w:t xml:space="preserve"> </w:t>
      </w:r>
      <w:r>
        <w:t xml:space="preserve">to accept it — which is also what rewrites</w:t>
      </w:r>
      <w:r>
        <w:t xml:space="preserve"> </w:t>
      </w:r>
      <w:r>
        <w:rPr>
          <w:rStyle w:val="VerbatimChar"/>
        </w:rPr>
        <w:t xml:space="preserve">#pl=</w:t>
      </w:r>
      <w:r>
        <w:t xml:space="preserve">, so the copied link and the displayed numbers can never disagree. If even the coarsest rung</w:t>
      </w:r>
      <w:r>
        <w:t xml:space="preserve"> </w:t>
      </w:r>
      <w:r>
        <w:t xml:space="preserve">is still too long,</w:t>
      </w:r>
      <w:r>
        <w:t xml:space="preserve"> </w:t>
      </w:r>
      <w:r>
        <w:rPr>
          <w:b/>
          <w:bCs/>
        </w:rPr>
        <w:t xml:space="preserve">Copy link anyway</w:t>
      </w:r>
      <w:r>
        <w:t xml:space="preserve"> </w:t>
      </w:r>
      <w:r>
        <w:t xml:space="preserve">copies</w:t>
      </w:r>
      <w:r>
        <w:t xml:space="preserve"> </w:t>
      </w:r>
      <w:r>
        <w:rPr>
          <w:b/>
          <w:bCs/>
        </w:rPr>
        <w:t xml:space="preserve">every</w:t>
      </w:r>
      <w:r>
        <w:t xml:space="preserve"> </w:t>
      </w:r>
      <w:r>
        <w:t xml:space="preserve">drawn, typed or uploaded place (zone places</w:t>
      </w:r>
      <w:r>
        <w:t xml:space="preserve"> </w:t>
      </w:r>
      <w:r>
        <w:t xml:space="preserve">are unaffected) as a</w:t>
      </w:r>
      <w:r>
        <w:t xml:space="preserve"> </w:t>
      </w:r>
      <w:r>
        <w:rPr>
          <w:rStyle w:val="VerbatimChar"/>
        </w:rPr>
        <w:t xml:space="preserve">u.</w:t>
      </w:r>
      <w:r>
        <w:t xml:space="preserve"> </w:t>
      </w:r>
      <w:r>
        <w:t xml:space="preserve">token instead — your own address bar and session keep the real shapes; the</w:t>
      </w:r>
      <w:r>
        <w:t xml:space="preserve"> </w:t>
      </w:r>
      <w:r>
        <w:t xml:space="preserve">recipient of that copied link sees a named row with no results and a</w:t>
      </w:r>
      <w:r>
        <w:t xml:space="preserve"> </w:t>
      </w:r>
      <w:r>
        <w:t xml:space="preserve">“not analysed yet”</w:t>
      </w:r>
      <w:r>
        <w:t xml:space="preserve"> </w:t>
      </w:r>
      <w:r>
        <w:t xml:space="preserve">chip, never</w:t>
      </w:r>
      <w:r>
        <w:t xml:space="preserve"> </w:t>
      </w:r>
      <w:r>
        <w:t xml:space="preserve">a prompt. The dialog’s own advice at that point is to</w:t>
      </w:r>
      <w:r>
        <w:t xml:space="preserve"> </w:t>
      </w:r>
      <w:r>
        <w:rPr>
          <w:b/>
          <w:bCs/>
        </w:rPr>
        <w:t xml:space="preserve">download the place as GeoJSON</w:t>
      </w:r>
      <w:r>
        <w:t xml:space="preserve"> </w:t>
      </w:r>
      <w:r>
        <w:t xml:space="preserve">and send</w:t>
      </w:r>
      <w:r>
        <w:t xml:space="preserve"> </w:t>
      </w:r>
      <w:r>
        <w:t xml:space="preserve">that alongside the link. A single small rectangle almost always fits in the silent budget; that is</w:t>
      </w:r>
      <w:r>
        <w:t xml:space="preserve"> </w:t>
      </w:r>
      <w:r>
        <w:t xml:space="preserve">not guaranteed for several places together, or a long base URL.</w:t>
      </w:r>
    </w:p>
    <w:tbl>
      <w:tblPr>
        <w:tblStyle w:val="Table"/>
        <w:tblW w:type="pct" w:w="5000"/>
        <w:tblLayout w:type="fixed"/>
        <w:tblLook w:firstRow="0" w:lastRow="0" w:firstColumn="0" w:lastColumn="0" w:noHBand="0" w:noVBand="0" w:val="0000"/>
      </w:tblPr>
      <w:tblGrid>
        <w:gridCol w:w="7920"/>
      </w:tblGrid>
      <w:tr>
        <w:tc>
          <w:tcPr/>
          <w:bookmarkStart w:id="529" w:name="fig-atlas-share"/>
          <w:p>
            <w:pPr>
              <w:pStyle w:val="Compact"/>
              <w:jc w:val="center"/>
            </w:pPr>
            <w:r>
              <w:drawing>
                <wp:inline>
                  <wp:extent cx="5334000" cy="3333750"/>
                  <wp:effectExtent b="0" l="0" r="0" t="0"/>
                  <wp:docPr descr="" title="" id="527" name="Picture"/>
                  <a:graphic>
                    <a:graphicData uri="http://schemas.openxmlformats.org/drawingml/2006/picture">
                      <pic:pic>
                        <pic:nvPicPr>
                          <pic:cNvPr descr="images/atlas/desktop-share-dialog.png" id="528" name="Picture"/>
                          <pic:cNvPicPr>
                            <a:picLocks noChangeArrowheads="1" noChangeAspect="1"/>
                          </pic:cNvPicPr>
                        </pic:nvPicPr>
                        <pic:blipFill>
                          <a:blip r:embed="rId52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21.8: The Share dialog for one place (the Program Area GAA): what the link carries and its exact length. The dialog is opened from the Share button at the foot of the Report tool. Atlas 0.10.91, release v7, 2026-10-16.</w:t>
            </w:r>
          </w:p>
          <w:bookmarkEnd w:id="52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33" w:name="fig-atlas-share-ladder"/>
          <w:p>
            <w:pPr>
              <w:pStyle w:val="Compact"/>
              <w:jc w:val="center"/>
            </w:pPr>
            <w:r>
              <w:drawing>
                <wp:inline>
                  <wp:extent cx="5334000" cy="3333750"/>
                  <wp:effectExtent b="0" l="0" r="0" t="0"/>
                  <wp:docPr descr="" title="" id="531" name="Picture"/>
                  <a:graphic>
                    <a:graphicData uri="http://schemas.openxmlformats.org/drawingml/2006/picture">
                      <pic:pic>
                        <pic:nvPicPr>
                          <pic:cNvPr descr="images/atlas/desktop-share-ladder.png" id="532" name="Picture"/>
                          <pic:cNvPicPr>
                            <a:picLocks noChangeArrowheads="1" noChangeAspect="1"/>
                          </pic:cNvPicPr>
                        </pic:nvPicPr>
                        <pic:blipFill>
                          <a:blip r:embed="rId53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21.9: The Share dialog’s simplification ladder for an oversized place (a 3,600-point coordinate list in the Gulf of America): the link length shown, the before/after vertex count, area change and cell count of the proposed rung, and the</w:t>
            </w:r>
            <w:r>
              <w:t xml:space="preserve"> </w:t>
            </w:r>
            <w:r>
              <w:t xml:space="preserve">“Simplify and update the numbers”</w:t>
            </w:r>
            <w:r>
              <w:t xml:space="preserve"> </w:t>
            </w:r>
            <w:r>
              <w:t xml:space="preserve">button. Atlas 0.10.92, release v7, 2026-10-16.</w:t>
            </w:r>
          </w:p>
          <w:bookmarkEnd w:id="533"/>
        </w:tc>
      </w:tr>
    </w:tbl>
    <w:p>
      <w:pPr>
        <w:pStyle w:val="BodyText"/>
      </w:pPr>
      <w:r>
        <w:t xml:space="preserve">The rest of the view travels the same URL-is-the-state way, in the query string:</w:t>
      </w:r>
      <w:r>
        <w:t xml:space="preserve"> </w:t>
      </w:r>
      <w:r>
        <w:rPr>
          <w:rStyle w:val="VerbatimChar"/>
        </w:rPr>
        <w:t xml:space="preserve">ver</w:t>
      </w:r>
      <w:r>
        <w:t xml:space="preserve">,</w:t>
      </w:r>
      <w:r>
        <w:t xml:space="preserve"> </w:t>
      </w:r>
      <w:r>
        <w:rPr>
          <w:rStyle w:val="VerbatimChar"/>
        </w:rPr>
        <w:t xml:space="preserve">lens</w:t>
      </w:r>
      <w:r>
        <w:t xml:space="preserve">,</w:t>
      </w:r>
      <w:r>
        <w:t xml:space="preserve"> </w:t>
      </w:r>
      <w:r>
        <w:rPr>
          <w:rStyle w:val="VerbatimChar"/>
        </w:rPr>
        <w:t xml:space="preserve">lyr</w:t>
      </w:r>
      <w:r>
        <w:t xml:space="preserve">/</w:t>
      </w:r>
      <w:r>
        <w:rPr>
          <w:rStyle w:val="VerbatimChar"/>
        </w:rPr>
        <w:t xml:space="preserve">sp</w:t>
      </w:r>
      <w:r>
        <w:t xml:space="preserve"> </w:t>
      </w:r>
      <w:r>
        <w:t xml:space="preserve">(with</w:t>
      </w:r>
      <w:r>
        <w:t xml:space="preserve"> </w:t>
      </w:r>
      <w:r>
        <w:rPr>
          <w:rStyle w:val="VerbatimChar"/>
        </w:rPr>
        <w:t xml:space="preserve">in</w:t>
      </w:r>
      <w:r>
        <w:t xml:space="preserve">,</w:t>
      </w:r>
      <w:r>
        <w:t xml:space="preserve"> </w:t>
      </w:r>
      <w:r>
        <w:rPr>
          <w:rStyle w:val="VerbatimChar"/>
        </w:rPr>
        <w:t xml:space="preserve">rep</w:t>
      </w:r>
      <w:r>
        <w:t xml:space="preserve"> </w:t>
      </w:r>
      <w:r>
        <w:t xml:space="preserve">and</w:t>
      </w:r>
      <w:r>
        <w:t xml:space="preserve"> </w:t>
      </w:r>
      <w:r>
        <w:rPr>
          <w:rStyle w:val="VerbatimChar"/>
        </w:rPr>
        <w:t xml:space="preserve">us</w:t>
      </w:r>
      <w:r>
        <w:t xml:space="preserve"> </w:t>
      </w:r>
      <w:r>
        <w:t xml:space="preserve">for a species’ input, representation and US-waters filter),</w:t>
      </w:r>
      <w:r>
        <w:t xml:space="preserve"> </w:t>
      </w:r>
      <w:r>
        <w:rPr>
          <w:rStyle w:val="VerbatimChar"/>
        </w:rPr>
        <w:t xml:space="preserve">unit</w:t>
      </w:r>
      <w:r>
        <w:t xml:space="preserve">,</w:t>
      </w:r>
      <w:r>
        <w:t xml:space="preserve"> </w:t>
      </w:r>
      <w:r>
        <w:rPr>
          <w:rStyle w:val="VerbatimChar"/>
        </w:rPr>
        <w:t xml:space="preserve">area</w:t>
      </w:r>
      <w:r>
        <w:t xml:space="preserve">,</w:t>
      </w:r>
      <w:r>
        <w:t xml:space="preserve"> </w:t>
      </w:r>
      <w:r>
        <w:rPr>
          <w:rStyle w:val="VerbatimChar"/>
        </w:rPr>
        <w:t xml:space="preserve">map</w:t>
      </w:r>
      <w:r>
        <w:t xml:space="preserve"> </w:t>
      </w:r>
      <w:r>
        <w:t xml:space="preserve">(camera),</w:t>
      </w:r>
      <w:r>
        <w:t xml:space="preserve"> </w:t>
      </w:r>
      <w:r>
        <w:rPr>
          <w:rStyle w:val="VerbatimChar"/>
        </w:rPr>
        <w:t xml:space="preserve">pal</w:t>
      </w:r>
      <w:r>
        <w:t xml:space="preserve">,</w:t>
      </w:r>
      <w:r>
        <w:t xml:space="preserve"> </w:t>
      </w:r>
      <w:r>
        <w:rPr>
          <w:rStyle w:val="VerbatimChar"/>
        </w:rPr>
        <w:t xml:space="preserve">sel</w:t>
      </w:r>
      <w:r>
        <w:t xml:space="preserve">,</w:t>
      </w:r>
      <w:r>
        <w:t xml:space="preserve"> </w:t>
      </w:r>
      <w:r>
        <w:rPr>
          <w:rStyle w:val="VerbatimChar"/>
        </w:rPr>
        <w:t xml:space="preserve">layers</w:t>
      </w:r>
      <w:r>
        <w:t xml:space="preserve"> </w:t>
      </w:r>
      <w:r>
        <w:t xml:space="preserve">(the stack deltas from</w:t>
      </w:r>
      <w:r>
        <w:t xml:space="preserve"> </w:t>
      </w:r>
      <w:hyperlink w:anchor="sec-atlas-scores">
        <w:r>
          <w:rPr>
            <w:rStyle w:val="Hyperlink"/>
          </w:rPr>
          <w:t xml:space="preserve">Section 21.4</w:t>
        </w:r>
      </w:hyperlink>
      <w:r>
        <w:t xml:space="preserve">),</w:t>
      </w:r>
      <w:r>
        <w:t xml:space="preserve"> </w:t>
      </w:r>
      <w:r>
        <w:rPr>
          <w:rStyle w:val="VerbatimChar"/>
        </w:rPr>
        <w:t xml:space="preserve">zl</w:t>
      </w:r>
      <w:r>
        <w:t xml:space="preserve"> </w:t>
      </w:r>
      <w:r>
        <w:t xml:space="preserve">(zoom to layer),</w:t>
      </w:r>
      <w:r>
        <w:t xml:space="preserve"> </w:t>
      </w:r>
      <w:r>
        <w:rPr>
          <w:rStyle w:val="VerbatimChar"/>
        </w:rPr>
        <w:t xml:space="preserve">theme</w:t>
      </w:r>
      <w:r>
        <w:t xml:space="preserve"> </w:t>
      </w:r>
      <w:r>
        <w:t xml:space="preserve">and</w:t>
      </w:r>
      <w:r>
        <w:t xml:space="preserve"> </w:t>
      </w:r>
      <w:r>
        <w:rPr>
          <w:rStyle w:val="VerbatimChar"/>
        </w:rPr>
        <w:t xml:space="preserve">tour</w:t>
      </w:r>
      <w:r>
        <w:t xml:space="preserve"> </w:t>
      </w:r>
      <w:r>
        <w:t xml:space="preserve">— each written only when it differs</w:t>
      </w:r>
      <w:r>
        <w:t xml:space="preserve"> </w:t>
      </w:r>
      <w:r>
        <w:t xml:space="preserve">from its default.</w:t>
      </w:r>
      <w:r>
        <w:t xml:space="preserve"> </w:t>
      </w:r>
      <w:r>
        <w:rPr>
          <w:rStyle w:val="VerbatimChar"/>
        </w:rPr>
        <w:t xml:space="preserve">?tool=report</w:t>
      </w:r>
      <w:r>
        <w:t xml:space="preserve"> </w:t>
      </w:r>
      <w:r>
        <w:t xml:space="preserve">(or</w:t>
      </w:r>
      <w:r>
        <w:t xml:space="preserve"> </w:t>
      </w:r>
      <w:r>
        <w:rPr>
          <w:rStyle w:val="VerbatimChar"/>
        </w:rPr>
        <w:t xml:space="preserve">layers</w:t>
      </w:r>
      <w:r>
        <w:t xml:space="preserve">,</w:t>
      </w:r>
      <w:r>
        <w:t xml:space="preserve"> </w:t>
      </w:r>
      <w:r>
        <w:rPr>
          <w:rStyle w:val="VerbatimChar"/>
        </w:rPr>
        <w:t xml:space="preserve">details</w:t>
      </w:r>
      <w:r>
        <w:t xml:space="preserve">,</w:t>
      </w:r>
      <w:r>
        <w:t xml:space="preserve"> </w:t>
      </w:r>
      <w:r>
        <w:rPr>
          <w:rStyle w:val="VerbatimChar"/>
        </w:rPr>
        <w:t xml:space="preserve">table</w:t>
      </w:r>
      <w:r>
        <w:t xml:space="preserve">) opens that rail tool and counts as a deep link, so the</w:t>
      </w:r>
      <w:r>
        <w:t xml:space="preserve"> </w:t>
      </w:r>
      <w:r>
        <w:t xml:space="preserve">first-visit welcome does not cover it; the top-bar Share adds a</w:t>
      </w:r>
      <w:r>
        <w:t xml:space="preserve"> </w:t>
      </w:r>
      <w:r>
        <w:rPr>
          <w:rStyle w:val="VerbatimChar"/>
        </w:rPr>
        <w:t xml:space="preserve">ui=</w:t>
      </w:r>
      <w:r>
        <w:t xml:space="preserve"> </w:t>
      </w:r>
      <w:r>
        <w:t xml:space="preserve">token for the panel</w:t>
      </w:r>
      <w:r>
        <w:t xml:space="preserve"> </w:t>
      </w:r>
      <w:r>
        <w:t xml:space="preserve">arrangement. A link from the retired Shiny apps (</w:t>
      </w:r>
      <w:r>
        <w:rPr>
          <w:rStyle w:val="VerbatimChar"/>
        </w:rPr>
        <w:t xml:space="preserve">mdl_key</w:t>
      </w:r>
      <w:r>
        <w:t xml:space="preserve">,</w:t>
      </w:r>
      <w:r>
        <w:t xml:space="preserve"> </w:t>
      </w:r>
      <w:r>
        <w:rPr>
          <w:rStyle w:val="VerbatimChar"/>
        </w:rPr>
        <w:t xml:space="preserve">mdl_seq</w:t>
      </w:r>
      <w:r>
        <w:t xml:space="preserve">) is rewritten to</w:t>
      </w:r>
      <w:r>
        <w:t xml:space="preserve"> </w:t>
      </w:r>
      <w:r>
        <w:rPr>
          <w:rStyle w:val="VerbatimChar"/>
        </w:rPr>
        <w:t xml:space="preserve">sp</w:t>
      </w:r>
      <w:r>
        <w:t xml:space="preserve"> </w:t>
      </w:r>
      <w:r>
        <w:t xml:space="preserve">(and</w:t>
      </w:r>
      <w:r>
        <w:t xml:space="preserve"> </w:t>
      </w:r>
      <w:r>
        <w:rPr>
          <w:rStyle w:val="VerbatimChar"/>
        </w:rPr>
        <w:t xml:space="preserve">in</w:t>
      </w:r>
      <w:r>
        <w:t xml:space="preserve"> </w:t>
      </w:r>
      <w:r>
        <w:t xml:space="preserve">when it named an input) when the Atlas loads.</w:t>
      </w:r>
    </w:p>
    <w:bookmarkEnd w:id="534"/>
    <w:bookmarkStart w:id="543" w:name="sec-atlas-flower-table"/>
    <w:p>
      <w:pPr>
        <w:pStyle w:val="Heading2"/>
      </w:pPr>
      <w:r>
        <w:t xml:space="preserve">21.8 Details and Table</w:t>
      </w:r>
    </w:p>
    <w:p>
      <w:pPr>
        <w:pStyle w:val="FirstParagraph"/>
      </w:pPr>
      <w:r>
        <w:rPr>
          <w:b/>
          <w:bCs/>
        </w:rPr>
        <w:t xml:space="preserve">Details</w:t>
      </w:r>
      <w:r>
        <w:t xml:space="preserve"> </w:t>
      </w:r>
      <w:r>
        <w:t xml:space="preserve">(the rail’s second tool) describes what was last clicked, and is the same tool in both</w:t>
      </w:r>
      <w:r>
        <w:t xml:space="preserve"> </w:t>
      </w:r>
      <w:r>
        <w:t xml:space="preserve">lenses. In the Scores lens it is the</w:t>
      </w:r>
      <w:r>
        <w:t xml:space="preserve"> </w:t>
      </w:r>
      <w:r>
        <w:rPr>
          <w:b/>
          <w:bCs/>
        </w:rPr>
        <w:t xml:space="preserve">Flower plot</w:t>
      </w:r>
      <w:r>
        <w:t xml:space="preserve"> </w:t>
      </w:r>
      <w:r>
        <w:t xml:space="preserve">for the clicked cell or Program Area, headed by</w:t>
      </w:r>
      <w:r>
        <w:t xml:space="preserve"> </w:t>
      </w:r>
      <w:r>
        <w:t xml:space="preserve">its subject (</w:t>
      </w:r>
      <w:r>
        <w:t xml:space="preserve">“Cell 3372565 · 28.275° N, 83.575° W”</w:t>
      </w:r>
      <w:r>
        <w:t xml:space="preserve"> </w:t>
      </w:r>
      <w:r>
        <w:t xml:space="preserve">or the Program Area’s full name), with</w:t>
      </w:r>
      <w:r>
        <w:t xml:space="preserve"> </w:t>
      </w:r>
      <w:r>
        <w:rPr>
          <w:b/>
          <w:bCs/>
        </w:rPr>
        <w:t xml:space="preserve">Add to</w:t>
      </w:r>
      <w:r>
        <w:rPr>
          <w:b/>
          <w:bCs/>
        </w:rPr>
        <w:t xml:space="preserve"> </w:t>
      </w:r>
      <w:r>
        <w:rPr>
          <w:b/>
          <w:bCs/>
        </w:rPr>
        <w:t xml:space="preserve">report</w:t>
      </w:r>
      <w:r>
        <w:t xml:space="preserve"> </w:t>
      </w:r>
      <w:r>
        <w:t xml:space="preserve">and</w:t>
      </w:r>
      <w:r>
        <w:t xml:space="preserve"> </w:t>
      </w:r>
      <w:r>
        <w:rPr>
          <w:b/>
          <w:bCs/>
        </w:rPr>
        <w:t xml:space="preserve">Open table</w:t>
      </w:r>
      <w:r>
        <w:t xml:space="preserve"> </w:t>
      </w:r>
      <w:r>
        <w:t xml:space="preserve">buttons; with nothing clicked it shows the flower for All US waters. In</w:t>
      </w:r>
      <w:r>
        <w:t xml:space="preserve"> </w:t>
      </w:r>
      <w:r>
        <w:t xml:space="preserve">the Species lens it is the species’ information (see the Species lens above). A drawn place’s flower</w:t>
      </w:r>
      <w:r>
        <w:t xml:space="preserve"> </w:t>
      </w:r>
      <w:r>
        <w:t xml:space="preserve">and species table live in the Report tool’s results panel instead (</w:t>
      </w:r>
      <w:hyperlink w:anchor="sec-atlas-places">
        <w:r>
          <w:rPr>
            <w:rStyle w:val="Hyperlink"/>
          </w:rPr>
          <w:t xml:space="preserve">Section 21.6</w:t>
        </w:r>
      </w:hyperlink>
      <w:r>
        <w:t xml:space="preserve">).</w:t>
      </w:r>
    </w:p>
    <w:p>
      <w:pPr>
        <w:pStyle w:val="BodyText"/>
      </w:pPr>
      <w:r>
        <w:t xml:space="preserve">The flower draws one equal-width annular petal per score component, scaled to its rescaled score;</w:t>
      </w:r>
      <w:r>
        <w:t xml:space="preserve"> </w:t>
      </w:r>
      <w:r>
        <w:t xml:space="preserve">the hub shows the</w:t>
      </w:r>
      <w:r>
        <w:t xml:space="preserve"> </w:t>
      </w:r>
      <w:r>
        <w:rPr>
          <w:b/>
          <w:bCs/>
        </w:rPr>
        <w:t xml:space="preserve">plain mean</w:t>
      </w:r>
      <w:r>
        <w:t xml:space="preserve"> </w:t>
      </w:r>
      <w:r>
        <w:t xml:space="preserve">of the components present (not a weighted mean). Since 0.10.41 the</w:t>
      </w:r>
      <w:r>
        <w:t xml:space="preserve"> </w:t>
      </w:r>
      <w:r>
        <w:t xml:space="preserve">values also list in a real table (swatch, component, score, and a Mean row) below the plot.</w:t>
      </w:r>
    </w:p>
    <w:tbl>
      <w:tblPr>
        <w:tblStyle w:val="Table"/>
        <w:tblW w:type="pct" w:w="5000"/>
        <w:tblLayout w:type="fixed"/>
        <w:tblLook w:firstRow="0" w:lastRow="0" w:firstColumn="0" w:lastColumn="0" w:noHBand="0" w:noVBand="0" w:val="0000"/>
      </w:tblPr>
      <w:tblGrid>
        <w:gridCol w:w="7920"/>
      </w:tblGrid>
      <w:tr>
        <w:tc>
          <w:tcPr/>
          <w:bookmarkStart w:id="538" w:name="fig-atlas-flower"/>
          <w:p>
            <w:pPr>
              <w:pStyle w:val="Compact"/>
              <w:jc w:val="center"/>
            </w:pPr>
            <w:r>
              <w:drawing>
                <wp:inline>
                  <wp:extent cx="5334000" cy="3333750"/>
                  <wp:effectExtent b="0" l="0" r="0" t="0"/>
                  <wp:docPr descr="" title="" id="536" name="Picture"/>
                  <a:graphic>
                    <a:graphicData uri="http://schemas.openxmlformats.org/drawingml/2006/picture">
                      <pic:pic>
                        <pic:nvPicPr>
                          <pic:cNvPr descr="images/atlas/desktop-flower.png" id="537" name="Picture"/>
                          <pic:cNvPicPr>
                            <a:picLocks noChangeArrowheads="1" noChangeAspect="1"/>
                          </pic:cNvPicPr>
                        </pic:nvPicPr>
                        <pic:blipFill>
                          <a:blip r:embed="rId53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21.10: The Details tool for a clicked cell in the Gulf of America: one petal per score component, and the values table below it. The panel is headed by the cell’s subject line, with Add to report and Open table buttons above the flower; the map shows the cell’s popup (score 50). The click, aimed at 28.3° N, 83.6° W, landed in cell 3369460 (centre 28.325° N, 83.675° W). Atlas 0.10.91, release v7, 2026-10-16.</w:t>
            </w:r>
          </w:p>
          <w:bookmarkEnd w:id="538"/>
        </w:tc>
      </w:tr>
    </w:tbl>
    <w:p>
      <w:pPr>
        <w:pStyle w:val="BodyText"/>
      </w:pPr>
      <w:r>
        <w:rPr>
          <w:b/>
          <w:bCs/>
        </w:rPr>
        <w:t xml:space="preserve">Table</w:t>
      </w:r>
      <w:r>
        <w:t xml:space="preserve"> </w:t>
      </w:r>
      <w:r>
        <w:t xml:space="preserve">takes the whole stage beside the rail, with a one-row header: a</w:t>
      </w:r>
      <w:r>
        <w:t xml:space="preserve"> </w:t>
      </w:r>
      <w:r>
        <w:rPr>
          <w:b/>
          <w:bCs/>
        </w:rPr>
        <w:t xml:space="preserve">← Map</w:t>
      </w:r>
      <w:r>
        <w:t xml:space="preserve"> </w:t>
      </w:r>
      <w:r>
        <w:t xml:space="preserve">button that collapses the panel, what is shown (</w:t>
      </w:r>
      <w:r>
        <w:t xml:space="preserve">“Species in Cell …”</w:t>
      </w:r>
      <w:r>
        <w:t xml:space="preserve">,</w:t>
      </w:r>
      <w:r>
        <w:t xml:space="preserve"> </w:t>
      </w:r>
      <w:r>
        <w:t xml:space="preserve">“Species in All US waters”</w:t>
      </w:r>
      <w:r>
        <w:t xml:space="preserve">,</w:t>
      </w:r>
      <w:r>
        <w:t xml:space="preserve"> </w:t>
      </w:r>
      <w:r>
        <w:t xml:space="preserve">“Species for 2 places”</w:t>
      </w:r>
      <w:r>
        <w:t xml:space="preserve">), the column glossary and the CSV download. In the Species lens the Table lists the species’</w:t>
      </w:r>
      <w:r>
        <w:t xml:space="preserve"> </w:t>
      </w:r>
      <w:r>
        <w:rPr>
          <w:b/>
          <w:bCs/>
        </w:rPr>
        <w:t xml:space="preserve">model inputs</w:t>
      </w:r>
      <w:r>
        <w:t xml:space="preserve"> </w:t>
      </w:r>
      <w:r>
        <w:t xml:space="preserve">instead (with its own CSV download). In the Scores lens it opens three underline tabs: a sortable</w:t>
      </w:r>
      <w:r>
        <w:t xml:space="preserve"> </w:t>
      </w:r>
      <w:r>
        <w:rPr>
          <w:b/>
          <w:bCs/>
        </w:rPr>
        <w:t xml:space="preserve">species table</w:t>
      </w:r>
      <w:r>
        <w:t xml:space="preserve"> </w:t>
      </w:r>
      <w:r>
        <w:t xml:space="preserve">(Category, Taxon, Scientific name, Common</w:t>
      </w:r>
      <w:r>
        <w:t xml:space="preserve"> </w:t>
      </w:r>
      <w:r>
        <w:t xml:space="preserve">name,</w:t>
      </w:r>
      <w:r>
        <w:t xml:space="preserve"> </w:t>
      </w:r>
      <w:r>
        <w:rPr>
          <w:b/>
          <w:bCs/>
        </w:rPr>
        <w:t xml:space="preserve">ER code</w:t>
      </w:r>
      <w:r>
        <w:t xml:space="preserve">, ER score, Model, MMPA, MBTA, Area (km²), Avg. suitability, % of category — ESA</w:t>
      </w:r>
      <w:r>
        <w:t xml:space="preserve"> </w:t>
      </w:r>
      <w:r>
        <w:t xml:space="preserve">and IUCN status are folded into ER code), a</w:t>
      </w:r>
      <w:r>
        <w:t xml:space="preserve"> </w:t>
      </w:r>
      <w:r>
        <w:rPr>
          <w:b/>
          <w:bCs/>
        </w:rPr>
        <w:t xml:space="preserve">zones table</w:t>
      </w:r>
      <w:r>
        <w:t xml:space="preserve"> </w:t>
      </w:r>
      <w:r>
        <w:t xml:space="preserve">(every Program Area ranked by the</w:t>
      </w:r>
      <w:r>
        <w:t xml:space="preserve"> </w:t>
      </w:r>
      <w:r>
        <w:rPr>
          <w:b/>
          <w:bCs/>
        </w:rPr>
        <w:t xml:space="preserve">current layer</w:t>
      </w:r>
      <w:r>
        <w:t xml:space="preserve">, with</w:t>
      </w:r>
      <w:r>
        <w:t xml:space="preserve"> </w:t>
      </w:r>
      <w:r>
        <w:t xml:space="preserve">“report on selected”</w:t>
      </w:r>
      <w:r>
        <w:t xml:space="preserve"> </w:t>
      </w:r>
      <w:r>
        <w:t xml:space="preserve">once some are ticked), and a</w:t>
      </w:r>
      <w:r>
        <w:t xml:space="preserve"> </w:t>
      </w:r>
      <w:r>
        <w:rPr>
          <w:b/>
          <w:bCs/>
        </w:rPr>
        <w:t xml:space="preserve">composition</w:t>
      </w:r>
      <w:r>
        <w:t xml:space="preserve"> </w:t>
      </w:r>
      <w:r>
        <w:t xml:space="preserve">treemap</w:t>
      </w:r>
      <w:r>
        <w:t xml:space="preserve"> </w:t>
      </w:r>
      <w:r>
        <w:t xml:space="preserve">(one box per species category, sized by suitability × extinction risk × area). Only the</w:t>
      </w:r>
      <w:r>
        <w:t xml:space="preserve"> </w:t>
      </w:r>
      <w:r>
        <w:rPr>
          <w:b/>
          <w:bCs/>
        </w:rPr>
        <w:t xml:space="preserve">species</w:t>
      </w:r>
      <w:r>
        <w:t xml:space="preserve"> </w:t>
      </w:r>
      <w:r>
        <w:t xml:space="preserve">table has the phone’s compact default columns and a</w:t>
      </w:r>
      <w:r>
        <w:t xml:space="preserve"> </w:t>
      </w:r>
      <w:r>
        <w:rPr>
          <w:b/>
          <w:bCs/>
        </w:rPr>
        <w:t xml:space="preserve">Columns</w:t>
      </w:r>
      <w:r>
        <w:t xml:space="preserve"> </w:t>
      </w:r>
      <w:r>
        <w:t xml:space="preserve">control; both tables get sticky</w:t>
      </w:r>
      <w:r>
        <w:t xml:space="preserve"> </w:t>
      </w:r>
      <w:r>
        <w:t xml:space="preserve">headers/first column and horizontal scrolling that never spills the panel. Only the species</w:t>
      </w:r>
      <w:r>
        <w:t xml:space="preserve"> </w:t>
      </w:r>
      <w:r>
        <w:t xml:space="preserve">table’s</w:t>
      </w:r>
      <w:r>
        <w:t xml:space="preserve"> </w:t>
      </w:r>
      <w:r>
        <w:rPr>
          <w:b/>
          <w:bCs/>
        </w:rPr>
        <w:t xml:space="preserve">Download CSV</w:t>
      </w:r>
      <w:r>
        <w:t xml:space="preserve"> </w:t>
      </w:r>
      <w:r>
        <w:t xml:space="preserve">exports it; the zones table and the composition treemap have no export</w:t>
      </w:r>
      <w:r>
        <w:t xml:space="preserve"> </w:t>
      </w:r>
      <w:r>
        <w:t xml:space="preserve">yet. A drawn place’s Components and Species tables in the Places results panel each have their own</w:t>
      </w:r>
      <w:r>
        <w:t xml:space="preserve"> </w:t>
      </w:r>
      <w:r>
        <w:t xml:space="preserve">working</w:t>
      </w:r>
      <w:r>
        <w:t xml:space="preserve"> </w:t>
      </w:r>
      <w:r>
        <w:rPr>
          <w:b/>
          <w:bCs/>
        </w:rPr>
        <w:t xml:space="preserve">Export CSV</w:t>
      </w:r>
      <w:r>
        <w:t xml:space="preserve">.</w:t>
      </w:r>
    </w:p>
    <w:tbl>
      <w:tblPr>
        <w:tblStyle w:val="Table"/>
        <w:tblW w:type="pct" w:w="5000"/>
        <w:tblLayout w:type="fixed"/>
        <w:tblLook w:firstRow="0" w:lastRow="0" w:firstColumn="0" w:lastColumn="0" w:noHBand="0" w:noVBand="0" w:val="0000"/>
      </w:tblPr>
      <w:tblGrid>
        <w:gridCol w:w="7920"/>
      </w:tblGrid>
      <w:tr>
        <w:tc>
          <w:tcPr/>
          <w:bookmarkStart w:id="542" w:name="fig-atlas-table"/>
          <w:p>
            <w:pPr>
              <w:pStyle w:val="Compact"/>
              <w:jc w:val="center"/>
            </w:pPr>
            <w:r>
              <w:drawing>
                <wp:inline>
                  <wp:extent cx="5334000" cy="3333750"/>
                  <wp:effectExtent b="0" l="0" r="0" t="0"/>
                  <wp:docPr descr="" title="" id="540" name="Picture"/>
                  <a:graphic>
                    <a:graphicData uri="http://schemas.openxmlformats.org/drawingml/2006/picture">
                      <pic:pic>
                        <pic:nvPicPr>
                          <pic:cNvPr descr="images/atlas/desktop-table.png" id="541" name="Picture"/>
                          <pic:cNvPicPr>
                            <a:picLocks noChangeArrowheads="1" noChangeAspect="1"/>
                          </pic:cNvPicPr>
                        </pic:nvPicPr>
                        <pic:blipFill>
                          <a:blip r:embed="rId53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21.11: The Table tool’s Species tab for the clicked cell in</w:t>
            </w:r>
            <w:r>
              <w:t xml:space="preserve"> </w:t>
            </w:r>
            <w:hyperlink w:anchor="fig-atlas-flower">
              <w:r>
                <w:rPr>
                  <w:rStyle w:val="Hyperlink"/>
                </w:rPr>
                <w:t xml:space="preserve">Figure 21.10</w:t>
              </w:r>
            </w:hyperlink>
            <w:r>
              <w:t xml:space="preserve">. The Table fills the whole stage beside the rail, with a single header row (← Map, the subject, Species · Zones · Composition tabs, a glossary button and a CSV download). Atlas 0.10.91, release v7, 2026-10-16.</w:t>
            </w:r>
          </w:p>
          <w:bookmarkEnd w:id="542"/>
        </w:tc>
      </w:tr>
    </w:tbl>
    <w:bookmarkEnd w:id="543"/>
    <w:bookmarkStart w:id="552" w:name="report"/>
    <w:p>
      <w:pPr>
        <w:pStyle w:val="Heading2"/>
      </w:pPr>
      <w:r>
        <w:t xml:space="preserve">21.9 Report</w:t>
      </w:r>
    </w:p>
    <w:p>
      <w:pPr>
        <w:pStyle w:val="FirstParagraph"/>
      </w:pPr>
      <w:r>
        <w:t xml:space="preserve">The</w:t>
      </w:r>
      <w:r>
        <w:t xml:space="preserve"> </w:t>
      </w:r>
      <w:r>
        <w:rPr>
          <w:b/>
          <w:bCs/>
        </w:rPr>
        <w:t xml:space="preserve">Open report</w:t>
      </w:r>
      <w:r>
        <w:t xml:space="preserve"> </w:t>
      </w:r>
      <w:r>
        <w:t xml:space="preserve">button reports</w:t>
      </w:r>
      <w:r>
        <w:t xml:space="preserve"> </w:t>
      </w:r>
      <w:r>
        <w:rPr>
          <w:b/>
          <w:bCs/>
        </w:rPr>
        <w:t xml:space="preserve">every place currently in the link</w:t>
      </w:r>
      <w:r>
        <w:t xml:space="preserve"> </w:t>
      </w:r>
      <w:r>
        <w:t xml:space="preserve">(</w:t>
      </w:r>
      <w:r>
        <w:rPr>
          <w:rStyle w:val="VerbatimChar"/>
        </w:rPr>
        <w:t xml:space="preserve">#pl=</w:t>
      </w:r>
      <w:r>
        <w:t xml:space="preserve">); with no places,</w:t>
      </w:r>
      <w:r>
        <w:t xml:space="preserve"> </w:t>
      </w:r>
      <w:r>
        <w:t xml:space="preserve">it reports the single selected Program Area, or the single clicked cell (its square, the same place</w:t>
      </w:r>
      <w:r>
        <w:t xml:space="preserve"> </w:t>
      </w:r>
      <w:r>
        <w:rPr>
          <w:b/>
          <w:bCs/>
        </w:rPr>
        <w:t xml:space="preserve">Add</w:t>
      </w:r>
      <w:r>
        <w:t xml:space="preserve"> </w:t>
      </w:r>
      <w:r>
        <w:t xml:space="preserve">puts in the list); with none of these, it is disabled and the footer says</w:t>
      </w:r>
      <w:r>
        <w:t xml:space="preserve"> </w:t>
      </w:r>
      <w:r>
        <w:t xml:space="preserve">“Add a place to open</w:t>
      </w:r>
      <w:r>
        <w:t xml:space="preserve"> </w:t>
      </w:r>
      <w:r>
        <w:t xml:space="preserve">a report.”</w:t>
      </w:r>
      <w:r>
        <w:t xml:space="preserve"> </w:t>
      </w:r>
      <w:r>
        <w:t xml:space="preserve">A row’s own</w:t>
      </w:r>
      <w:r>
        <w:t xml:space="preserve"> </w:t>
      </w:r>
      <w:r>
        <w:rPr>
          <w:b/>
          <w:bCs/>
        </w:rPr>
        <w:t xml:space="preserve">Open in report</w:t>
      </w:r>
      <w:r>
        <w:t xml:space="preserve"> </w:t>
      </w:r>
      <w:r>
        <w:t xml:space="preserve">reports just that row’s place. The report</w:t>
      </w:r>
      <w:r>
        <w:t xml:space="preserve"> </w:t>
      </w:r>
      <w:r>
        <w:t xml:space="preserve">opens in a new tab and renders progressively as its data arrives:</w:t>
      </w:r>
    </w:p>
    <w:p>
      <w:pPr>
        <w:pStyle w:val="Compact"/>
        <w:numPr>
          <w:ilvl w:val="0"/>
          <w:numId w:val="1061"/>
        </w:numPr>
      </w:pPr>
      <w:r>
        <w:t xml:space="preserve">a</w:t>
      </w:r>
      <w:r>
        <w:t xml:space="preserve"> </w:t>
      </w:r>
      <w:r>
        <w:rPr>
          <w:b/>
          <w:bCs/>
        </w:rPr>
        <w:t xml:space="preserve">header band</w:t>
      </w:r>
      <w:r>
        <w:t xml:space="preserve"> </w:t>
      </w:r>
      <w:r>
        <w:t xml:space="preserve">— mark, release chip, generation time, permalink and QR code (a restricted</w:t>
      </w:r>
      <w:r>
        <w:t xml:space="preserve"> </w:t>
      </w:r>
      <w:r>
        <w:t xml:space="preserve">release also gets a PREVIEW banner and print watermark);</w:t>
      </w:r>
    </w:p>
    <w:p>
      <w:pPr>
        <w:pStyle w:val="Compact"/>
        <w:numPr>
          <w:ilvl w:val="0"/>
          <w:numId w:val="1061"/>
        </w:numPr>
      </w:pPr>
      <w:r>
        <w:t xml:space="preserve">an</w:t>
      </w:r>
      <w:r>
        <w:t xml:space="preserve"> </w:t>
      </w:r>
      <w:r>
        <w:rPr>
          <w:b/>
          <w:bCs/>
        </w:rPr>
        <w:t xml:space="preserve">introduction</w:t>
      </w:r>
      <w:r>
        <w:t xml:space="preserve">;</w:t>
      </w:r>
    </w:p>
    <w:p>
      <w:pPr>
        <w:pStyle w:val="Compact"/>
        <w:numPr>
          <w:ilvl w:val="0"/>
          <w:numId w:val="1061"/>
        </w:numPr>
      </w:pPr>
      <w:r>
        <w:t xml:space="preserve">a collapsible</w:t>
      </w:r>
      <w:r>
        <w:t xml:space="preserve"> </w:t>
      </w:r>
      <w:r>
        <w:rPr>
          <w:b/>
          <w:bCs/>
        </w:rPr>
        <w:t xml:space="preserve">Parameters</w:t>
      </w:r>
      <w:r>
        <w:t xml:space="preserve"> </w:t>
      </w:r>
      <w:r>
        <w:t xml:space="preserve">section (kind, keys or vertices, area, cell count, study-area</w:t>
      </w:r>
      <w:r>
        <w:t xml:space="preserve"> </w:t>
      </w:r>
      <w:r>
        <w:t xml:space="preserve">share, token);</w:t>
      </w:r>
    </w:p>
    <w:p>
      <w:pPr>
        <w:pStyle w:val="Compact"/>
        <w:numPr>
          <w:ilvl w:val="0"/>
          <w:numId w:val="1061"/>
        </w:numPr>
      </w:pPr>
      <w:r>
        <w:t xml:space="preserve">a</w:t>
      </w:r>
      <w:r>
        <w:t xml:space="preserve"> </w:t>
      </w:r>
      <w:r>
        <w:rPr>
          <w:b/>
          <w:bCs/>
        </w:rPr>
        <w:t xml:space="preserve">map</w:t>
      </w:r>
      <w:r>
        <w:t xml:space="preserve"> </w:t>
      </w:r>
      <w:r>
        <w:t xml:space="preserve">— interactive on screen; a static snapshot only in print and the HTML export;</w:t>
      </w:r>
    </w:p>
    <w:p>
      <w:pPr>
        <w:pStyle w:val="Compact"/>
        <w:numPr>
          <w:ilvl w:val="0"/>
          <w:numId w:val="1061"/>
        </w:numPr>
      </w:pPr>
      <w:r>
        <w:t xml:space="preserve">one</w:t>
      </w:r>
      <w:r>
        <w:t xml:space="preserve"> </w:t>
      </w:r>
      <w:r>
        <w:rPr>
          <w:b/>
          <w:bCs/>
        </w:rPr>
        <w:t xml:space="preserve">flower plot</w:t>
      </w:r>
      <w:r>
        <w:t xml:space="preserve"> </w:t>
      </w:r>
      <w:r>
        <w:t xml:space="preserve">per place, under</w:t>
      </w:r>
      <w:r>
        <w:t xml:space="preserve"> </w:t>
      </w:r>
      <w:r>
        <w:t xml:space="preserve">“Plot of Scores”</w:t>
      </w:r>
      <w:r>
        <w:t xml:space="preserve">;</w:t>
      </w:r>
    </w:p>
    <w:p>
      <w:pPr>
        <w:pStyle w:val="Compact"/>
        <w:numPr>
          <w:ilvl w:val="0"/>
          <w:numId w:val="1061"/>
        </w:numPr>
      </w:pPr>
      <w:r>
        <w:t xml:space="preserve">a</w:t>
      </w:r>
      <w:r>
        <w:t xml:space="preserve"> </w:t>
      </w:r>
      <w:r>
        <w:rPr>
          <w:b/>
          <w:bCs/>
        </w:rPr>
        <w:t xml:space="preserve">Table of Scores</w:t>
      </w:r>
      <w:r>
        <w:t xml:space="preserve"> </w:t>
      </w:r>
      <w:r>
        <w:t xml:space="preserve">— component and overall scores, with a footnote when a component covers</w:t>
      </w:r>
      <w:r>
        <w:t xml:space="preserve"> </w:t>
      </w:r>
      <w:r>
        <w:t xml:space="preserve">under 99% of the area, or is missing entirely because the release’s own 5% coverage floor</w:t>
      </w:r>
      <w:r>
        <w:t xml:space="preserve"> </w:t>
      </w:r>
      <w:r>
        <w:t xml:space="preserve">dropped it;</w:t>
      </w:r>
    </w:p>
    <w:p>
      <w:pPr>
        <w:pStyle w:val="Compact"/>
        <w:numPr>
          <w:ilvl w:val="0"/>
          <w:numId w:val="1061"/>
        </w:numPr>
      </w:pPr>
      <w:r>
        <w:t xml:space="preserve">a</w:t>
      </w:r>
      <w:r>
        <w:t xml:space="preserve"> </w:t>
      </w:r>
      <w:r>
        <w:rPr>
          <w:b/>
          <w:bCs/>
        </w:rPr>
        <w:t xml:space="preserve">Summary of Species</w:t>
      </w:r>
      <w:r>
        <w:t xml:space="preserve"> </w:t>
      </w:r>
      <w:r>
        <w:t xml:space="preserve">per place (a category × count cross-tab, plus the top 20 by score);</w:t>
      </w:r>
    </w:p>
    <w:p>
      <w:pPr>
        <w:pStyle w:val="Compact"/>
        <w:numPr>
          <w:ilvl w:val="0"/>
          <w:numId w:val="1061"/>
        </w:numPr>
      </w:pPr>
      <w:r>
        <w:rPr>
          <w:b/>
          <w:bCs/>
        </w:rPr>
        <w:t xml:space="preserve">Sources and Method</w:t>
      </w:r>
      <w:r>
        <w:t xml:space="preserve">, with the release’s own citations — each query behind these numbers is a</w:t>
      </w:r>
      <w:r>
        <w:t xml:space="preserve"> </w:t>
      </w:r>
      <w:r>
        <w:t xml:space="preserve">parity-tested twin (</w:t>
      </w:r>
      <w:r>
        <w:rPr>
          <w:rStyle w:val="VerbatimChar"/>
        </w:rPr>
        <w:t xml:space="preserve">npm run parity</w:t>
      </w:r>
      <w:r>
        <w:t xml:space="preserve">, max|Δ| &lt; 1e-9) of an</w:t>
      </w:r>
      <w:r>
        <w:t xml:space="preserve"> </w:t>
      </w:r>
      <w:r>
        <w:rPr>
          <w:rStyle w:val="VerbatimChar"/>
        </w:rPr>
        <w:t xml:space="preserve">msens</w:t>
      </w:r>
      <w:r>
        <w:t xml:space="preserve"> </w:t>
      </w:r>
      <w:r>
        <w:t xml:space="preserve">R function;</w:t>
      </w:r>
      <w:r>
        <w:t xml:space="preserve"> </w:t>
      </w:r>
      <w:r>
        <w:rPr>
          <w:i/>
          <w:iCs/>
        </w:rPr>
        <w:t xml:space="preserve">“Reproduce in</w:t>
      </w:r>
      <w:r>
        <w:rPr>
          <w:i/>
          <w:iCs/>
        </w:rPr>
        <w:t xml:space="preserve"> </w:t>
      </w:r>
      <w:r>
        <w:rPr>
          <w:i/>
          <w:iCs/>
        </w:rPr>
        <w:t xml:space="preserve">R”</w:t>
      </w:r>
      <w:r>
        <w:t xml:space="preserve"> </w:t>
      </w:r>
      <w:r>
        <w:t xml:space="preserve">prints the exact calls to</w:t>
      </w:r>
      <w:r>
        <w:t xml:space="preserve"> </w:t>
      </w:r>
      <w:r>
        <w:rPr>
          <w:rStyle w:val="VerbatimChar"/>
        </w:rPr>
        <w:t xml:space="preserve">msens::place_decode()</w:t>
      </w:r>
      <w:r>
        <w:t xml:space="preserve">,</w:t>
      </w:r>
      <w:r>
        <w:t xml:space="preserve"> </w:t>
      </w:r>
      <w:r>
        <w:rPr>
          <w:rStyle w:val="VerbatimChar"/>
        </w:rPr>
        <w:t xml:space="preserve">cells_in_polygon_grid()</w:t>
      </w:r>
      <w:r>
        <w:t xml:space="preserve"> </w:t>
      </w:r>
      <w:r>
        <w:t xml:space="preserve">and</w:t>
      </w:r>
      <w:r>
        <w:t xml:space="preserve"> </w:t>
      </w:r>
      <w:r>
        <w:rPr>
          <w:rStyle w:val="VerbatimChar"/>
        </w:rPr>
        <w:t xml:space="preserve">scores_for_cells()</w:t>
      </w:r>
      <w:r>
        <w:t xml:space="preserve"> </w:t>
      </w:r>
      <w:r>
        <w:t xml:space="preserve">that reproduce it, needing</w:t>
      </w:r>
      <w:r>
        <w:t xml:space="preserve"> </w:t>
      </w:r>
      <w:r>
        <w:rPr>
          <w:rStyle w:val="VerbatimChar"/>
        </w:rPr>
        <w:t xml:space="preserve">msens</w:t>
      </w:r>
      <w:r>
        <w:t xml:space="preserve"> </w:t>
      </w:r>
      <w:r>
        <w:t xml:space="preserve">≥ 0.44.0 and a local copy of the</w:t>
      </w:r>
      <w:r>
        <w:t xml:space="preserve"> </w:t>
      </w:r>
      <w:r>
        <w:t xml:space="preserve">release’s</w:t>
      </w:r>
      <w:r>
        <w:t xml:space="preserve"> </w:t>
      </w:r>
      <w:r>
        <w:rPr>
          <w:rStyle w:val="VerbatimChar"/>
        </w:rPr>
        <w:t xml:space="preserve">sdm.duckdb</w:t>
      </w:r>
      <w:r>
        <w:t xml:space="preserve">;</w:t>
      </w:r>
    </w:p>
    <w:p>
      <w:pPr>
        <w:pStyle w:val="Compact"/>
        <w:numPr>
          <w:ilvl w:val="0"/>
          <w:numId w:val="1061"/>
        </w:numPr>
      </w:pPr>
      <w:r>
        <w:t xml:space="preserve">a</w:t>
      </w:r>
      <w:r>
        <w:t xml:space="preserve"> </w:t>
      </w:r>
      <w:r>
        <w:rPr>
          <w:b/>
          <w:bCs/>
        </w:rPr>
        <w:t xml:space="preserve">Provenance</w:t>
      </w:r>
      <w:r>
        <w:t xml:space="preserve"> </w:t>
      </w:r>
      <w:r>
        <w:t xml:space="preserve">section (release, status/access, app build SHA, DuckDB-WASM version, tables</w:t>
      </w:r>
      <w:r>
        <w:t xml:space="preserve"> </w:t>
      </w:r>
      <w:r>
        <w:t xml:space="preserve">read, SQL run).</w:t>
      </w:r>
    </w:p>
    <w:tbl>
      <w:tblPr>
        <w:tblStyle w:val="Table"/>
        <w:tblW w:type="pct" w:w="5000"/>
        <w:tblLayout w:type="fixed"/>
        <w:tblLook w:firstRow="0" w:lastRow="0" w:firstColumn="0" w:lastColumn="0" w:noHBand="0" w:noVBand="0" w:val="0000"/>
      </w:tblPr>
      <w:tblGrid>
        <w:gridCol w:w="7920"/>
      </w:tblGrid>
      <w:tr>
        <w:tc>
          <w:tcPr/>
          <w:bookmarkStart w:id="547" w:name="fig-atlas-report"/>
          <w:p>
            <w:pPr>
              <w:pStyle w:val="Compact"/>
              <w:jc w:val="center"/>
            </w:pPr>
            <w:r>
              <w:drawing>
                <wp:inline>
                  <wp:extent cx="5334000" cy="3333750"/>
                  <wp:effectExtent b="0" l="0" r="0" t="0"/>
                  <wp:docPr descr="" title="" id="545" name="Picture"/>
                  <a:graphic>
                    <a:graphicData uri="http://schemas.openxmlformats.org/drawingml/2006/picture">
                      <pic:pic>
                        <pic:nvPicPr>
                          <pic:cNvPr descr="images/atlas/desktop-report.png" id="546" name="Picture"/>
                          <pic:cNvPicPr>
                            <a:picLocks noChangeArrowheads="1" noChangeAspect="1"/>
                          </pic:cNvPicPr>
                        </pic:nvPicPr>
                        <pic:blipFill>
                          <a:blip r:embed="rId54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21.12: The report document for the Program Area GAA, opened from the Report tool’s</w:t>
            </w:r>
            <w:r>
              <w:t xml:space="preserve"> </w:t>
            </w:r>
            <w:r>
              <w:rPr>
                <w:b/>
                <w:bCs/>
              </w:rPr>
              <w:t xml:space="preserve">Open report</w:t>
            </w:r>
            <w:r>
              <w:t xml:space="preserve"> </w:t>
            </w:r>
            <w:r>
              <w:t xml:space="preserve">button in a new tab: the export buttons, the MMA seal, a release chip, a permalink and QR code, the Introduction, a Parameters disclosure and the start of the interactive map. The title is the default</w:t>
            </w:r>
            <w:r>
              <w:t xml:space="preserve"> </w:t>
            </w:r>
            <w:r>
              <w:t xml:space="preserve">“Marine Sensitivity Report”</w:t>
            </w:r>
            <w:r>
              <w:t xml:space="preserve"> </w:t>
            </w:r>
            <w:r>
              <w:t xml:space="preserve">because the link carries no</w:t>
            </w:r>
            <w:r>
              <w:t xml:space="preserve"> </w:t>
            </w:r>
            <w:r>
              <w:rPr>
                <w:rStyle w:val="VerbatimChar"/>
              </w:rPr>
              <w:t xml:space="preserve">t=</w:t>
            </w:r>
            <w:r>
              <w:t xml:space="preserve"> </w:t>
            </w:r>
            <w:r>
              <w:t xml:space="preserve">title. Atlas 0.10.92, release v7, 2026-10-16.</w:t>
            </w:r>
          </w:p>
          <w:bookmarkEnd w:id="54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1" w:name="fig-atlas-report-scores"/>
          <w:p>
            <w:pPr>
              <w:pStyle w:val="Compact"/>
              <w:jc w:val="center"/>
            </w:pPr>
            <w:r>
              <w:drawing>
                <wp:inline>
                  <wp:extent cx="5334000" cy="3333750"/>
                  <wp:effectExtent b="0" l="0" r="0" t="0"/>
                  <wp:docPr descr="" title="" id="549" name="Picture"/>
                  <a:graphic>
                    <a:graphicData uri="http://schemas.openxmlformats.org/drawingml/2006/picture">
                      <pic:pic>
                        <pic:nvPicPr>
                          <pic:cNvPr descr="images/atlas/desktop-report-scores.png" id="550" name="Picture"/>
                          <pic:cNvPicPr>
                            <a:picLocks noChangeArrowheads="1" noChangeAspect="1"/>
                          </pic:cNvPicPr>
                        </pic:nvPicPr>
                        <pic:blipFill>
                          <a:blip r:embed="rId54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21.13: The report’s Table of Scores and the start of the Summary of Species, for the same Program Area (GOA Program Area A, GAA). The species-count table’s extinction-risk headings take two lines (code over score) so all of its columns fit the page. Atlas 0.10.92, release v7, 2026-10-16.</w:t>
            </w:r>
          </w:p>
          <w:bookmarkEnd w:id="551"/>
        </w:tc>
      </w:tr>
    </w:tbl>
    <w:p>
      <w:pPr>
        <w:pStyle w:val="BodyText"/>
      </w:pPr>
      <w:r>
        <w:t xml:space="preserve">Four exports, all built client-side:</w:t>
      </w:r>
      <w:r>
        <w:t xml:space="preserve"> </w:t>
      </w:r>
      <w:r>
        <w:rPr>
          <w:b/>
          <w:bCs/>
        </w:rPr>
        <w:t xml:space="preserve">Print</w:t>
      </w:r>
      <w:r>
        <w:t xml:space="preserve"> </w:t>
      </w:r>
      <w:r>
        <w:t xml:space="preserve">(the browser’s dialog; roughly five Letter pages);</w:t>
      </w:r>
      <w:r>
        <w:t xml:space="preserve"> </w:t>
      </w:r>
      <w:r>
        <w:rPr>
          <w:b/>
          <w:bCs/>
        </w:rPr>
        <w:t xml:space="preserve">Download HTML</w:t>
      </w:r>
      <w:r>
        <w:t xml:space="preserve"> </w:t>
      </w:r>
      <w:r>
        <w:t xml:space="preserve">(one self-contained file — the flowers stay inline SVG, only the map is an</w:t>
      </w:r>
      <w:r>
        <w:t xml:space="preserve"> </w:t>
      </w:r>
      <w:r>
        <w:t xml:space="preserve">embedded PNG); a</w:t>
      </w:r>
      <w:r>
        <w:t xml:space="preserve"> </w:t>
      </w:r>
      <w:r>
        <w:rPr>
          <w:b/>
          <w:bCs/>
        </w:rPr>
        <w:t xml:space="preserve">data package (ZIP)</w:t>
      </w:r>
      <w:r>
        <w:t xml:space="preserve"> </w:t>
      </w:r>
      <w:r>
        <w:t xml:space="preserve">—</w:t>
      </w:r>
      <w:r>
        <w:t xml:space="preserve"> </w:t>
      </w:r>
      <w:r>
        <w:rPr>
          <w:rStyle w:val="VerbatimChar"/>
        </w:rPr>
        <w:t xml:space="preserve">README.md</w:t>
      </w:r>
      <w:r>
        <w:t xml:space="preserve">,</w:t>
      </w:r>
      <w:r>
        <w:t xml:space="preserve"> </w:t>
      </w:r>
      <w:r>
        <w:rPr>
          <w:rStyle w:val="VerbatimChar"/>
        </w:rPr>
        <w:t xml:space="preserve">CITATION.md</w:t>
      </w:r>
      <w:r>
        <w:t xml:space="preserve">,</w:t>
      </w:r>
      <w:r>
        <w:t xml:space="preserve"> </w:t>
      </w:r>
      <w:r>
        <w:rPr>
          <w:rStyle w:val="VerbatimChar"/>
        </w:rPr>
        <w:t xml:space="preserve">provenance.json</w:t>
      </w:r>
      <w:r>
        <w:t xml:space="preserve">,</w:t>
      </w:r>
      <w:r>
        <w:t xml:space="preserve"> </w:t>
      </w:r>
      <w:r>
        <w:rPr>
          <w:rStyle w:val="VerbatimChar"/>
        </w:rPr>
        <w:t xml:space="preserve">places.geojson</w:t>
      </w:r>
      <w:r>
        <w:t xml:space="preserve"> </w:t>
      </w:r>
      <w:r>
        <w:t xml:space="preserve">(drawn/uploaded places only, not zone places), a</w:t>
      </w:r>
      <w:r>
        <w:t xml:space="preserve"> </w:t>
      </w:r>
      <w:r>
        <w:rPr>
          <w:rStyle w:val="VerbatimChar"/>
        </w:rPr>
        <w:t xml:space="preserve">scores_*.csv</w:t>
      </w:r>
      <w:r>
        <w:t xml:space="preserve">/</w:t>
      </w:r>
      <w:r>
        <w:rPr>
          <w:rStyle w:val="VerbatimChar"/>
        </w:rPr>
        <w:t xml:space="preserve">species_*.csv</w:t>
      </w:r>
      <w:r>
        <w:t xml:space="preserve"> </w:t>
      </w:r>
      <w:r>
        <w:t xml:space="preserve">pair per place, and</w:t>
      </w:r>
      <w:r>
        <w:t xml:space="preserve"> </w:t>
      </w:r>
      <w:r>
        <w:rPr>
          <w:rStyle w:val="VerbatimChar"/>
        </w:rPr>
        <w:t xml:space="preserve">query/*.sql</w:t>
      </w:r>
      <w:r>
        <w:t xml:space="preserve">; and a</w:t>
      </w:r>
      <w:r>
        <w:t xml:space="preserve"> </w:t>
      </w:r>
      <w:r>
        <w:rPr>
          <w:b/>
          <w:bCs/>
        </w:rPr>
        <w:t xml:space="preserve">Word document (.docx)</w:t>
      </w:r>
      <w:r>
        <w:t xml:space="preserve"> </w:t>
      </w:r>
      <w:r>
        <w:t xml:space="preserve">— the same tables as coded Word</w:t>
      </w:r>
      <w:r>
        <w:t xml:space="preserve"> </w:t>
      </w:r>
      <w:r>
        <w:t xml:space="preserve">styles, plus the map and a rasterized flower per place.</w:t>
      </w:r>
    </w:p>
    <w:bookmarkEnd w:id="552"/>
    <w:bookmarkStart w:id="555" w:name="accessibility-and-performance-notes"/>
    <w:p>
      <w:pPr>
        <w:pStyle w:val="Heading2"/>
      </w:pPr>
      <w:r>
        <w:t xml:space="preserve">21.10 Accessibility and performance notes</w:t>
      </w:r>
    </w:p>
    <w:p>
      <w:pPr>
        <w:pStyle w:val="FirstParagraph"/>
      </w:pPr>
      <w:r>
        <w:t xml:space="preserve">The Atlas ships a written</w:t>
      </w:r>
      <w:r>
        <w:t xml:space="preserve"> </w:t>
      </w:r>
      <w:hyperlink r:id="rId553">
        <w:r>
          <w:rPr>
            <w:rStyle w:val="Hyperlink"/>
          </w:rPr>
          <w:t xml:space="preserve">WCAG 2.1 conformance note</w:t>
        </w:r>
      </w:hyperlink>
      <w:r>
        <w:t xml:space="preserve"> </w:t>
      </w:r>
      <w:r>
        <w:t xml:space="preserve">and a</w:t>
      </w:r>
      <w:r>
        <w:t xml:space="preserve"> </w:t>
      </w:r>
      <w:hyperlink r:id="rId554">
        <w:r>
          <w:rPr>
            <w:rStyle w:val="Hyperlink"/>
          </w:rPr>
          <w:t xml:space="preserve">performance budget report</w:t>
        </w:r>
      </w:hyperlink>
      <w:r>
        <w:t xml:space="preserve"> </w:t>
      </w:r>
      <w:r>
        <w:t xml:space="preserve">in its own repository. As of the note’s own 0.10.24 (2026-09-23) evaluation the claim is</w:t>
      </w:r>
      <w:r>
        <w:t xml:space="preserve"> </w:t>
      </w:r>
      <w:r>
        <w:rPr>
          <w:b/>
          <w:bCs/>
        </w:rPr>
        <w:t xml:space="preserve">“partially supports,”</w:t>
      </w:r>
      <w:r>
        <w:t xml:space="preserve"> </w:t>
      </w:r>
      <w:r>
        <w:t xml:space="preserve">not full support, and it states plainly that</w:t>
      </w:r>
      <w:r>
        <w:t xml:space="preserve"> </w:t>
      </w:r>
      <w:r>
        <w:rPr>
          <w:b/>
          <w:bCs/>
        </w:rPr>
        <w:t xml:space="preserve">no screen reader was</w:t>
      </w:r>
      <w:r>
        <w:rPr>
          <w:b/>
          <w:bCs/>
        </w:rPr>
        <w:t xml:space="preserve"> </w:t>
      </w:r>
      <w:r>
        <w:rPr>
          <w:b/>
          <w:bCs/>
        </w:rPr>
        <w:t xml:space="preserve">actually driven</w:t>
      </w:r>
      <w:r>
        <w:t xml:space="preserve"> </w:t>
      </w:r>
      <w:r>
        <w:t xml:space="preserve">in producing it — automated and manual keyboard testing stand in for that. Two</w:t>
      </w:r>
      <w:r>
        <w:t xml:space="preserve"> </w:t>
      </w:r>
      <w:r>
        <w:t xml:space="preserve">skip links sit at the very top of the page:</w:t>
      </w:r>
      <w:r>
        <w:t xml:space="preserve"> </w:t>
      </w:r>
      <w:r>
        <w:t xml:space="preserve">“Skip to the tools”</w:t>
      </w:r>
      <w:r>
        <w:t xml:space="preserve"> </w:t>
      </w:r>
      <w:r>
        <w:t xml:space="preserve">and</w:t>
      </w:r>
      <w:r>
        <w:t xml:space="preserve"> </w:t>
      </w:r>
      <w:r>
        <w:t xml:space="preserve">“Skip to the details panel.”</w:t>
      </w:r>
      <w:r>
        <w:t xml:space="preserve"> </w:t>
      </w:r>
      <w:r>
        <w:t xml:space="preserve">The critical-path JavaScript was measured (0.10.20, 2026-09-23) at</w:t>
      </w:r>
      <w:r>
        <w:t xml:space="preserve"> </w:t>
      </w:r>
      <w:r>
        <w:rPr>
          <w:b/>
          <w:bCs/>
        </w:rPr>
        <w:t xml:space="preserve">~417 KB gzip</w:t>
      </w:r>
      <w:r>
        <w:t xml:space="preserve"> </w:t>
      </w:r>
      <w:r>
        <w:t xml:space="preserve">against a</w:t>
      </w:r>
      <w:r>
        <w:t xml:space="preserve"> </w:t>
      </w:r>
      <w:r>
        <w:rPr>
          <w:b/>
          <w:bCs/>
        </w:rPr>
        <w:t xml:space="preserve">450 KB</w:t>
      </w:r>
      <w:r>
        <w:t xml:space="preserve"> </w:t>
      </w:r>
      <w:r>
        <w:t xml:space="preserve">budget (it has been 460 KB since 0.10.89), plus</w:t>
      </w:r>
      <w:r>
        <w:t xml:space="preserve"> </w:t>
      </w:r>
      <w:r>
        <w:rPr>
          <w:b/>
          <w:bCs/>
        </w:rPr>
        <w:t xml:space="preserve">~140 KB</w:t>
      </w:r>
      <w:r>
        <w:t xml:space="preserve"> </w:t>
      </w:r>
      <w:r>
        <w:t xml:space="preserve">for the MapLibre worker</w:t>
      </w:r>
      <w:r>
        <w:t xml:space="preserve"> </w:t>
      </w:r>
      <w:r>
        <w:t xml:space="preserve">against</w:t>
      </w:r>
      <w:r>
        <w:t xml:space="preserve"> </w:t>
      </w:r>
      <w:r>
        <w:rPr>
          <w:b/>
          <w:bCs/>
        </w:rPr>
        <w:t xml:space="preserve">150 KB</w:t>
      </w:r>
      <w:r>
        <w:t xml:space="preserve">; a separate gate</w:t>
      </w:r>
      <w:r>
        <w:t xml:space="preserve"> </w:t>
      </w:r>
      <w:r>
        <w:t xml:space="preserve">asserted the species lens paints its first data pixel within 2.5 s on a laptop and 4 s on CI. The</w:t>
      </w:r>
      <w:r>
        <w:t xml:space="preserve"> </w:t>
      </w:r>
      <w:r>
        <w:t xml:space="preserve">measured numbers may have moved since; see the linked reports for current ones.</w:t>
      </w:r>
    </w:p>
    <w:bookmarkEnd w:id="555"/>
    <w:bookmarkStart w:id="556" w:name="when-a-service-is-down"/>
    <w:p>
      <w:pPr>
        <w:pStyle w:val="Heading2"/>
      </w:pPr>
      <w:r>
        <w:t xml:space="preserve">21.11 When a service is down</w:t>
      </w:r>
    </w:p>
    <w:p>
      <w:pPr>
        <w:pStyle w:val="FirstParagraph"/>
      </w:pPr>
      <w:r>
        <w:t xml:space="preserve">Since 0.10.58, the Atlas checks two external services it does not control:</w:t>
      </w:r>
      <w:r>
        <w:t xml:space="preserve"> </w:t>
      </w:r>
      <w:r>
        <w:rPr>
          <w:b/>
          <w:bCs/>
        </w:rPr>
        <w:t xml:space="preserve">titiler-v8</w:t>
      </w:r>
      <w:r>
        <w:t xml:space="preserve"> </w:t>
      </w:r>
      <w:r>
        <w:t xml:space="preserve">(every</w:t>
      </w:r>
      <w:r>
        <w:t xml:space="preserve"> </w:t>
      </w:r>
      <w:r>
        <w:t xml:space="preserve">score and species map tile) and the</w:t>
      </w:r>
      <w:r>
        <w:t xml:space="preserve"> </w:t>
      </w:r>
      <w:r>
        <w:rPr>
          <w:b/>
          <w:bCs/>
        </w:rPr>
        <w:t xml:space="preserve">S3 data origin</w:t>
      </w:r>
      <w:r>
        <w:t xml:space="preserve"> </w:t>
      </w:r>
      <w:r>
        <w:t xml:space="preserve">each release’s own files are fetched from.</w:t>
      </w:r>
      <w:r>
        <w:t xml:space="preserve"> </w:t>
      </w:r>
      <w:r>
        <w:t xml:space="preserve">Both are checked at boot and on a manual</w:t>
      </w:r>
      <w:r>
        <w:t xml:space="preserve"> </w:t>
      </w:r>
      <w:r>
        <w:rPr>
          <w:b/>
          <w:bCs/>
        </w:rPr>
        <w:t xml:space="preserve">Retry</w:t>
      </w:r>
      <w:r>
        <w:t xml:space="preserve">; a map tile that actually fails to load for a</w:t>
      </w:r>
      <w:r>
        <w:t xml:space="preserve"> </w:t>
      </w:r>
      <w:r>
        <w:t xml:space="preserve">real reason — a 5xx, a network error, or a timeout, never a normal</w:t>
      </w:r>
      <w:r>
        <w:t xml:space="preserve"> </w:t>
      </w:r>
      <w:r>
        <w:t xml:space="preserve">“this release has no data here”</w:t>
      </w:r>
      <w:r>
        <w:t xml:space="preserve"> </w:t>
      </w:r>
      <w:r>
        <w:t xml:space="preserve">403/404 — re-checks only the tile server. It never polls in the background while everything is</w:t>
      </w:r>
      <w:r>
        <w:t xml:space="preserve"> </w:t>
      </w:r>
      <w:r>
        <w:t xml:space="preserve">fine.</w:t>
      </w:r>
    </w:p>
    <w:p>
      <w:pPr>
        <w:pStyle w:val="BodyText"/>
      </w:pPr>
      <w:r>
        <w:t xml:space="preserve">When either is down, a dismissible banner — since 0.10.62 it sits in the map stage, below the top bar, so it never covers</w:t>
      </w:r>
      <w:r>
        <w:t xml:space="preserve"> </w:t>
      </w:r>
      <w:r>
        <w:t xml:space="preserve">the top bar’s controls — names the failing host, the reason (timeout or HTTP</w:t>
      </w:r>
      <w:r>
        <w:t xml:space="preserve"> </w:t>
      </w:r>
      <w:r>
        <w:t xml:space="preserve">status), and what still works — places, tables and reports already built from data already loaded,</w:t>
      </w:r>
      <w:r>
        <w:t xml:space="preserve"> </w:t>
      </w:r>
      <w:r>
        <w:t xml:space="preserve">just no new tiles or new fetches from the down host; when it is specifically the</w:t>
      </w:r>
      <w:r>
        <w:t xml:space="preserve"> </w:t>
      </w:r>
      <w:r>
        <w:rPr>
          <w:b/>
          <w:bCs/>
        </w:rPr>
        <w:t xml:space="preserve">tile server</w:t>
      </w:r>
      <w:r>
        <w:t xml:space="preserve"> </w:t>
      </w:r>
      <w:r>
        <w:t xml:space="preserve">that is down, the legend also switches to a compact</w:t>
      </w:r>
      <w:r>
        <w:t xml:space="preserve"> </w:t>
      </w:r>
      <w:r>
        <w:rPr>
          <w:b/>
          <w:bCs/>
        </w:rPr>
        <w:t xml:space="preserve">“tiles unavailable”</w:t>
      </w:r>
      <w:r>
        <w:t xml:space="preserve"> </w:t>
      </w:r>
      <w:r>
        <w:t xml:space="preserve">state instead of a bare</w:t>
      </w:r>
      <w:r>
        <w:t xml:space="preserve"> </w:t>
      </w:r>
      <w:r>
        <w:t xml:space="preserve">colour ramp. Built after titiler-v8 and the API were unreachable for an hour and the</w:t>
      </w:r>
      <w:r>
        <w:t xml:space="preserve"> </w:t>
      </w:r>
      <w:r>
        <w:t xml:space="preserve">live app kept rendering a perfectly normal-looking map with no raster and no word to anyone.</w:t>
      </w:r>
    </w:p>
    <w:p>
      <w:pPr>
        <w:pStyle w:val="BodyText"/>
      </w:pPr>
      <w:r>
        <w:rPr>
          <w:b/>
          <w:bCs/>
        </w:rPr>
        <w:t xml:space="preserve">What it cannot detect:</w:t>
      </w:r>
      <w:r>
        <w:t xml:space="preserve"> </w:t>
      </w:r>
      <w:r>
        <w:t xml:space="preserve">a partial outage (some tiles or objects failing, others not — only a</w:t>
      </w:r>
      <w:r>
        <w:t xml:space="preserve"> </w:t>
      </w:r>
      <w:r>
        <w:t xml:space="preserve">further real request surfaces it), a degraded-but-200 response (a tile that loads but paints wrong</w:t>
      </w:r>
      <w:r>
        <w:t xml:space="preserve"> </w:t>
      </w:r>
      <w:r>
        <w:t xml:space="preserve">data), or a preview session’s own restricted data prefix (the probe always checks the public bucket</w:t>
      </w:r>
      <w:r>
        <w:t xml:space="preserve"> </w:t>
      </w:r>
      <w:r>
        <w:t xml:space="preserve">origin, not a signed-in override). No release the Atlas reads from calls a separate API today, so</w:t>
      </w:r>
      <w:r>
        <w:t xml:space="preserve"> </w:t>
      </w:r>
      <w:r>
        <w:t xml:space="preserve">there is nothing of that kind to probe; DuckDB-WASM’s own Parquet fetches, PMTiles zone archives and</w:t>
      </w:r>
      <w:r>
        <w:t xml:space="preserve"> </w:t>
      </w:r>
      <w:r>
        <w:t xml:space="preserve">the basemap are likewise outside this check’s scope — a partial CDN problem affecting only one of</w:t>
      </w:r>
      <w:r>
        <w:t xml:space="preserve"> </w:t>
      </w:r>
      <w:r>
        <w:t xml:space="preserve">those would not trip the banner.</w:t>
      </w:r>
    </w:p>
    <w:bookmarkEnd w:id="556"/>
    <w:bookmarkStart w:id="561" w:name="feedback-and-versions"/>
    <w:p>
      <w:pPr>
        <w:pStyle w:val="Heading2"/>
      </w:pPr>
      <w:r>
        <w:t xml:space="preserve">21.12 Feedback and versions</w:t>
      </w:r>
    </w:p>
    <w:p>
      <w:pPr>
        <w:pStyle w:val="FirstParagraph"/>
      </w:pPr>
      <w:r>
        <w:rPr>
          <w:b/>
          <w:bCs/>
        </w:rPr>
        <w:t xml:space="preserve">Feedback</w:t>
      </w:r>
      <w:r>
        <w:t xml:space="preserve"> </w:t>
      </w:r>
      <w:r>
        <w:t xml:space="preserve">opens a dialog: a kind (bug / idea / question / data), a title, a description, an</w:t>
      </w:r>
      <w:r>
        <w:t xml:space="preserve"> </w:t>
      </w:r>
      <w:r>
        <w:t xml:space="preserve">optional email, an annotatable screenshot, and a privacy checkbox (off by default) for including</w:t>
      </w:r>
      <w:r>
        <w:t xml:space="preserve"> </w:t>
      </w:r>
      <w:r>
        <w:t xml:space="preserve">the current view’s link.</w:t>
      </w:r>
      <w:r>
        <w:t xml:space="preserve"> </w:t>
      </w:r>
      <w:r>
        <w:rPr>
          <w:b/>
          <w:bCs/>
        </w:rPr>
        <w:t xml:space="preserve">Send</w:t>
      </w:r>
      <w:r>
        <w:t xml:space="preserve"> </w:t>
      </w:r>
      <w:r>
        <w:t xml:space="preserve">is live: it posts to a Google Apps Script endpoint that writes a</w:t>
      </w:r>
      <w:r>
        <w:t xml:space="preserve"> </w:t>
      </w:r>
      <w:r>
        <w:t xml:space="preserve">Sheet row, mails the team, and — for a</w:t>
      </w:r>
      <w:r>
        <w:t xml:space="preserve"> </w:t>
      </w:r>
      <w:r>
        <w:rPr>
          <w:b/>
          <w:bCs/>
        </w:rPr>
        <w:t xml:space="preserve">public</w:t>
      </w:r>
      <w:r>
        <w:t xml:space="preserve"> </w:t>
      </w:r>
      <w:r>
        <w:t xml:space="preserve">release — also files a public GitHub issue in</w:t>
      </w:r>
      <w:r>
        <w:t xml:space="preserve"> </w:t>
      </w:r>
      <w:r>
        <w:rPr>
          <w:rStyle w:val="VerbatimChar"/>
        </w:rPr>
        <w:t xml:space="preserve">MarineSensitivity/atlas</w:t>
      </w:r>
      <w:r>
        <w:t xml:space="preserve"> </w:t>
      </w:r>
      <w:r>
        <w:t xml:space="preserve">with the screenshot attached (your email, if given, is never included in</w:t>
      </w:r>
      <w:r>
        <w:t xml:space="preserve"> </w:t>
      </w:r>
      <w:r>
        <w:t xml:space="preserve">it); a</w:t>
      </w:r>
      <w:r>
        <w:t xml:space="preserve"> </w:t>
      </w:r>
      <w:r>
        <w:rPr>
          <w:b/>
          <w:bCs/>
        </w:rPr>
        <w:t xml:space="preserve">restricted</w:t>
      </w:r>
      <w:r>
        <w:t xml:space="preserve"> </w:t>
      </w:r>
      <w:r>
        <w:t xml:space="preserve">release never gets a public issue either way. An email, if given, is kept</w:t>
      </w:r>
      <w:r>
        <w:t xml:space="preserve"> </w:t>
      </w:r>
      <w:r>
        <w:t xml:space="preserve">only in the team’s Sheet row and mail (plus a copy to you), never in the issue (see</w:t>
      </w:r>
      <w:r>
        <w:t xml:space="preserve"> </w:t>
      </w:r>
      <w:r>
        <w:rPr>
          <w:rStyle w:val="VerbatimChar"/>
        </w:rPr>
        <w:t xml:space="preserve">docs/feedback.md</w:t>
      </w:r>
      <w:r>
        <w:t xml:space="preserve"> </w:t>
      </w:r>
      <w:r>
        <w:t xml:space="preserve">in the atlas repo for the dialog’s exact privacy wording). The original</w:t>
      </w:r>
      <w:r>
        <w:t xml:space="preserve"> </w:t>
      </w:r>
      <w:r>
        <w:t xml:space="preserve">zero-backend fallback stays alongside Send, not replaced by it:</w:t>
      </w:r>
      <w:r>
        <w:t xml:space="preserve"> </w:t>
      </w:r>
      <w:r>
        <w:rPr>
          <w:b/>
          <w:bCs/>
        </w:rPr>
        <w:t xml:space="preserve">“Open as GitHub issue”</w:t>
      </w:r>
      <w:r>
        <w:t xml:space="preserve"> </w:t>
      </w:r>
      <w:r>
        <w:t xml:space="preserve">opens</w:t>
      </w:r>
      <w:r>
        <w:t xml:space="preserve"> </w:t>
      </w:r>
      <w:r>
        <w:t xml:space="preserve">its own prefilled public issue, labelled by kind, with the screenshot copied to your clipboard to</w:t>
      </w:r>
      <w:r>
        <w:t xml:space="preserve"> </w:t>
      </w:r>
      <w:r>
        <w:t xml:space="preserve">paste in — offered on every public release whether or not Send is configured, and the only option</w:t>
      </w:r>
      <w:r>
        <w:t xml:space="preserve"> </w:t>
      </w:r>
      <w:r>
        <w:t xml:space="preserve">on a build with no endpoint set. Tell an analyst plainly: on a public release, both routes end in a</w:t>
      </w:r>
      <w:r>
        <w:t xml:space="preserve"> </w:t>
      </w:r>
      <w:r>
        <w:t xml:space="preserve">public GitHub issue. A restricted release never offers the GitHub route; on a build with no</w:t>
      </w:r>
      <w:r>
        <w:t xml:space="preserve"> </w:t>
      </w:r>
      <w:r>
        <w:t xml:space="preserve">endpoint configured it says plainly that</w:t>
      </w:r>
      <w:r>
        <w:t xml:space="preserve"> </w:t>
      </w:r>
      <w:r>
        <w:t xml:space="preserve">“feedback cannot be sent from here right now.”</w:t>
      </w:r>
    </w:p>
    <w:p>
      <w:pPr>
        <w:pStyle w:val="BodyText"/>
      </w:pPr>
      <w:r>
        <w:t xml:space="preserve">GA4 receives interaction events as well as page views, and the app also logs those same events to</w:t>
      </w:r>
      <w:r>
        <w:t xml:space="preserve"> </w:t>
      </w:r>
      <w:r>
        <w:t xml:space="preserve">the batched usage-log Sheet the retired Shiny</w:t>
      </w:r>
      <w:r>
        <w:t xml:space="preserve"> </w:t>
      </w:r>
      <w:r>
        <w:rPr>
          <w:rStyle w:val="VerbatimChar"/>
        </w:rPr>
        <w:t xml:space="preserve">scores</w:t>
      </w:r>
      <w:r>
        <w:t xml:space="preserve">/</w:t>
      </w:r>
      <w:r>
        <w:rPr>
          <w:rStyle w:val="VerbatimChar"/>
        </w:rPr>
        <w:t xml:space="preserve">species</w:t>
      </w:r>
      <w:r>
        <w:t xml:space="preserve"> </w:t>
      </w:r>
      <w:r>
        <w:t xml:space="preserve">apps also wrote (</w:t>
      </w:r>
      <w:r>
        <w:rPr>
          <w:rStyle w:val="VerbatimChar"/>
        </w:rPr>
        <w:t xml:space="preserve">app = "atlas"</w:t>
      </w:r>
      <w:r>
        <w:t xml:space="preserve"> </w:t>
      </w:r>
      <w:r>
        <w:t xml:space="preserve">distinguishes its rows) — never the URL fragment, which the app’s own analytics code is</w:t>
      </w:r>
      <w:r>
        <w:t xml:space="preserve"> </w:t>
      </w:r>
      <w:r>
        <w:t xml:space="preserve">source-scanned to never read.</w:t>
      </w:r>
    </w:p>
    <w:p>
      <w:pPr>
        <w:pStyle w:val="BodyText"/>
      </w:pPr>
      <w:r>
        <w:rPr>
          <w:b/>
          <w:bCs/>
        </w:rPr>
        <w:t xml:space="preserve">Versions</w:t>
      </w:r>
      <w:r>
        <w:t xml:space="preserve"> </w:t>
      </w:r>
      <w:r>
        <w:t xml:space="preserve">follow the same public/restricted split as the rest of the MST (see</w:t>
      </w:r>
      <w:r>
        <w:t xml:space="preserve"> </w:t>
      </w:r>
      <w:hyperlink w:anchor="sec-releases">
        <w:r>
          <w:rPr>
            <w:rStyle w:val="Hyperlink"/>
          </w:rPr>
          <w:t xml:space="preserve">Chapter 2</w:t>
        </w:r>
      </w:hyperlink>
      <w:r>
        <w:t xml:space="preserve">): a</w:t>
      </w:r>
      <w:r>
        <w:t xml:space="preserve"> </w:t>
      </w:r>
      <w:r>
        <w:t xml:space="preserve">public release opens directly on the public host; a restricted pre-release’s Atlas is reached only</w:t>
      </w:r>
      <w:r>
        <w:t xml:space="preserve"> </w:t>
      </w:r>
      <w:r>
        <w:t xml:space="preserve">through the signed-in preview host, at its own</w:t>
      </w:r>
      <w:r>
        <w:t xml:space="preserve"> </w:t>
      </w:r>
      <w:r>
        <w:rPr>
          <w:rStyle w:val="VerbatimChar"/>
        </w:rPr>
        <w:t xml:space="preserve">/{ver}/atlas/</w:t>
      </w:r>
      <w:r>
        <w:t xml:space="preserve"> </w:t>
      </w:r>
      <w:r>
        <w:t xml:space="preserve">path. Requesting a release the</w:t>
      </w:r>
      <w:r>
        <w:t xml:space="preserve"> </w:t>
      </w:r>
      <w:r>
        <w:t xml:space="preserve">current host cannot show opens the version picker automatically: a restricted one reads, for example,</w:t>
      </w:r>
      <w:r>
        <w:t xml:space="preserve"> </w:t>
      </w:r>
      <w:r>
        <w:t xml:space="preserve">“v9 is a pre-release under review and is not shown on this</w:t>
      </w:r>
      <w:r>
        <w:t xml:space="preserve"> </w:t>
      </w:r>
      <w:r>
        <w:t xml:space="preserve">host”</w:t>
      </w:r>
      <w:r>
        <w:t xml:space="preserve"> </w:t>
      </w:r>
      <w:r>
        <w:t xml:space="preserve">and offers</w:t>
      </w:r>
      <w:r>
        <w:t xml:space="preserve"> </w:t>
      </w:r>
      <w:r>
        <w:t xml:space="preserve">“Continue on the preview host”</w:t>
      </w:r>
      <w:r>
        <w:t xml:space="preserve"> </w:t>
      </w:r>
      <w:r>
        <w:t xml:space="preserve">(a link straight to that release’s Atlas there, at</w:t>
      </w:r>
      <w:r>
        <w:t xml:space="preserve"> </w:t>
      </w:r>
      <w:r>
        <w:rPr>
          <w:rStyle w:val="VerbatimChar"/>
        </w:rPr>
        <w:t xml:space="preserve">https://preview.marinesensitivity.org/v9/atlas/?ver=v9</w:t>
      </w:r>
      <w:r>
        <w:t xml:space="preserve">), an unrecognized one reads</w:t>
      </w:r>
      <w:r>
        <w:t xml:space="preserve"> </w:t>
      </w:r>
      <w:r>
        <w:t xml:space="preserve">“is not a version this host recognizes,”</w:t>
      </w:r>
      <w:r>
        <w:t xml:space="preserve"> </w:t>
      </w:r>
      <w:r>
        <w:t xml:space="preserve">and either way the promoted release loads</w:t>
      </w:r>
      <w:r>
        <w:t xml:space="preserve"> </w:t>
      </w:r>
      <w:r>
        <w:t xml:space="preserve">underneath while the picker explains why. In the picker, every public release other than the</w:t>
      </w:r>
      <w:r>
        <w:t xml:space="preserve"> </w:t>
      </w:r>
      <w:r>
        <w:t xml:space="preserve">current one offers</w:t>
      </w:r>
      <w:r>
        <w:t xml:space="preserve"> </w:t>
      </w:r>
      <w:r>
        <w:rPr>
          <w:b/>
          <w:bCs/>
        </w:rPr>
        <w:t xml:space="preserve">Switch</w:t>
      </w:r>
      <w:r>
        <w:t xml:space="preserve">.</w:t>
      </w:r>
    </w:p>
    <w:tbl>
      <w:tblPr>
        <w:tblStyle w:val="Table"/>
        <w:tblW w:type="pct" w:w="5000"/>
        <w:tblLayout w:type="fixed"/>
        <w:tblLook w:firstRow="0" w:lastRow="0" w:firstColumn="0" w:lastColumn="0" w:noHBand="0" w:noVBand="0" w:val="0000"/>
      </w:tblPr>
      <w:tblGrid>
        <w:gridCol w:w="7920"/>
      </w:tblGrid>
      <w:tr>
        <w:tc>
          <w:tcPr/>
          <w:bookmarkStart w:id="560" w:name="fig-atlas-versions"/>
          <w:p>
            <w:pPr>
              <w:pStyle w:val="Compact"/>
              <w:jc w:val="center"/>
            </w:pPr>
            <w:r>
              <w:drawing>
                <wp:inline>
                  <wp:extent cx="5334000" cy="3333750"/>
                  <wp:effectExtent b="0" l="0" r="0" t="0"/>
                  <wp:docPr descr="" title="" id="558" name="Picture"/>
                  <a:graphic>
                    <a:graphicData uri="http://schemas.openxmlformats.org/drawingml/2006/picture">
                      <pic:pic>
                        <pic:nvPicPr>
                          <pic:cNvPr descr="images/atlas/desktop-version-picker.png" id="559" name="Picture"/>
                          <pic:cNvPicPr>
                            <a:picLocks noChangeArrowheads="1" noChangeAspect="1"/>
                          </pic:cNvPicPr>
                        </pic:nvPicPr>
                        <pic:blipFill>
                          <a:blip r:embed="rId55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21.14: The release picker (the release chip’s dialog), listing v7c, v7b, v9 and v8 as restricted pre-releases each with a Continue on the preview host link, v7 as current, and v6 down to v1 as retired, each with a Switch link and a date. Atlas 0.10.91, release v7, 2026-10-16.</w:t>
            </w:r>
          </w:p>
          <w:bookmarkEnd w:id="560"/>
        </w:tc>
      </w:tr>
    </w:tbl>
    <w:bookmarkEnd w:id="561"/>
    <w:bookmarkStart w:id="562" w:name="known-limitations-as-of-0.10.93"/>
    <w:p>
      <w:pPr>
        <w:pStyle w:val="Heading2"/>
      </w:pPr>
      <w:r>
        <w:t xml:space="preserve">21.13 Known limitations (as of 0.10.93)</w:t>
      </w:r>
    </w:p>
    <w:p>
      <w:pPr>
        <w:pStyle w:val="Compact"/>
        <w:numPr>
          <w:ilvl w:val="0"/>
          <w:numId w:val="1062"/>
        </w:numPr>
      </w:pPr>
      <w:r>
        <w:t xml:space="preserve">In v7, 1,873 of the 2,619</w:t>
      </w:r>
      <w:r>
        <w:t xml:space="preserve"> </w:t>
      </w:r>
      <w:r>
        <w:rPr>
          <w:rStyle w:val="VerbatimChar"/>
        </w:rPr>
        <w:t xml:space="preserve">rng_iucn</w:t>
      </w:r>
      <w:r>
        <w:t xml:space="preserve"> </w:t>
      </w:r>
      <w:r>
        <w:t xml:space="preserve">range inputs have no model-asset registry row, so their pills</w:t>
      </w:r>
      <w:r>
        <w:t xml:space="preserve"> </w:t>
      </w:r>
      <w:r>
        <w:t xml:space="preserve">in the Species lens show struck through (as they did in the retired Species Shiny app); every other</w:t>
      </w:r>
      <w:r>
        <w:t xml:space="preserve"> </w:t>
      </w:r>
      <w:r>
        <w:t xml:space="preserve">input of v3, v6 and v7 resolves. The other pre-v8 releases (v1, v2, v4, v4b, v5, v7b, v7c) were</w:t>
      </w:r>
      <w:r>
        <w:t xml:space="preserve"> </w:t>
      </w:r>
      <w:r>
        <w:t xml:space="preserve">not checked for this chapter.</w:t>
      </w:r>
    </w:p>
    <w:p>
      <w:pPr>
        <w:pStyle w:val="Compact"/>
        <w:numPr>
          <w:ilvl w:val="0"/>
          <w:numId w:val="1062"/>
        </w:numPr>
      </w:pPr>
      <w:r>
        <w:rPr>
          <w:b/>
          <w:bCs/>
        </w:rPr>
        <w:t xml:space="preserve">GeoPackage</w:t>
      </w:r>
      <w:r>
        <w:t xml:space="preserve"> </w:t>
      </w:r>
      <w:r>
        <w:t xml:space="preserve">is refused (see the Places section above) whenever</w:t>
      </w:r>
      <w:r>
        <w:t xml:space="preserve"> </w:t>
      </w:r>
      <w:r>
        <w:rPr>
          <w:rStyle w:val="VerbatimChar"/>
        </w:rPr>
        <w:t xml:space="preserve">ST_Read</w:t>
      </w:r>
      <w:r>
        <w:t xml:space="preserve"> </w:t>
      </w:r>
      <w:r>
        <w:t xml:space="preserve">fails to parse it,</w:t>
      </w:r>
      <w:r>
        <w:t xml:space="preserve"> </w:t>
      </w:r>
      <w:r>
        <w:t xml:space="preserve">including a file with no vector layer — its declared-CRS and no-feature-table checks cannot</w:t>
      </w:r>
      <w:r>
        <w:t xml:space="preserve"> </w:t>
      </w:r>
      <w:r>
        <w:t xml:space="preserve">actually run against an uploaded file, because DuckDB-WASM’s</w:t>
      </w:r>
      <w:r>
        <w:t xml:space="preserve"> </w:t>
      </w:r>
      <w:r>
        <w:rPr>
          <w:rStyle w:val="VerbatimChar"/>
        </w:rPr>
        <w:t xml:space="preserve">sqlite_scan()</w:t>
      </w:r>
      <w:r>
        <w:t xml:space="preserve"> </w:t>
      </w:r>
      <w:r>
        <w:t xml:space="preserve">cannot open a file</w:t>
      </w:r>
      <w:r>
        <w:t xml:space="preserve"> </w:t>
      </w:r>
      <w:r>
        <w:t xml:space="preserve">registered only through</w:t>
      </w:r>
      <w:r>
        <w:t xml:space="preserve"> </w:t>
      </w:r>
      <w:r>
        <w:rPr>
          <w:rStyle w:val="VerbatimChar"/>
        </w:rPr>
        <w:t xml:space="preserve">registerFileBuffer</w:t>
      </w:r>
      <w:r>
        <w:t xml:space="preserve">, the way an uploaded GeoPackage is, so both checks</w:t>
      </w:r>
      <w:r>
        <w:t xml:space="preserve"> </w:t>
      </w:r>
      <w:r>
        <w:t xml:space="preserve">silently fall through and</w:t>
      </w:r>
      <w:r>
        <w:t xml:space="preserve"> </w:t>
      </w:r>
      <w:r>
        <w:rPr>
          <w:rStyle w:val="VerbatimChar"/>
        </w:rPr>
        <w:t xml:space="preserve">ST_Read</w:t>
      </w:r>
      <w:r>
        <w:t xml:space="preserve">, or the normal out-of-range magnitude check, is left to catch</w:t>
      </w:r>
      <w:r>
        <w:t xml:space="preserve"> </w:t>
      </w:r>
      <w:r>
        <w:t xml:space="preserve">a projected or empty file instead (still refused, just by a different, honest rule).</w:t>
      </w:r>
    </w:p>
    <w:p>
      <w:pPr>
        <w:pStyle w:val="Compact"/>
        <w:numPr>
          <w:ilvl w:val="0"/>
          <w:numId w:val="1062"/>
        </w:numPr>
      </w:pPr>
      <w:r>
        <w:t xml:space="preserve">A multi-Program-Area selection (several picks added as one place) sums area and means the</w:t>
      </w:r>
      <w:r>
        <w:t xml:space="preserve"> </w:t>
      </w:r>
      <w:r>
        <w:t xml:space="preserve">composite for its list row, but its flower, component table and species table are not aggregated</w:t>
      </w:r>
      <w:r>
        <w:t xml:space="preserve"> </w:t>
      </w:r>
      <w:r>
        <w:t xml:space="preserve">— the results panel asks you to select a single Program Area for those.</w:t>
      </w:r>
    </w:p>
    <w:p>
      <w:pPr>
        <w:pStyle w:val="Compact"/>
        <w:numPr>
          <w:ilvl w:val="0"/>
          <w:numId w:val="1062"/>
        </w:numPr>
      </w:pPr>
      <w:r>
        <w:rPr>
          <w:b/>
          <w:bCs/>
        </w:rPr>
        <w:t xml:space="preserve">Show analysis cells</w:t>
      </w:r>
      <w:r>
        <w:t xml:space="preserve"> </w:t>
      </w:r>
      <w:r>
        <w:t xml:space="preserve">is not available for a Program Area place: the app bundle the Atlas reads</w:t>
      </w:r>
      <w:r>
        <w:t xml:space="preserve"> </w:t>
      </w:r>
      <w:r>
        <w:t xml:space="preserve">carries each zone’s count, area and scores but not its cells.</w:t>
      </w:r>
    </w:p>
    <w:p>
      <w:pPr>
        <w:pStyle w:val="Compact"/>
        <w:numPr>
          <w:ilvl w:val="0"/>
          <w:numId w:val="1062"/>
        </w:numPr>
      </w:pPr>
      <w:r>
        <w:t xml:space="preserve">The Atlas’s report is a print-first document built and exported entirely client-side</w:t>
      </w:r>
      <w:r>
        <w:t xml:space="preserve"> </w:t>
      </w:r>
      <w:r>
        <w:t xml:space="preserve">(HTML/ZIP/DOCX from the same source), not the retired Shiny apps’ report.</w:t>
      </w:r>
    </w:p>
    <w:bookmarkEnd w:id="562"/>
    <w:bookmarkStart w:id="564" w:name="generating-screenshots"/>
    <w:p>
      <w:pPr>
        <w:pStyle w:val="Heading2"/>
      </w:pPr>
      <w:r>
        <w:t xml:space="preserve">21.14 Generating Screenshots</w:t>
      </w:r>
    </w:p>
    <w:p>
      <w:pPr>
        <w:pStyle w:val="FirstParagraph"/>
      </w:pPr>
      <w:r>
        <w:t xml:space="preserve">Every figure in this chapter was recaptured on 2026-10-16 from the live Atlas (0.10.91, release v7,</w:t>
      </w:r>
      <w:r>
        <w:t xml:space="preserve"> </w:t>
      </w:r>
      <w:r>
        <w:t xml:space="preserve">dark theme;</w:t>
      </w:r>
      <w:r>
        <w:t xml:space="preserve"> </w:t>
      </w:r>
      <w:hyperlink w:anchor="fig-atlas-places">
        <w:r>
          <w:rPr>
            <w:rStyle w:val="Hyperlink"/>
          </w:rPr>
          <w:t xml:space="preserve">Figure 21.6</w:t>
        </w:r>
      </w:hyperlink>
      <w:r>
        <w:t xml:space="preserve">,</w:t>
      </w:r>
      <w:r>
        <w:t xml:space="preserve"> </w:t>
      </w:r>
      <w:hyperlink w:anchor="fig-atlas-share-ladder">
        <w:r>
          <w:rPr>
            <w:rStyle w:val="Hyperlink"/>
          </w:rPr>
          <w:t xml:space="preserve">Figure 21.9</w:t>
        </w:r>
      </w:hyperlink>
      <w:r>
        <w:t xml:space="preserve">,</w:t>
      </w:r>
      <w:r>
        <w:t xml:space="preserve"> </w:t>
      </w:r>
      <w:hyperlink w:anchor="fig-atlas-report">
        <w:r>
          <w:rPr>
            <w:rStyle w:val="Hyperlink"/>
          </w:rPr>
          <w:t xml:space="preserve">Figure 21.12</w:t>
        </w:r>
      </w:hyperlink>
      <w:r>
        <w:t xml:space="preserve"> </w:t>
      </w:r>
      <w:r>
        <w:t xml:space="preserve">and</w:t>
      </w:r>
      <w:r>
        <w:t xml:space="preserve"> </w:t>
      </w:r>
      <w:hyperlink w:anchor="fig-atlas-report-scores">
        <w:r>
          <w:rPr>
            <w:rStyle w:val="Hyperlink"/>
          </w:rPr>
          <w:t xml:space="preserve">Figure 21.13</w:t>
        </w:r>
      </w:hyperlink>
      <w:r>
        <w:t xml:space="preserve"> </w:t>
      </w:r>
      <w:r>
        <w:t xml:space="preserve">from 0.10.92 later that day, after its Report fixes) with Playwright’s Chromium: desktop at 1280×800 and 1x, phone at 390×844 and 2x with</w:t>
      </w:r>
      <w:r>
        <w:t xml:space="preserve"> </w:t>
      </w:r>
      <w:r>
        <w:t xml:space="preserve">touch, at</w:t>
      </w:r>
      <w:r>
        <w:t xml:space="preserve"> </w:t>
      </w:r>
      <w:r>
        <w:rPr>
          <w:rStyle w:val="VerbatimChar"/>
        </w:rPr>
        <w:t xml:space="preserve">https://marinesensitivity.org/atlas/</w:t>
      </w:r>
      <w:r>
        <w:t xml:space="preserve">. The atlas repository’s own</w:t>
      </w:r>
      <w:r>
        <w:t xml:space="preserve"> </w:t>
      </w:r>
      <w:r>
        <w:rPr>
          <w:rStyle w:val="VerbatimChar"/>
        </w:rPr>
        <w:t xml:space="preserve">scripts/eyes-shots.mjs</w:t>
      </w:r>
      <w:r>
        <w:t xml:space="preserve"> </w:t>
      </w:r>
      <w:r>
        <w:t xml:space="preserve">covers the standard states (about 20 numbered shots per viewport) and was run against the live site:</w:t>
      </w:r>
    </w:p>
    <w:p>
      <w:pPr>
        <w:pStyle w:val="SourceCode"/>
      </w:pPr>
      <w:r>
        <w:rPr>
          <w:rStyle w:val="VariableTok"/>
        </w:rPr>
        <w:t xml:space="preserve">ATLAS_URL</w:t>
      </w:r>
      <w:r>
        <w:rPr>
          <w:rStyle w:val="OperatorTok"/>
        </w:rPr>
        <w:t xml:space="preserve">=</w:t>
      </w:r>
      <w:r>
        <w:rPr>
          <w:rStyle w:val="NormalTok"/>
        </w:rPr>
        <w:t xml:space="preserve">https://marinesensitivity.org/atlas </w:t>
      </w:r>
      <w:r>
        <w:rPr>
          <w:rStyle w:val="VariableTok"/>
        </w:rPr>
        <w:t xml:space="preserve">OUT</w:t>
      </w:r>
      <w:r>
        <w:rPr>
          <w:rStyle w:val="OperatorTok"/>
        </w:rPr>
        <w:t xml:space="preserve">=</w:t>
      </w:r>
      <w:r>
        <w:rPr>
          <w:rStyle w:val="NormalTok"/>
        </w:rPr>
        <w:t xml:space="preserve">.tmp/eyes </w:t>
      </w:r>
      <w:r>
        <w:rPr>
          <w:rStyle w:val="VariableTok"/>
        </w:rPr>
        <w:t xml:space="preserve">ONLY</w:t>
      </w:r>
      <w:r>
        <w:rPr>
          <w:rStyle w:val="OperatorTok"/>
        </w:rPr>
        <w:t xml:space="preserve">=</w:t>
      </w:r>
      <w:r>
        <w:rPr>
          <w:rStyle w:val="NormalTok"/>
        </w:rPr>
        <w:t xml:space="preserve">map,layers,more </w:t>
      </w:r>
      <w:r>
        <w:rPr>
          <w:rStyle w:val="ExtensionTok"/>
        </w:rPr>
        <w:t xml:space="preserve">node</w:t>
      </w:r>
      <w:r>
        <w:rPr>
          <w:rStyle w:val="NormalTok"/>
        </w:rPr>
        <w:t xml:space="preserve"> scripts/eyes-shots.mjs</w:t>
      </w:r>
    </w:p>
    <w:p>
      <w:pPr>
        <w:pStyle w:val="FirstParagraph"/>
      </w:pPr>
      <w:r>
        <w:t xml:space="preserve">It does not reach every state in this chapter, so the figures were taken by one driver script</w:t>
      </w:r>
      <w:r>
        <w:t xml:space="preserve"> </w:t>
      </w:r>
      <w:r>
        <w:t xml:space="preserve">(</w:t>
      </w:r>
      <w:r>
        <w:rPr>
          <w:rStyle w:val="VerbatimChar"/>
        </w:rPr>
        <w:t xml:space="preserve">figs.mjs</w:t>
      </w:r>
      <w:r>
        <w:t xml:space="preserve">, kept outside both repositories) that uses the same helpers (</w:t>
      </w:r>
      <w:r>
        <w:rPr>
          <w:rStyle w:val="VerbatimChar"/>
        </w:rPr>
        <w:t xml:space="preserve">go</w:t>
      </w:r>
      <w:r>
        <w:t xml:space="preserve">,</w:t>
      </w:r>
      <w:r>
        <w:t xml:space="preserve"> </w:t>
      </w:r>
      <w:r>
        <w:rPr>
          <w:rStyle w:val="VerbatimChar"/>
        </w:rPr>
        <w:t xml:space="preserve">explore</w:t>
      </w:r>
      <w:r>
        <w:t xml:space="preserve">,</w:t>
      </w:r>
      <w:r>
        <w:t xml:space="preserve"> </w:t>
      </w:r>
      <w:r>
        <w:rPr>
          <w:rStyle w:val="VerbatimChar"/>
        </w:rPr>
        <w:t xml:space="preserve">tool</w:t>
      </w:r>
      <w:r>
        <w:t xml:space="preserve">, and</w:t>
      </w:r>
      <w:r>
        <w:t xml:space="preserve"> </w:t>
      </w:r>
      <w:r>
        <w:rPr>
          <w:rStyle w:val="VerbatimChar"/>
        </w:rPr>
        <w:t xml:space="preserve">screenPointFor</w:t>
      </w:r>
      <w:r>
        <w:t xml:space="preserve"> </w:t>
      </w:r>
      <w:r>
        <w:t xml:space="preserve">to click a map coordinate by projecting it) and loads each state from a URL or</w:t>
      </w:r>
      <w:r>
        <w:t xml:space="preserve"> </w:t>
      </w:r>
      <w:r>
        <w:t xml:space="preserve">UI steps:</w:t>
      </w:r>
      <w:r>
        <w:t xml:space="preserve"> </w:t>
      </w:r>
      <w:r>
        <w:rPr>
          <w:rStyle w:val="VerbatimChar"/>
        </w:rPr>
        <w:t xml:space="preserve">?ver=v7&amp;theme=dark</w:t>
      </w:r>
      <w:r>
        <w:t xml:space="preserve"> </w:t>
      </w:r>
      <w:r>
        <w:t xml:space="preserve">for the map, Layers, the version picker and the phone figures (the</w:t>
      </w:r>
      <w:r>
        <w:t xml:space="preserve"> </w:t>
      </w:r>
      <w:r>
        <w:t xml:space="preserve">release chip opens the picker,</w:t>
      </w:r>
      <w:r>
        <w:t xml:space="preserve"> </w:t>
      </w:r>
      <w:r>
        <w:rPr>
          <w:b/>
          <w:bCs/>
        </w:rPr>
        <w:t xml:space="preserve">More</w:t>
      </w:r>
      <w:r>
        <w:t xml:space="preserve"> </w:t>
      </w:r>
      <w:r>
        <w:t xml:space="preserve">the phone menu); a click at 28.3° N, 83.6° W for the flower</w:t>
      </w:r>
      <w:r>
        <w:t xml:space="preserve"> </w:t>
      </w:r>
      <w:r>
        <w:t xml:space="preserve">and the Table;</w:t>
      </w:r>
      <w:r>
        <w:t xml:space="preserve"> </w:t>
      </w:r>
      <w:r>
        <w:rPr>
          <w:rStyle w:val="VerbatimChar"/>
        </w:rPr>
        <w:t xml:space="preserve">?ver=v7&amp;lens=species</w:t>
      </w:r>
      <w:r>
        <w:t xml:space="preserve"> </w:t>
      </w:r>
      <w:r>
        <w:t xml:space="preserve">and a search for</w:t>
      </w:r>
      <w:r>
        <w:t xml:space="preserve"> </w:t>
      </w:r>
      <w:r>
        <w:t xml:space="preserve">“leatherback”</w:t>
      </w:r>
      <w:r>
        <w:t xml:space="preserve"> </w:t>
      </w:r>
      <w:r>
        <w:t xml:space="preserve">for the Species lens;</w:t>
      </w:r>
      <w:r>
        <w:t xml:space="preserve"> </w:t>
      </w:r>
      <w:r>
        <w:rPr>
          <w:rStyle w:val="VerbatimChar"/>
        </w:rPr>
        <w:t xml:space="preserve">#pl=z.pa.GAA</w:t>
      </w:r>
      <w:r>
        <w:t xml:space="preserve"> </w:t>
      </w:r>
      <w:r>
        <w:t xml:space="preserve">plus</w:t>
      </w:r>
      <w:r>
        <w:t xml:space="preserve"> </w:t>
      </w:r>
      <w:r>
        <w:rPr>
          <w:b/>
          <w:bCs/>
        </w:rPr>
        <w:t xml:space="preserve">Open report</w:t>
      </w:r>
      <w:r>
        <w:t xml:space="preserve"> </w:t>
      </w:r>
      <w:r>
        <w:t xml:space="preserve">(a new tab, then scrolled to the</w:t>
      </w:r>
      <w:r>
        <w:t xml:space="preserve"> </w:t>
      </w:r>
      <w:r>
        <w:rPr>
          <w:b/>
          <w:bCs/>
        </w:rPr>
        <w:t xml:space="preserve">Table of Scores</w:t>
      </w:r>
      <w:r>
        <w:t xml:space="preserve"> </w:t>
      </w:r>
      <w:r>
        <w:t xml:space="preserve">heading) for</w:t>
      </w:r>
      <w:r>
        <w:t xml:space="preserve"> </w:t>
      </w:r>
      <w:r>
        <w:t xml:space="preserve">the two report figures and the Share dialog;</w:t>
      </w:r>
      <w:r>
        <w:t xml:space="preserve"> </w:t>
      </w:r>
      <w:r>
        <w:rPr>
          <w:b/>
          <w:bCs/>
        </w:rPr>
        <w:t xml:space="preserve">Add a Program Area</w:t>
      </w:r>
      <w:r>
        <w:t xml:space="preserve"> </w:t>
      </w:r>
      <w:r>
        <w:t xml:space="preserve">(Aleutian Arc) plus</w:t>
      </w:r>
      <w:r>
        <w:t xml:space="preserve"> </w:t>
      </w:r>
      <w:r>
        <w:rPr>
          <w:b/>
          <w:bCs/>
        </w:rPr>
        <w:t xml:space="preserve">Enter</w:t>
      </w:r>
      <w:r>
        <w:rPr>
          <w:b/>
          <w:bCs/>
        </w:rPr>
        <w:t xml:space="preserve"> </w:t>
      </w:r>
      <w:r>
        <w:rPr>
          <w:b/>
          <w:bCs/>
        </w:rPr>
        <w:t xml:space="preserve">coordinates</w:t>
      </w:r>
      <w:r>
        <w:t xml:space="preserve"> </w:t>
      </w:r>
      <w:r>
        <w:t xml:space="preserve">(</w:t>
      </w:r>
      <w:r>
        <w:rPr>
          <w:rStyle w:val="VerbatimChar"/>
        </w:rPr>
        <w:t xml:space="preserve">-93, 26, -90, 29</w:t>
      </w:r>
      <w:r>
        <w:t xml:space="preserve">) for the places list; a single point (</w:t>
      </w:r>
      <w:r>
        <w:rPr>
          <w:rStyle w:val="VerbatimChar"/>
        </w:rPr>
        <w:t xml:space="preserve">-124.1, 40.2</w:t>
      </w:r>
      <w:r>
        <w:t xml:space="preserve">) for the</w:t>
      </w:r>
      <w:r>
        <w:t xml:space="preserve"> </w:t>
      </w:r>
      <w:r>
        <w:t xml:space="preserve">refusal; and a 3,600-vertex noisy outline pasted into</w:t>
      </w:r>
      <w:r>
        <w:t xml:space="preserve"> </w:t>
      </w:r>
      <w:r>
        <w:rPr>
          <w:b/>
          <w:bCs/>
        </w:rPr>
        <w:t xml:space="preserve">Enter coordinates</w:t>
      </w:r>
      <w:r>
        <w:t xml:space="preserve">, then</w:t>
      </w:r>
      <w:r>
        <w:t xml:space="preserve"> </w:t>
      </w:r>
      <w:r>
        <w:rPr>
          <w:b/>
          <w:bCs/>
        </w:rPr>
        <w:t xml:space="preserve">Share</w:t>
      </w:r>
      <w:r>
        <w:t xml:space="preserve">, for the</w:t>
      </w:r>
      <w:r>
        <w:t xml:space="preserve"> </w:t>
      </w:r>
      <w:r>
        <w:t xml:space="preserve">simplification ladder. Each PNG was then reduced with</w:t>
      </w:r>
      <w:r>
        <w:t xml:space="preserve"> </w:t>
      </w:r>
      <w:r>
        <w:rPr>
          <w:rStyle w:val="VerbatimChar"/>
        </w:rPr>
        <w:t xml:space="preserve">pngquant --quality=85-98</w:t>
      </w:r>
      <w:r>
        <w:t xml:space="preserve">. The guided-tour</w:t>
      </w:r>
      <w:r>
        <w:t xml:space="preserve"> </w:t>
      </w:r>
      <w:r>
        <w:t xml:space="preserve">images of the</w:t>
      </w:r>
      <w:r>
        <w:t xml:space="preserve"> </w:t>
      </w:r>
      <w:hyperlink r:id="rId563">
        <w:r>
          <w:rPr>
            <w:rStyle w:val="Hyperlink"/>
          </w:rPr>
          <w:t xml:space="preserve">Atlas user guide</w:t>
        </w:r>
      </w:hyperlink>
      <w:r>
        <w:t xml:space="preserve"> </w:t>
      </w:r>
      <w:r>
        <w:t xml:space="preserve">come from a different script,</w:t>
      </w:r>
      <w:r>
        <w:t xml:space="preserve"> </w:t>
      </w:r>
      <w:r>
        <w:rPr>
          <w:rStyle w:val="VerbatimChar"/>
        </w:rPr>
        <w:t xml:space="preserve">npm run tour:guide</w:t>
      </w:r>
      <w:r>
        <w:t xml:space="preserve"> </w:t>
      </w:r>
      <w:r>
        <w:t xml:space="preserve">(</w:t>
      </w:r>
      <w:r>
        <w:rPr>
          <w:rStyle w:val="VerbatimChar"/>
        </w:rPr>
        <w:t xml:space="preserve">scripts/tour-guide.mjs</w:t>
      </w:r>
      <w:r>
        <w:t xml:space="preserve">, from atlas 0.10.90).</w:t>
      </w:r>
    </w:p>
    <w:bookmarkEnd w:id="564"/>
    <w:bookmarkStart w:id="565" w:name="source-code"/>
    <w:p>
      <w:pPr>
        <w:pStyle w:val="Heading2"/>
      </w:pPr>
      <w:r>
        <w:t xml:space="preserve">21.15 Source Code</w:t>
      </w:r>
    </w:p>
    <w:p>
      <w:pPr>
        <w:pStyle w:val="FirstParagraph"/>
      </w:pPr>
      <w:hyperlink r:id="rId343">
        <w:r>
          <w:rPr>
            <w:rStyle w:val="VerbatimChar"/>
          </w:rPr>
          <w:t xml:space="preserve">atlas</w:t>
        </w:r>
      </w:hyperlink>
      <w:r>
        <w:t xml:space="preserve"> </w:t>
      </w:r>
      <w:r>
        <w:t xml:space="preserve">on its own</w:t>
      </w:r>
      <w:r>
        <w:t xml:space="preserve"> </w:t>
      </w:r>
      <w:r>
        <w:rPr>
          <w:rStyle w:val="VerbatimChar"/>
        </w:rPr>
        <w:t xml:space="preserve">main</w:t>
      </w:r>
      <w:r>
        <w:t xml:space="preserve"> </w:t>
      </w:r>
      <w:r>
        <w:t xml:space="preserve">branch — one static build</w:t>
      </w:r>
      <w:r>
        <w:t xml:space="preserve"> </w:t>
      </w:r>
      <w:r>
        <w:t xml:space="preserve">for every release, the same</w:t>
      </w:r>
      <w:r>
        <w:t xml:space="preserve"> </w:t>
      </w:r>
      <w:r>
        <w:t xml:space="preserve">“one checkout, not one per version”</w:t>
      </w:r>
      <w:r>
        <w:t xml:space="preserve"> </w:t>
      </w:r>
      <w:r>
        <w:t xml:space="preserve">convention the retired</w:t>
      </w:r>
      <w:r>
        <w:t xml:space="preserve"> </w:t>
      </w:r>
      <w:hyperlink r:id="rId488">
        <w:r>
          <w:rPr>
            <w:rStyle w:val="Hyperlink"/>
          </w:rPr>
          <w:t xml:space="preserve">Scores</w:t>
        </w:r>
      </w:hyperlink>
      <w:r>
        <w:t xml:space="preserve"> </w:t>
      </w:r>
      <w:r>
        <w:t xml:space="preserve">and</w:t>
      </w:r>
      <w:r>
        <w:t xml:space="preserve"> </w:t>
      </w:r>
      <w:hyperlink r:id="rId489">
        <w:r>
          <w:rPr>
            <w:rStyle w:val="Hyperlink"/>
          </w:rPr>
          <w:t xml:space="preserve">Species</w:t>
        </w:r>
      </w:hyperlink>
      <w:r>
        <w:t xml:space="preserve"> </w:t>
      </w:r>
      <w:r>
        <w:t xml:space="preserve">apps followed.</w:t>
      </w:r>
    </w:p>
    <w:bookmarkEnd w:id="565"/>
    <w:bookmarkEnd w:id="566"/>
    <w:bookmarkStart w:id="646" w:name="atlas-user-guide"/>
    <w:p>
      <w:pPr>
        <w:pStyle w:val="Heading1"/>
      </w:pPr>
      <w:r>
        <w:t xml:space="preserve">22. Atlas User Guide</w:t>
      </w:r>
    </w:p>
    <w:p>
      <w:pPr>
        <w:pStyle w:val="FirstParagraph"/>
      </w:pPr>
      <w:r>
        <w:t xml:space="preserve">Step-by-step walkthrough of the Atlas, one control at a time</w:t>
      </w:r>
    </w:p>
    <w:p>
      <w:pPr>
        <w:pStyle w:val="BodyText"/>
      </w:pPr>
      <w:r>
        <w:br/>
      </w:r>
    </w:p>
    <w:p>
      <w:pPr>
        <w:pStyle w:val="BodyText"/>
      </w:pPr>
      <w:r>
        <w:t xml:space="preserve">This guide walks through the</w:t>
      </w:r>
      <w:r>
        <w:t xml:space="preserve"> </w:t>
      </w:r>
      <w:r>
        <w:rPr>
          <w:b/>
          <w:bCs/>
        </w:rPr>
        <w:t xml:space="preserve">Atlas</w:t>
      </w:r>
      <w:r>
        <w:t xml:space="preserve"> </w:t>
      </w:r>
      <w:r>
        <w:t xml:space="preserve">(</w:t>
      </w:r>
      <w:hyperlink r:id="rId24">
        <w:r>
          <w:rPr>
            <w:rStyle w:val="Hyperlink"/>
          </w:rPr>
          <w:t xml:space="preserve">preview.marinesensitivity.org/v9/atlas/</w:t>
        </w:r>
      </w:hyperlink>
      <w:r>
        <w:t xml:space="preserve">) one control at a</w:t>
      </w:r>
      <w:r>
        <w:t xml:space="preserve"> </w:t>
      </w:r>
      <w:r>
        <w:t xml:space="preserve">time. Each numbered step below mirrors a step in the Atlas’s built-in</w:t>
      </w:r>
      <w:r>
        <w:t xml:space="preserve"> </w:t>
      </w:r>
      <w:r>
        <w:rPr>
          <w:b/>
          <w:bCs/>
        </w:rPr>
        <w:t xml:space="preserve">Take a tour</w:t>
      </w:r>
      <w:r>
        <w:t xml:space="preserve"> </w:t>
      </w:r>
      <w:r>
        <w:t xml:space="preserve">(click</w:t>
      </w:r>
      <w:r>
        <w:t xml:space="preserve"> </w:t>
      </w:r>
      <w:r>
        <w:rPr>
          <w:b/>
          <w:bCs/>
        </w:rPr>
        <w:t xml:space="preserve">(?) Help › Take a tour</w:t>
      </w:r>
      <w:r>
        <w:t xml:space="preserve"> </w:t>
      </w:r>
      <w:r>
        <w:t xml:space="preserve">on a desktop, or</w:t>
      </w:r>
      <w:r>
        <w:t xml:space="preserve"> </w:t>
      </w:r>
      <w:r>
        <w:rPr>
          <w:b/>
          <w:bCs/>
        </w:rPr>
        <w:t xml:space="preserve">⋯ More › Take a tour</w:t>
      </w:r>
      <w:r>
        <w:t xml:space="preserve"> </w:t>
      </w:r>
      <w:r>
        <w:t xml:space="preserve">on a phone, to</w:t>
      </w:r>
      <w:r>
        <w:t xml:space="preserve"> </w:t>
      </w:r>
      <w:r>
        <w:t xml:space="preserve">walk the same path live), with the relevant control highlighted on the screenshot, and links</w:t>
      </w:r>
      <w:r>
        <w:t xml:space="preserve"> </w:t>
      </w:r>
      <w:r>
        <w:t xml:space="preserve">to open that step’s view in the Atlas itself.</w:t>
      </w:r>
    </w:p>
    <w:p>
      <w:pPr>
        <w:pStyle w:val="BodyText"/>
      </w:pPr>
      <w:r>
        <w:t xml:space="preserve">For a feature-by-feature reference instead, see the</w:t>
      </w:r>
      <w:r>
        <w:t xml:space="preserve"> </w:t>
      </w:r>
      <w:hyperlink w:anchor="Xdb7596251ccac05cc02bb08ef65d814effe7d92">
        <w:r>
          <w:rPr>
            <w:rStyle w:val="Hyperlink"/>
          </w:rPr>
          <w:t xml:space="preserve">Atlas</w:t>
        </w:r>
      </w:hyperlink>
      <w:r>
        <w:t xml:space="preserve"> </w:t>
      </w:r>
      <w:r>
        <w:t xml:space="preserve">chapter</w:t>
      </w:r>
      <w:r>
        <w:t xml:space="preserve"> </w:t>
      </w:r>
      <w:r>
        <w:t xml:space="preserve">(</w:t>
      </w:r>
      <w:hyperlink w:anchor="sec-app-atlas">
        <w:r>
          <w:rPr>
            <w:rStyle w:val="Hyperlink"/>
          </w:rPr>
          <w:t xml:space="preserve">Chapter 21</w:t>
        </w:r>
      </w:hyperlink>
      <w:r>
        <w:t xml:space="preserve">). The Scores and Species Shiny apps that came before the Atlas have their own,</w:t>
      </w:r>
      <w:r>
        <w:t xml:space="preserve"> </w:t>
      </w:r>
      <w:r>
        <w:t xml:space="preserve">frozen</w:t>
      </w:r>
      <w:r>
        <w:t xml:space="preserve"> </w:t>
      </w:r>
      <w:hyperlink r:id="rId483">
        <w:r>
          <w:rPr>
            <w:rStyle w:val="Hyperlink"/>
          </w:rPr>
          <w:t xml:space="preserve">step-by-step guide</w:t>
        </w:r>
      </w:hyperlink>
      <w:r>
        <w:t xml:space="preserve"> </w:t>
      </w:r>
      <w:r>
        <w:t xml:space="preserve">in the Legacy appendix.</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7" name="Picture"/>
                  <a:graphic>
                    <a:graphicData uri="http://schemas.openxmlformats.org/drawingml/2006/picture">
                      <pic:pic>
                        <pic:nvPicPr>
                          <pic:cNvPr descr="/Applications/quarto/share/formats/docx/tip.png" id="568"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stays in sync</w:t>
            </w:r>
          </w:p>
        </w:tc>
      </w:tr>
      <w:tr>
        <w:trPr>
          <w:cantSplit/>
        </w:trPr>
        <w:tc>
          <w:tcPr>
            <w:tcMar>
              <w:top w:w="108" w:type="dxa"/>
              <w:bottom w:w="108" w:type="dxa"/>
            </w:tcMar>
          </w:tcPr>
          <w:p>
            <w:pPr>
              <w:pStyle w:val="BodyText"/>
            </w:pPr>
            <w:pPr>
              <w:spacing w:before="16" w:after="16"/>
            </w:pPr>
            <w:r>
              <w:t xml:space="preserve">The steps, captions, and highlighted screenshots are generated directly from the Atlas’s own</w:t>
            </w:r>
            <w:r>
              <w:t xml:space="preserve"> </w:t>
            </w:r>
            <w:r>
              <w:t xml:space="preserve">guided tour (the driver.js step data in</w:t>
            </w:r>
            <w:r>
              <w:t xml:space="preserve"> </w:t>
            </w:r>
            <w:r>
              <w:rPr>
                <w:rStyle w:val="VerbatimChar"/>
              </w:rPr>
              <w:t xml:space="preserve">src/shell/tour.ts</w:t>
            </w:r>
            <w:r>
              <w:t xml:space="preserve"> </w:t>
            </w:r>
            <w:r>
              <w:t xml:space="preserve">of the</w:t>
            </w:r>
            <w:r>
              <w:t xml:space="preserve"> </w:t>
            </w:r>
            <w:hyperlink r:id="rId343">
              <w:r>
                <w:rPr>
                  <w:rStyle w:val="VerbatimChar"/>
                </w:rPr>
                <w:t xml:space="preserve">atlas</w:t>
              </w:r>
            </w:hyperlink>
            <w:r>
              <w:t xml:space="preserve"> </w:t>
            </w:r>
            <w:r>
              <w:t xml:space="preserve">repository). From the atlas repository,</w:t>
            </w:r>
            <w:r>
              <w:t xml:space="preserve"> </w:t>
            </w:r>
            <w:r>
              <w:rPr>
                <w:rStyle w:val="VerbatimChar"/>
              </w:rPr>
              <w:t xml:space="preserve">node scripts/tour-guide.mjs --out &lt;docs&gt;/figures/atlas-guide</w:t>
            </w:r>
            <w:r>
              <w:t xml:space="preserve"> </w:t>
            </w:r>
            <w:r>
              <w:t xml:space="preserve">walks the tour on a running</w:t>
            </w:r>
            <w:r>
              <w:t xml:space="preserve"> </w:t>
            </w:r>
            <w:r>
              <w:t xml:space="preserve">build of the Atlas, re-captures a screenshot with each step’s control highlighted, and writes</w:t>
            </w:r>
            <w:r>
              <w:t xml:space="preserve"> </w:t>
            </w:r>
            <w:r>
              <w:rPr>
                <w:rStyle w:val="VerbatimChar"/>
              </w:rPr>
              <w:t xml:space="preserve">figures/atlas-guide/steps.json</w:t>
            </w:r>
            <w:r>
              <w:t xml:space="preserve"> </w:t>
            </w:r>
            <w:r>
              <w:t xml:space="preserve">into this book. So whenever the tour changes, re-running that</w:t>
            </w:r>
            <w:r>
              <w:t xml:space="preserve"> </w:t>
            </w:r>
            <w:r>
              <w:t xml:space="preserve">one script refreshes this whole page.</w:t>
            </w:r>
          </w:p>
          <w:p/>
        </w:tc>
      </w:tr>
    </w:tbl>
    <w:p>
      <w:pPr>
        <w:pStyle w:val="BodyText"/>
      </w:pPr>
      <w:r>
        <w:t xml:space="preserve">Screenshots captured from the live Atlas 0.10.91 (7e6d326), release v7, 2026-10-16.</w:t>
      </w:r>
    </w:p>
    <w:bookmarkStart w:id="618" w:name="atlas-scores-lens"/>
    <w:p>
      <w:pPr>
        <w:pStyle w:val="Heading2"/>
      </w:pPr>
      <w:r>
        <w:t xml:space="preserve">22.1 Atlas — Scores lens</w:t>
      </w:r>
    </w:p>
    <w:bookmarkStart w:id="573" w:name="the-map"/>
    <w:p>
      <w:pPr>
        <w:pStyle w:val="Heading3"/>
      </w:pPr>
      <w:r>
        <w:t xml:space="preserve">22.1.1 1. The map</w:t>
      </w:r>
    </w:p>
    <w:p>
      <w:pPr>
        <w:pStyle w:val="FirstParagraph"/>
      </w:pPr>
      <w:r>
        <w:t xml:space="preserve">Colour is the combined sensitivity score for each 0.05° cell of US waters (red high, blue low).</w:t>
      </w:r>
    </w:p>
    <w:tbl>
      <w:tblPr>
        <w:tblStyle w:val="Table"/>
        <w:tblW w:type="pct" w:w="5000"/>
        <w:tblLayout w:type="fixed"/>
        <w:tblLook w:firstRow="0" w:lastRow="0" w:firstColumn="0" w:lastColumn="0" w:noHBand="0" w:noVBand="0" w:val="0000"/>
      </w:tblPr>
      <w:tblGrid>
        <w:gridCol w:w="7920"/>
      </w:tblGrid>
      <w:tr>
        <w:tc>
          <w:tcPr/>
          <w:bookmarkStart w:id="572" w:name="fig-atlas-scores-01"/>
          <w:p>
            <w:pPr>
              <w:pStyle w:val="Compact"/>
              <w:jc w:val="center"/>
            </w:pPr>
            <w:r>
              <w:drawing>
                <wp:inline>
                  <wp:extent cx="5334000" cy="3333750"/>
                  <wp:effectExtent b="0" l="0" r="0" t="0"/>
                  <wp:docPr descr="" title="" id="570" name="Picture"/>
                  <a:graphic>
                    <a:graphicData uri="http://schemas.openxmlformats.org/drawingml/2006/picture">
                      <pic:pic>
                        <pic:nvPicPr>
                          <pic:cNvPr descr="figures/atlas-guide/atlas-scores-01.png" id="571" name="Picture"/>
                          <pic:cNvPicPr>
                            <a:picLocks noChangeArrowheads="1" noChangeAspect="1"/>
                          </pic:cNvPicPr>
                        </pic:nvPicPr>
                        <pic:blipFill>
                          <a:blip r:embed="rId56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 The map</w:t>
            </w:r>
          </w:p>
          <w:bookmarkEnd w:id="572"/>
        </w:tc>
      </w:tr>
    </w:tbl>
    <w:p>
      <w:pPr>
        <w:pStyle w:val="BodyText"/>
      </w:pPr>
      <w:hyperlink r:id="rId24">
        <w:r>
          <w:rPr>
            <w:rStyle w:val="Hyperlink"/>
          </w:rPr>
          <w:t xml:space="preserve">Open this step in the Atlas</w:t>
        </w:r>
      </w:hyperlink>
    </w:p>
    <w:bookmarkEnd w:id="573"/>
    <w:bookmarkStart w:id="578" w:name="the-release"/>
    <w:p>
      <w:pPr>
        <w:pStyle w:val="Heading3"/>
      </w:pPr>
      <w:r>
        <w:t xml:space="preserve">22.1.2 2. The release</w:t>
      </w:r>
    </w:p>
    <w:p>
      <w:pPr>
        <w:pStyle w:val="FirstParagraph"/>
      </w:pPr>
      <w:r>
        <w:t xml:space="preserve">You are looking at this release; every published release is here.</w:t>
      </w:r>
    </w:p>
    <w:tbl>
      <w:tblPr>
        <w:tblStyle w:val="Table"/>
        <w:tblW w:type="pct" w:w="5000"/>
        <w:tblLayout w:type="fixed"/>
        <w:tblLook w:firstRow="0" w:lastRow="0" w:firstColumn="0" w:lastColumn="0" w:noHBand="0" w:noVBand="0" w:val="0000"/>
      </w:tblPr>
      <w:tblGrid>
        <w:gridCol w:w="7920"/>
      </w:tblGrid>
      <w:tr>
        <w:tc>
          <w:tcPr/>
          <w:bookmarkStart w:id="577" w:name="fig-atlas-scores-02"/>
          <w:p>
            <w:pPr>
              <w:pStyle w:val="Compact"/>
              <w:jc w:val="center"/>
            </w:pPr>
            <w:r>
              <w:drawing>
                <wp:inline>
                  <wp:extent cx="5334000" cy="3333750"/>
                  <wp:effectExtent b="0" l="0" r="0" t="0"/>
                  <wp:docPr descr="" title="" id="575" name="Picture"/>
                  <a:graphic>
                    <a:graphicData uri="http://schemas.openxmlformats.org/drawingml/2006/picture">
                      <pic:pic>
                        <pic:nvPicPr>
                          <pic:cNvPr descr="figures/atlas-guide/atlas-scores-02.png" id="576" name="Picture"/>
                          <pic:cNvPicPr>
                            <a:picLocks noChangeArrowheads="1" noChangeAspect="1"/>
                          </pic:cNvPicPr>
                        </pic:nvPicPr>
                        <pic:blipFill>
                          <a:blip r:embed="rId57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22.2: The release</w:t>
            </w:r>
          </w:p>
          <w:bookmarkEnd w:id="577"/>
        </w:tc>
      </w:tr>
    </w:tbl>
    <w:p>
      <w:pPr>
        <w:pStyle w:val="BodyText"/>
      </w:pPr>
      <w:hyperlink r:id="rId24">
        <w:r>
          <w:rPr>
            <w:rStyle w:val="Hyperlink"/>
          </w:rPr>
          <w:t xml:space="preserve">Open this step in the Atlas</w:t>
        </w:r>
      </w:hyperlink>
    </w:p>
    <w:bookmarkEnd w:id="578"/>
    <w:bookmarkStart w:id="583" w:name="the-lenses"/>
    <w:p>
      <w:pPr>
        <w:pStyle w:val="Heading3"/>
      </w:pPr>
      <w:r>
        <w:t xml:space="preserve">22.1.3 3. The lenses</w:t>
      </w:r>
    </w:p>
    <w:p>
      <w:pPr>
        <w:pStyle w:val="FirstParagraph"/>
      </w:pPr>
      <w:r>
        <w:t xml:space="preserve">Scores ranks places; Species shows one species’ distribution.</w:t>
      </w:r>
    </w:p>
    <w:tbl>
      <w:tblPr>
        <w:tblStyle w:val="Table"/>
        <w:tblW w:type="pct" w:w="5000"/>
        <w:tblLayout w:type="fixed"/>
        <w:tblLook w:firstRow="0" w:lastRow="0" w:firstColumn="0" w:lastColumn="0" w:noHBand="0" w:noVBand="0" w:val="0000"/>
      </w:tblPr>
      <w:tblGrid>
        <w:gridCol w:w="7920"/>
      </w:tblGrid>
      <w:tr>
        <w:tc>
          <w:tcPr/>
          <w:bookmarkStart w:id="582" w:name="fig-atlas-scores-03"/>
          <w:p>
            <w:pPr>
              <w:pStyle w:val="Compact"/>
              <w:jc w:val="center"/>
            </w:pPr>
            <w:r>
              <w:drawing>
                <wp:inline>
                  <wp:extent cx="5334000" cy="3333750"/>
                  <wp:effectExtent b="0" l="0" r="0" t="0"/>
                  <wp:docPr descr="" title="" id="580" name="Picture"/>
                  <a:graphic>
                    <a:graphicData uri="http://schemas.openxmlformats.org/drawingml/2006/picture">
                      <pic:pic>
                        <pic:nvPicPr>
                          <pic:cNvPr descr="figures/atlas-guide/atlas-scores-03.png" id="581" name="Picture"/>
                          <pic:cNvPicPr>
                            <a:picLocks noChangeArrowheads="1" noChangeAspect="1"/>
                          </pic:cNvPicPr>
                        </pic:nvPicPr>
                        <pic:blipFill>
                          <a:blip r:embed="rId57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22.3: The lenses</w:t>
            </w:r>
          </w:p>
          <w:bookmarkEnd w:id="582"/>
        </w:tc>
      </w:tr>
    </w:tbl>
    <w:p>
      <w:pPr>
        <w:pStyle w:val="BodyText"/>
      </w:pPr>
      <w:hyperlink r:id="rId24">
        <w:r>
          <w:rPr>
            <w:rStyle w:val="Hyperlink"/>
          </w:rPr>
          <w:t xml:space="preserve">Open this step in the Atlas</w:t>
        </w:r>
      </w:hyperlink>
    </w:p>
    <w:bookmarkEnd w:id="583"/>
    <w:bookmarkStart w:id="589" w:name="layers"/>
    <w:p>
      <w:pPr>
        <w:pStyle w:val="Heading3"/>
      </w:pPr>
      <w:r>
        <w:t xml:space="preserve">22.1.4 4. Layers</w:t>
      </w:r>
    </w:p>
    <w:p>
      <w:pPr>
        <w:pStyle w:val="FirstParagraph"/>
      </w:pPr>
      <w:r>
        <w:t xml:space="preserve">Choose the score layer, Program Areas or cells, and the colour ramp.</w:t>
      </w:r>
    </w:p>
    <w:tbl>
      <w:tblPr>
        <w:tblStyle w:val="Table"/>
        <w:tblW w:type="pct" w:w="5000"/>
        <w:tblLayout w:type="fixed"/>
        <w:tblLook w:firstRow="0" w:lastRow="0" w:firstColumn="0" w:lastColumn="0" w:noHBand="0" w:noVBand="0" w:val="0000"/>
      </w:tblPr>
      <w:tblGrid>
        <w:gridCol w:w="7920"/>
      </w:tblGrid>
      <w:tr>
        <w:tc>
          <w:tcPr/>
          <w:bookmarkStart w:id="587" w:name="fig-atlas-scores-04"/>
          <w:p>
            <w:pPr>
              <w:pStyle w:val="Compact"/>
              <w:jc w:val="center"/>
            </w:pPr>
            <w:r>
              <w:drawing>
                <wp:inline>
                  <wp:extent cx="5334000" cy="3333750"/>
                  <wp:effectExtent b="0" l="0" r="0" t="0"/>
                  <wp:docPr descr="" title="" id="585" name="Picture"/>
                  <a:graphic>
                    <a:graphicData uri="http://schemas.openxmlformats.org/drawingml/2006/picture">
                      <pic:pic>
                        <pic:nvPicPr>
                          <pic:cNvPr descr="figures/atlas-guide/atlas-scores-04.png" id="586" name="Picture"/>
                          <pic:cNvPicPr>
                            <a:picLocks noChangeArrowheads="1" noChangeAspect="1"/>
                          </pic:cNvPicPr>
                        </pic:nvPicPr>
                        <pic:blipFill>
                          <a:blip r:embed="rId58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22.4: Layers</w:t>
            </w:r>
          </w:p>
          <w:bookmarkEnd w:id="587"/>
        </w:tc>
      </w:tr>
    </w:tbl>
    <w:p>
      <w:pPr>
        <w:pStyle w:val="BodyText"/>
      </w:pPr>
      <w:hyperlink r:id="rId588">
        <w:r>
          <w:rPr>
            <w:rStyle w:val="Hyperlink"/>
          </w:rPr>
          <w:t xml:space="preserve">Open this step in the Atlas</w:t>
        </w:r>
      </w:hyperlink>
    </w:p>
    <w:bookmarkEnd w:id="589"/>
    <w:bookmarkStart w:id="594" w:name="click"/>
    <w:p>
      <w:pPr>
        <w:pStyle w:val="Heading3"/>
      </w:pPr>
      <w:r>
        <w:t xml:space="preserve">22.1.5 5. Click</w:t>
      </w:r>
    </w:p>
    <w:p>
      <w:pPr>
        <w:pStyle w:val="FirstParagraph"/>
      </w:pPr>
      <w:r>
        <w:t xml:space="preserve">Click a cell or a Program Area for its score and a link to its details.</w:t>
      </w:r>
    </w:p>
    <w:tbl>
      <w:tblPr>
        <w:tblStyle w:val="Table"/>
        <w:tblW w:type="pct" w:w="5000"/>
        <w:tblLayout w:type="fixed"/>
        <w:tblLook w:firstRow="0" w:lastRow="0" w:firstColumn="0" w:lastColumn="0" w:noHBand="0" w:noVBand="0" w:val="0000"/>
      </w:tblPr>
      <w:tblGrid>
        <w:gridCol w:w="7920"/>
      </w:tblGrid>
      <w:tr>
        <w:tc>
          <w:tcPr/>
          <w:bookmarkStart w:id="593" w:name="fig-atlas-scores-05"/>
          <w:p>
            <w:pPr>
              <w:pStyle w:val="Compact"/>
              <w:jc w:val="center"/>
            </w:pPr>
            <w:r>
              <w:drawing>
                <wp:inline>
                  <wp:extent cx="5334000" cy="3333750"/>
                  <wp:effectExtent b="0" l="0" r="0" t="0"/>
                  <wp:docPr descr="" title="" id="591" name="Picture"/>
                  <a:graphic>
                    <a:graphicData uri="http://schemas.openxmlformats.org/drawingml/2006/picture">
                      <pic:pic>
                        <pic:nvPicPr>
                          <pic:cNvPr descr="figures/atlas-guide/atlas-scores-05.png" id="592" name="Picture"/>
                          <pic:cNvPicPr>
                            <a:picLocks noChangeArrowheads="1" noChangeAspect="1"/>
                          </pic:cNvPicPr>
                        </pic:nvPicPr>
                        <pic:blipFill>
                          <a:blip r:embed="rId59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22.5: Click</w:t>
            </w:r>
          </w:p>
          <w:bookmarkEnd w:id="593"/>
        </w:tc>
      </w:tr>
    </w:tbl>
    <w:p>
      <w:pPr>
        <w:pStyle w:val="BodyText"/>
      </w:pPr>
      <w:hyperlink r:id="rId24">
        <w:r>
          <w:rPr>
            <w:rStyle w:val="Hyperlink"/>
          </w:rPr>
          <w:t xml:space="preserve">Open this step in the Atlas</w:t>
        </w:r>
      </w:hyperlink>
    </w:p>
    <w:bookmarkEnd w:id="594"/>
    <w:bookmarkStart w:id="600" w:name="details"/>
    <w:p>
      <w:pPr>
        <w:pStyle w:val="Heading3"/>
      </w:pPr>
      <w:r>
        <w:t xml:space="preserve">22.1.6 6. Details</w:t>
      </w:r>
    </w:p>
    <w:p>
      <w:pPr>
        <w:pStyle w:val="FirstParagraph"/>
      </w:pPr>
      <w:r>
        <w:t xml:space="preserve">The flower for what you clicked; add it to your report or open its table.</w:t>
      </w:r>
    </w:p>
    <w:tbl>
      <w:tblPr>
        <w:tblStyle w:val="Table"/>
        <w:tblW w:type="pct" w:w="5000"/>
        <w:tblLayout w:type="fixed"/>
        <w:tblLook w:firstRow="0" w:lastRow="0" w:firstColumn="0" w:lastColumn="0" w:noHBand="0" w:noVBand="0" w:val="0000"/>
      </w:tblPr>
      <w:tblGrid>
        <w:gridCol w:w="7920"/>
      </w:tblGrid>
      <w:tr>
        <w:tc>
          <w:tcPr/>
          <w:bookmarkStart w:id="598" w:name="fig-atlas-scores-06"/>
          <w:p>
            <w:pPr>
              <w:pStyle w:val="Compact"/>
              <w:jc w:val="center"/>
            </w:pPr>
            <w:r>
              <w:drawing>
                <wp:inline>
                  <wp:extent cx="5334000" cy="3333750"/>
                  <wp:effectExtent b="0" l="0" r="0" t="0"/>
                  <wp:docPr descr="" title="" id="596" name="Picture"/>
                  <a:graphic>
                    <a:graphicData uri="http://schemas.openxmlformats.org/drawingml/2006/picture">
                      <pic:pic>
                        <pic:nvPicPr>
                          <pic:cNvPr descr="figures/atlas-guide/atlas-scores-06.png" id="597" name="Picture"/>
                          <pic:cNvPicPr>
                            <a:picLocks noChangeArrowheads="1" noChangeAspect="1"/>
                          </pic:cNvPicPr>
                        </pic:nvPicPr>
                        <pic:blipFill>
                          <a:blip r:embed="rId59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22.6: Details</w:t>
            </w:r>
          </w:p>
          <w:bookmarkEnd w:id="598"/>
        </w:tc>
      </w:tr>
    </w:tbl>
    <w:p>
      <w:pPr>
        <w:pStyle w:val="BodyText"/>
      </w:pPr>
      <w:hyperlink r:id="rId599">
        <w:r>
          <w:rPr>
            <w:rStyle w:val="Hyperlink"/>
          </w:rPr>
          <w:t xml:space="preserve">Open this step in the Atlas</w:t>
        </w:r>
      </w:hyperlink>
    </w:p>
    <w:bookmarkEnd w:id="600"/>
    <w:bookmarkStart w:id="606" w:name="table"/>
    <w:p>
      <w:pPr>
        <w:pStyle w:val="Heading3"/>
      </w:pPr>
      <w:r>
        <w:t xml:space="preserve">22.1.7 7. Table</w:t>
      </w:r>
    </w:p>
    <w:p>
      <w:pPr>
        <w:pStyle w:val="FirstParagraph"/>
      </w:pPr>
      <w:r>
        <w:t xml:space="preserve">Every Program Area ranked; tick some and report on them.</w:t>
      </w:r>
    </w:p>
    <w:tbl>
      <w:tblPr>
        <w:tblStyle w:val="Table"/>
        <w:tblW w:type="pct" w:w="5000"/>
        <w:tblLayout w:type="fixed"/>
        <w:tblLook w:firstRow="0" w:lastRow="0" w:firstColumn="0" w:lastColumn="0" w:noHBand="0" w:noVBand="0" w:val="0000"/>
      </w:tblPr>
      <w:tblGrid>
        <w:gridCol w:w="7920"/>
      </w:tblGrid>
      <w:tr>
        <w:tc>
          <w:tcPr/>
          <w:bookmarkStart w:id="604" w:name="fig-atlas-scores-07"/>
          <w:p>
            <w:pPr>
              <w:pStyle w:val="Compact"/>
              <w:jc w:val="center"/>
            </w:pPr>
            <w:r>
              <w:drawing>
                <wp:inline>
                  <wp:extent cx="5334000" cy="3333750"/>
                  <wp:effectExtent b="0" l="0" r="0" t="0"/>
                  <wp:docPr descr="" title="" id="602" name="Picture"/>
                  <a:graphic>
                    <a:graphicData uri="http://schemas.openxmlformats.org/drawingml/2006/picture">
                      <pic:pic>
                        <pic:nvPicPr>
                          <pic:cNvPr descr="figures/atlas-guide/atlas-scores-07.png" id="603" name="Picture"/>
                          <pic:cNvPicPr>
                            <a:picLocks noChangeArrowheads="1" noChangeAspect="1"/>
                          </pic:cNvPicPr>
                        </pic:nvPicPr>
                        <pic:blipFill>
                          <a:blip r:embed="rId60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22.7: Table</w:t>
            </w:r>
          </w:p>
          <w:bookmarkEnd w:id="604"/>
        </w:tc>
      </w:tr>
    </w:tbl>
    <w:p>
      <w:pPr>
        <w:pStyle w:val="BodyText"/>
      </w:pPr>
      <w:hyperlink r:id="rId605">
        <w:r>
          <w:rPr>
            <w:rStyle w:val="Hyperlink"/>
          </w:rPr>
          <w:t xml:space="preserve">Open this step in the Atlas</w:t>
        </w:r>
      </w:hyperlink>
    </w:p>
    <w:bookmarkEnd w:id="606"/>
    <w:bookmarkStart w:id="612" w:name="places"/>
    <w:p>
      <w:pPr>
        <w:pStyle w:val="Heading3"/>
      </w:pPr>
      <w:r>
        <w:t xml:space="preserve">22.1.8 8. Places</w:t>
      </w:r>
    </w:p>
    <w:p>
      <w:pPr>
        <w:pStyle w:val="FirstParagraph"/>
      </w:pPr>
      <w:r>
        <w:t xml:space="preserve">Draw your own area, enter coordinates or upload a file.</w:t>
      </w:r>
    </w:p>
    <w:tbl>
      <w:tblPr>
        <w:tblStyle w:val="Table"/>
        <w:tblW w:type="pct" w:w="5000"/>
        <w:tblLayout w:type="fixed"/>
        <w:tblLook w:firstRow="0" w:lastRow="0" w:firstColumn="0" w:lastColumn="0" w:noHBand="0" w:noVBand="0" w:val="0000"/>
      </w:tblPr>
      <w:tblGrid>
        <w:gridCol w:w="7920"/>
      </w:tblGrid>
      <w:tr>
        <w:tc>
          <w:tcPr/>
          <w:bookmarkStart w:id="610" w:name="fig-atlas-scores-08"/>
          <w:p>
            <w:pPr>
              <w:pStyle w:val="Compact"/>
              <w:jc w:val="center"/>
            </w:pPr>
            <w:r>
              <w:drawing>
                <wp:inline>
                  <wp:extent cx="5334000" cy="3333750"/>
                  <wp:effectExtent b="0" l="0" r="0" t="0"/>
                  <wp:docPr descr="" title="" id="608" name="Picture"/>
                  <a:graphic>
                    <a:graphicData uri="http://schemas.openxmlformats.org/drawingml/2006/picture">
                      <pic:pic>
                        <pic:nvPicPr>
                          <pic:cNvPr descr="figures/atlas-guide/atlas-scores-08.png" id="609" name="Picture"/>
                          <pic:cNvPicPr>
                            <a:picLocks noChangeArrowheads="1" noChangeAspect="1"/>
                          </pic:cNvPicPr>
                        </pic:nvPicPr>
                        <pic:blipFill>
                          <a:blip r:embed="rId60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22.8: Places</w:t>
            </w:r>
          </w:p>
          <w:bookmarkEnd w:id="610"/>
        </w:tc>
      </w:tr>
    </w:tbl>
    <w:p>
      <w:pPr>
        <w:pStyle w:val="BodyText"/>
      </w:pPr>
      <w:hyperlink r:id="rId611">
        <w:r>
          <w:rPr>
            <w:rStyle w:val="Hyperlink"/>
          </w:rPr>
          <w:t xml:space="preserve">Open this step in the Atlas</w:t>
        </w:r>
      </w:hyperlink>
    </w:p>
    <w:bookmarkEnd w:id="612"/>
    <w:bookmarkStart w:id="617" w:name="report-1"/>
    <w:p>
      <w:pPr>
        <w:pStyle w:val="Heading3"/>
      </w:pPr>
      <w:r>
        <w:t xml:space="preserve">22.1.9 9. Report</w:t>
      </w:r>
    </w:p>
    <w:p>
      <w:pPr>
        <w:pStyle w:val="FirstParagraph"/>
      </w:pPr>
      <w:r>
        <w:t xml:space="preserve">Build a printable, downloadable report for what you selected.</w:t>
      </w:r>
    </w:p>
    <w:tbl>
      <w:tblPr>
        <w:tblStyle w:val="Table"/>
        <w:tblW w:type="pct" w:w="5000"/>
        <w:tblLayout w:type="fixed"/>
        <w:tblLook w:firstRow="0" w:lastRow="0" w:firstColumn="0" w:lastColumn="0" w:noHBand="0" w:noVBand="0" w:val="0000"/>
      </w:tblPr>
      <w:tblGrid>
        <w:gridCol w:w="7920"/>
      </w:tblGrid>
      <w:tr>
        <w:tc>
          <w:tcPr/>
          <w:bookmarkStart w:id="616" w:name="fig-atlas-scores-09"/>
          <w:p>
            <w:pPr>
              <w:pStyle w:val="Compact"/>
              <w:jc w:val="center"/>
            </w:pPr>
            <w:r>
              <w:drawing>
                <wp:inline>
                  <wp:extent cx="5334000" cy="3333750"/>
                  <wp:effectExtent b="0" l="0" r="0" t="0"/>
                  <wp:docPr descr="" title="" id="614" name="Picture"/>
                  <a:graphic>
                    <a:graphicData uri="http://schemas.openxmlformats.org/drawingml/2006/picture">
                      <pic:pic>
                        <pic:nvPicPr>
                          <pic:cNvPr descr="figures/atlas-guide/atlas-scores-09.png" id="615" name="Picture"/>
                          <pic:cNvPicPr>
                            <a:picLocks noChangeArrowheads="1" noChangeAspect="1"/>
                          </pic:cNvPicPr>
                        </pic:nvPicPr>
                        <pic:blipFill>
                          <a:blip r:embed="rId61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22.9: Report</w:t>
            </w:r>
          </w:p>
          <w:bookmarkEnd w:id="616"/>
        </w:tc>
      </w:tr>
    </w:tbl>
    <w:p>
      <w:pPr>
        <w:pStyle w:val="BodyText"/>
      </w:pPr>
      <w:hyperlink r:id="rId611">
        <w:r>
          <w:rPr>
            <w:rStyle w:val="Hyperlink"/>
          </w:rPr>
          <w:t xml:space="preserve">Open this step in the Atlas</w:t>
        </w:r>
      </w:hyperlink>
    </w:p>
    <w:bookmarkEnd w:id="617"/>
    <w:bookmarkEnd w:id="618"/>
    <w:bookmarkStart w:id="645" w:name="atlas-species-lens"/>
    <w:p>
      <w:pPr>
        <w:pStyle w:val="Heading2"/>
      </w:pPr>
      <w:r>
        <w:t xml:space="preserve">22.2 Atlas — Species lens</w:t>
      </w:r>
    </w:p>
    <w:bookmarkStart w:id="623" w:name="search"/>
    <w:p>
      <w:pPr>
        <w:pStyle w:val="Heading3"/>
      </w:pPr>
      <w:r>
        <w:t xml:space="preserve">22.2.1 1. Search</w:t>
      </w:r>
    </w:p>
    <w:p>
      <w:pPr>
        <w:pStyle w:val="FirstParagraph"/>
      </w:pPr>
      <w:r>
        <w:t xml:space="preserve">Find a species by common or scientific name.</w:t>
      </w:r>
    </w:p>
    <w:tbl>
      <w:tblPr>
        <w:tblStyle w:val="Table"/>
        <w:tblW w:type="pct" w:w="5000"/>
        <w:tblLayout w:type="fixed"/>
        <w:tblLook w:firstRow="0" w:lastRow="0" w:firstColumn="0" w:lastColumn="0" w:noHBand="0" w:noVBand="0" w:val="0000"/>
      </w:tblPr>
      <w:tblGrid>
        <w:gridCol w:w="7920"/>
      </w:tblGrid>
      <w:tr>
        <w:tc>
          <w:tcPr/>
          <w:bookmarkStart w:id="622" w:name="fig-atlas-species-01"/>
          <w:p>
            <w:pPr>
              <w:pStyle w:val="Compact"/>
              <w:jc w:val="center"/>
            </w:pPr>
            <w:r>
              <w:drawing>
                <wp:inline>
                  <wp:extent cx="5334000" cy="3333750"/>
                  <wp:effectExtent b="0" l="0" r="0" t="0"/>
                  <wp:docPr descr="" title="" id="620" name="Picture"/>
                  <a:graphic>
                    <a:graphicData uri="http://schemas.openxmlformats.org/drawingml/2006/picture">
                      <pic:pic>
                        <pic:nvPicPr>
                          <pic:cNvPr descr="figures/atlas-guide/atlas-species-01.png" id="621" name="Picture"/>
                          <pic:cNvPicPr>
                            <a:picLocks noChangeArrowheads="1" noChangeAspect="1"/>
                          </pic:cNvPicPr>
                        </pic:nvPicPr>
                        <pic:blipFill>
                          <a:blip r:embed="rId61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22.10: Search</w:t>
            </w:r>
          </w:p>
          <w:bookmarkEnd w:id="622"/>
        </w:tc>
      </w:tr>
    </w:tbl>
    <w:p>
      <w:pPr>
        <w:pStyle w:val="BodyText"/>
      </w:pPr>
      <w:hyperlink r:id="rId22">
        <w:r>
          <w:rPr>
            <w:rStyle w:val="Hyperlink"/>
          </w:rPr>
          <w:t xml:space="preserve">Open this step in the Atlas</w:t>
        </w:r>
      </w:hyperlink>
    </w:p>
    <w:bookmarkEnd w:id="623"/>
    <w:bookmarkStart w:id="629" w:name="the-card"/>
    <w:p>
      <w:pPr>
        <w:pStyle w:val="Heading3"/>
      </w:pPr>
      <w:r>
        <w:t xml:space="preserve">22.2.2 2. The card</w:t>
      </w:r>
    </w:p>
    <w:p>
      <w:pPr>
        <w:pStyle w:val="FirstParagraph"/>
      </w:pPr>
      <w:r>
        <w:t xml:space="preserve">The merged model and the inputs it combines.</w:t>
      </w:r>
    </w:p>
    <w:tbl>
      <w:tblPr>
        <w:tblStyle w:val="Table"/>
        <w:tblW w:type="pct" w:w="5000"/>
        <w:tblLayout w:type="fixed"/>
        <w:tblLook w:firstRow="0" w:lastRow="0" w:firstColumn="0" w:lastColumn="0" w:noHBand="0" w:noVBand="0" w:val="0000"/>
      </w:tblPr>
      <w:tblGrid>
        <w:gridCol w:w="7920"/>
      </w:tblGrid>
      <w:tr>
        <w:tc>
          <w:tcPr/>
          <w:bookmarkStart w:id="627" w:name="fig-atlas-species-02"/>
          <w:p>
            <w:pPr>
              <w:pStyle w:val="Compact"/>
              <w:jc w:val="center"/>
            </w:pPr>
            <w:r>
              <w:drawing>
                <wp:inline>
                  <wp:extent cx="5334000" cy="3333750"/>
                  <wp:effectExtent b="0" l="0" r="0" t="0"/>
                  <wp:docPr descr="" title="" id="625" name="Picture"/>
                  <a:graphic>
                    <a:graphicData uri="http://schemas.openxmlformats.org/drawingml/2006/picture">
                      <pic:pic>
                        <pic:nvPicPr>
                          <pic:cNvPr descr="figures/atlas-guide/atlas-species-02.png" id="626" name="Picture"/>
                          <pic:cNvPicPr>
                            <a:picLocks noChangeArrowheads="1" noChangeAspect="1"/>
                          </pic:cNvPicPr>
                        </pic:nvPicPr>
                        <pic:blipFill>
                          <a:blip r:embed="rId62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22.11: The card</w:t>
            </w:r>
          </w:p>
          <w:bookmarkEnd w:id="627"/>
        </w:tc>
      </w:tr>
    </w:tbl>
    <w:p>
      <w:pPr>
        <w:pStyle w:val="BodyText"/>
      </w:pPr>
      <w:hyperlink r:id="rId628">
        <w:r>
          <w:rPr>
            <w:rStyle w:val="Hyperlink"/>
          </w:rPr>
          <w:t xml:space="preserve">Open this step in the Atlas</w:t>
        </w:r>
      </w:hyperlink>
    </w:p>
    <w:bookmarkEnd w:id="629"/>
    <w:bookmarkStart w:id="634" w:name="the-map-1"/>
    <w:p>
      <w:pPr>
        <w:pStyle w:val="Heading3"/>
      </w:pPr>
      <w:r>
        <w:t xml:space="preserve">22.2.3 3. The map</w:t>
      </w:r>
    </w:p>
    <w:p>
      <w:pPr>
        <w:pStyle w:val="FirstParagraph"/>
      </w:pPr>
      <w:r>
        <w:t xml:space="preserve">Click anywhere for the modelled value.</w:t>
      </w:r>
    </w:p>
    <w:tbl>
      <w:tblPr>
        <w:tblStyle w:val="Table"/>
        <w:tblW w:type="pct" w:w="5000"/>
        <w:tblLayout w:type="fixed"/>
        <w:tblLook w:firstRow="0" w:lastRow="0" w:firstColumn="0" w:lastColumn="0" w:noHBand="0" w:noVBand="0" w:val="0000"/>
      </w:tblPr>
      <w:tblGrid>
        <w:gridCol w:w="7920"/>
      </w:tblGrid>
      <w:tr>
        <w:tc>
          <w:tcPr/>
          <w:bookmarkStart w:id="633" w:name="fig-atlas-species-03"/>
          <w:p>
            <w:pPr>
              <w:pStyle w:val="Compact"/>
              <w:jc w:val="center"/>
            </w:pPr>
            <w:r>
              <w:drawing>
                <wp:inline>
                  <wp:extent cx="5334000" cy="3333750"/>
                  <wp:effectExtent b="0" l="0" r="0" t="0"/>
                  <wp:docPr descr="" title="" id="631" name="Picture"/>
                  <a:graphic>
                    <a:graphicData uri="http://schemas.openxmlformats.org/drawingml/2006/picture">
                      <pic:pic>
                        <pic:nvPicPr>
                          <pic:cNvPr descr="figures/atlas-guide/atlas-species-03.png" id="632" name="Picture"/>
                          <pic:cNvPicPr>
                            <a:picLocks noChangeArrowheads="1" noChangeAspect="1"/>
                          </pic:cNvPicPr>
                        </pic:nvPicPr>
                        <pic:blipFill>
                          <a:blip r:embed="rId63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22.12: The map</w:t>
            </w:r>
          </w:p>
          <w:bookmarkEnd w:id="633"/>
        </w:tc>
      </w:tr>
    </w:tbl>
    <w:p>
      <w:pPr>
        <w:pStyle w:val="BodyText"/>
      </w:pPr>
      <w:hyperlink r:id="rId22">
        <w:r>
          <w:rPr>
            <w:rStyle w:val="Hyperlink"/>
          </w:rPr>
          <w:t xml:space="preserve">Open this step in the Atlas</w:t>
        </w:r>
      </w:hyperlink>
    </w:p>
    <w:bookmarkEnd w:id="634"/>
    <w:bookmarkStart w:id="639" w:name="the-legend"/>
    <w:p>
      <w:pPr>
        <w:pStyle w:val="Heading3"/>
      </w:pPr>
      <w:r>
        <w:t xml:space="preserve">22.2.4 4. The legend</w:t>
      </w:r>
    </w:p>
    <w:p>
      <w:pPr>
        <w:pStyle w:val="FirstParagraph"/>
      </w:pPr>
      <w:r>
        <w:t xml:space="preserve">What 1–100 means.</w:t>
      </w:r>
    </w:p>
    <w:tbl>
      <w:tblPr>
        <w:tblStyle w:val="Table"/>
        <w:tblW w:type="pct" w:w="5000"/>
        <w:tblLayout w:type="fixed"/>
        <w:tblLook w:firstRow="0" w:lastRow="0" w:firstColumn="0" w:lastColumn="0" w:noHBand="0" w:noVBand="0" w:val="0000"/>
      </w:tblPr>
      <w:tblGrid>
        <w:gridCol w:w="7920"/>
      </w:tblGrid>
      <w:tr>
        <w:tc>
          <w:tcPr/>
          <w:bookmarkStart w:id="638" w:name="fig-atlas-species-04"/>
          <w:p>
            <w:pPr>
              <w:pStyle w:val="Compact"/>
              <w:jc w:val="center"/>
            </w:pPr>
            <w:r>
              <w:drawing>
                <wp:inline>
                  <wp:extent cx="5334000" cy="3333750"/>
                  <wp:effectExtent b="0" l="0" r="0" t="0"/>
                  <wp:docPr descr="" title="" id="636" name="Picture"/>
                  <a:graphic>
                    <a:graphicData uri="http://schemas.openxmlformats.org/drawingml/2006/picture">
                      <pic:pic>
                        <pic:nvPicPr>
                          <pic:cNvPr descr="figures/atlas-guide/atlas-species-04.png" id="637" name="Picture"/>
                          <pic:cNvPicPr>
                            <a:picLocks noChangeArrowheads="1" noChangeAspect="1"/>
                          </pic:cNvPicPr>
                        </pic:nvPicPr>
                        <pic:blipFill>
                          <a:blip r:embed="rId63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22.13: The legend</w:t>
            </w:r>
          </w:p>
          <w:bookmarkEnd w:id="638"/>
        </w:tc>
      </w:tr>
    </w:tbl>
    <w:p>
      <w:pPr>
        <w:pStyle w:val="BodyText"/>
      </w:pPr>
      <w:hyperlink r:id="rId22">
        <w:r>
          <w:rPr>
            <w:rStyle w:val="Hyperlink"/>
          </w:rPr>
          <w:t xml:space="preserve">Open this step in the Atlas</w:t>
        </w:r>
      </w:hyperlink>
    </w:p>
    <w:bookmarkEnd w:id="639"/>
    <w:bookmarkStart w:id="644" w:name="back"/>
    <w:p>
      <w:pPr>
        <w:pStyle w:val="Heading3"/>
      </w:pPr>
      <w:r>
        <w:t xml:space="preserve">22.2.5 5. Back</w:t>
      </w:r>
    </w:p>
    <w:p>
      <w:pPr>
        <w:pStyle w:val="FirstParagraph"/>
      </w:pPr>
      <w:r>
        <w:t xml:space="preserve">Switch to Scores to see how this species contributes.</w:t>
      </w:r>
    </w:p>
    <w:tbl>
      <w:tblPr>
        <w:tblStyle w:val="Table"/>
        <w:tblW w:type="pct" w:w="5000"/>
        <w:tblLayout w:type="fixed"/>
        <w:tblLook w:firstRow="0" w:lastRow="0" w:firstColumn="0" w:lastColumn="0" w:noHBand="0" w:noVBand="0" w:val="0000"/>
      </w:tblPr>
      <w:tblGrid>
        <w:gridCol w:w="7920"/>
      </w:tblGrid>
      <w:tr>
        <w:tc>
          <w:tcPr/>
          <w:bookmarkStart w:id="643" w:name="fig-atlas-species-05"/>
          <w:p>
            <w:pPr>
              <w:pStyle w:val="Compact"/>
              <w:jc w:val="center"/>
            </w:pPr>
            <w:r>
              <w:drawing>
                <wp:inline>
                  <wp:extent cx="5334000" cy="3333750"/>
                  <wp:effectExtent b="0" l="0" r="0" t="0"/>
                  <wp:docPr descr="" title="" id="641" name="Picture"/>
                  <a:graphic>
                    <a:graphicData uri="http://schemas.openxmlformats.org/drawingml/2006/picture">
                      <pic:pic>
                        <pic:nvPicPr>
                          <pic:cNvPr descr="figures/atlas-guide/atlas-species-05.png" id="642" name="Picture"/>
                          <pic:cNvPicPr>
                            <a:picLocks noChangeArrowheads="1" noChangeAspect="1"/>
                          </pic:cNvPicPr>
                        </pic:nvPicPr>
                        <pic:blipFill>
                          <a:blip r:embed="rId64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22.14: Back</w:t>
            </w:r>
          </w:p>
          <w:bookmarkEnd w:id="643"/>
        </w:tc>
      </w:tr>
    </w:tbl>
    <w:p>
      <w:pPr>
        <w:pStyle w:val="BodyText"/>
      </w:pPr>
      <w:hyperlink r:id="rId22">
        <w:r>
          <w:rPr>
            <w:rStyle w:val="Hyperlink"/>
          </w:rPr>
          <w:t xml:space="preserve">Open this step in the Atlas</w:t>
        </w:r>
      </w:hyperlink>
    </w:p>
    <w:bookmarkEnd w:id="644"/>
    <w:bookmarkEnd w:id="645"/>
    <w:bookmarkEnd w:id="646"/>
    <w:bookmarkStart w:id="648" w:name="docs"/>
    <w:p>
      <w:pPr>
        <w:pStyle w:val="Heading1"/>
      </w:pPr>
      <w:r>
        <w:t xml:space="preserve">23. Docs</w:t>
      </w:r>
    </w:p>
    <w:p>
      <w:pPr>
        <w:pStyle w:val="FirstParagraph"/>
      </w:pPr>
      <w:r>
        <w:t xml:space="preserve">Technical documentation is principally in this book:</w:t>
      </w:r>
    </w:p>
    <w:p>
      <w:pPr>
        <w:numPr>
          <w:ilvl w:val="0"/>
          <w:numId w:val="1063"/>
        </w:numPr>
      </w:pPr>
      <w:hyperlink r:id="rId292">
        <w:r>
          <w:rPr>
            <w:rStyle w:val="Hyperlink"/>
          </w:rPr>
          <w:t xml:space="preserve">marinesensitivity.org/docs</w:t>
        </w:r>
      </w:hyperlink>
      <w:r>
        <w:br/>
      </w:r>
      <w:r>
        <w:t xml:space="preserve">the main documentation site</w:t>
      </w:r>
    </w:p>
    <w:p>
      <w:pPr>
        <w:numPr>
          <w:ilvl w:val="0"/>
          <w:numId w:val="1063"/>
        </w:numPr>
      </w:pPr>
      <w:hyperlink r:id="rId351">
        <w:r>
          <w:rPr>
            <w:rStyle w:val="Hyperlink"/>
          </w:rPr>
          <w:t xml:space="preserve">github.com/MarineSensitivity/docs</w:t>
        </w:r>
      </w:hyperlink>
      <w:r>
        <w:br/>
      </w:r>
      <w:r>
        <w:t xml:space="preserve">source code in the Github repository</w:t>
      </w:r>
    </w:p>
    <w:p>
      <w:pPr>
        <w:pStyle w:val="FirstParagraph"/>
      </w:pPr>
      <w:r>
        <w:t xml:space="preserve">But there are also some other self-documenting resources:</w:t>
      </w:r>
    </w:p>
    <w:p>
      <w:pPr>
        <w:pStyle w:val="Compact"/>
        <w:numPr>
          <w:ilvl w:val="0"/>
          <w:numId w:val="1064"/>
        </w:numPr>
      </w:pPr>
      <w:hyperlink r:id="rId647">
        <w:r>
          <w:rPr>
            <w:rStyle w:val="Hyperlink"/>
          </w:rPr>
          <w:t xml:space="preserve">marinesensitivity.org/</w:t>
        </w:r>
        <w:r>
          <w:rPr>
            <w:rStyle w:val="VerbatimChar"/>
          </w:rPr>
          <w:t xml:space="preserve">msens</w:t>
        </w:r>
      </w:hyperlink>
      <w:r>
        <w:br/>
      </w:r>
      <w:r>
        <w:t xml:space="preserve">documented R functions</w:t>
      </w:r>
    </w:p>
    <w:bookmarkEnd w:id="648"/>
    <w:bookmarkStart w:id="652" w:name="summary"/>
    <w:p>
      <w:pPr>
        <w:pStyle w:val="Heading1"/>
      </w:pPr>
      <w:r>
        <w:t xml:space="preserve">24. Summary</w:t>
      </w:r>
    </w:p>
    <w:p>
      <w:pPr>
        <w:pStyle w:val="FirstParagraph"/>
      </w:pPr>
      <w:r>
        <w:t xml:space="preserve">The Marine Sensitivity Toolkit (MST) provides a reproducible system for assessing the sensitivity of marine ecosystems to offshore energy development across US waters. This summary describes release</w:t>
      </w:r>
      <w:r>
        <w:t xml:space="preserve"> </w:t>
      </w:r>
      <w:r>
        <w:rPr>
          <w:b/>
          <w:bCs/>
        </w:rPr>
        <w:t xml:space="preserve">v9</w:t>
      </w:r>
      <w:r>
        <w:t xml:space="preserve">; figures are read from that release.</w:t>
      </w:r>
    </w:p>
    <w:bookmarkStart w:id="649" w:name="what-this-release-delivers"/>
    <w:p>
      <w:pPr>
        <w:pStyle w:val="Heading2"/>
      </w:pPr>
      <w:r>
        <w:t xml:space="preserve">24.1 What this release delivers</w:t>
      </w:r>
    </w:p>
    <w:p>
      <w:pPr>
        <w:numPr>
          <w:ilvl w:val="0"/>
          <w:numId w:val="1065"/>
        </w:numPr>
      </w:pPr>
      <w:r>
        <w:rPr>
          <w:b/>
          <w:bCs/>
        </w:rPr>
        <w:t xml:space="preserve">17,130 valid marine species</w:t>
      </w:r>
      <w:r>
        <w:t xml:space="preserve"> </w:t>
      </w:r>
      <w:r>
        <w:t xml:space="preserve">on a 0.05° grid (~4 km cells) across the US EEZ study area, of which</w:t>
      </w:r>
      <w:r>
        <w:t xml:space="preserve"> </w:t>
      </w:r>
      <w:r>
        <w:rPr>
          <w:b/>
          <w:bCs/>
        </w:rPr>
        <w:t xml:space="preserve">9,576</w:t>
      </w:r>
      <w:r>
        <w:t xml:space="preserve"> </w:t>
      </w:r>
      <w:r>
        <w:t xml:space="preserve">fall inside the</w:t>
      </w:r>
      <w:r>
        <w:t xml:space="preserve"> </w:t>
      </w:r>
      <w:r>
        <w:rPr>
          <w:b/>
          <w:bCs/>
        </w:rPr>
        <w:t xml:space="preserve">20 BOEM Program Areas</w:t>
      </w:r>
      <w:r>
        <w:t xml:space="preserve">, integrating</w:t>
      </w:r>
      <w:r>
        <w:t xml:space="preserve"> </w:t>
      </w:r>
      <w:r>
        <w:rPr>
          <w:b/>
          <w:bCs/>
        </w:rPr>
        <w:t xml:space="preserve">10 source datasets</w:t>
      </w:r>
      <w:r>
        <w:t xml:space="preserve"> </w:t>
      </w:r>
      <w:r>
        <w:t xml:space="preserve">— continuous suitability models, regulatory habitat designations and expert range maps.</w:t>
      </w:r>
    </w:p>
    <w:p>
      <w:pPr>
        <w:numPr>
          <w:ilvl w:val="0"/>
          <w:numId w:val="1065"/>
        </w:numPr>
      </w:pPr>
      <w:r>
        <w:rPr>
          <w:b/>
          <w:bCs/>
        </w:rPr>
        <w:t xml:space="preserve">7 scored species categories</w:t>
      </w:r>
      <w:r>
        <w:t xml:space="preserve"> </w:t>
      </w:r>
      <w:r>
        <w:t xml:space="preserve">(</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coral</w:t>
      </w:r>
      <w:r>
        <w:t xml:space="preserve">,</w:t>
      </w:r>
      <w:r>
        <w:t xml:space="preserve"> </w:t>
      </w:r>
      <w:r>
        <w:rPr>
          <w:rStyle w:val="VerbatimChar"/>
        </w:rPr>
        <w:t xml:space="preserve">primary_producer</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assigned from taxonomy rather than from the dataset a model arrived in.</w:t>
      </w:r>
    </w:p>
    <w:p>
      <w:pPr>
        <w:numPr>
          <w:ilvl w:val="0"/>
          <w:numId w:val="1065"/>
        </w:numPr>
      </w:pPr>
      <w:r>
        <w:rPr>
          <w:b/>
          <w:bCs/>
        </w:rPr>
        <w:t xml:space="preserve">Extinction-risk scoring</w:t>
      </w:r>
      <w:r>
        <w:t xml:space="preserve"> </w:t>
      </w:r>
      <w:r>
        <w:t xml:space="preserve">(1–100) folds in ESA listing, the MMPA floor (assigned by taxonomy, so no marine mammal is missed) and the MBTA floor (the FWS CFR 50 §10.13 species list, not all birds), falling back to the IUCN Red List where there is no US listing.</w:t>
      </w:r>
    </w:p>
    <w:p>
      <w:pPr>
        <w:numPr>
          <w:ilvl w:val="0"/>
          <w:numId w:val="1065"/>
        </w:numPr>
      </w:pPr>
      <w:r>
        <w:rPr>
          <w:b/>
          <w:bCs/>
        </w:rPr>
        <w:t xml:space="preserve">Model merging</w:t>
      </w:r>
      <w:r>
        <w:t xml:space="preserve"> </w:t>
      </w:r>
      <w:r>
        <w:t xml:space="preserve">produces one surface per taxon, with the</w:t>
      </w:r>
      <w:r>
        <w:t xml:space="preserve"> </w:t>
      </w:r>
      <w:r>
        <w:rPr>
          <w:b/>
          <w:bCs/>
        </w:rPr>
        <w:t xml:space="preserve">expert range constraining</w:t>
      </w:r>
      <w:r>
        <w:t xml:space="preserve"> </w:t>
      </w:r>
      <w:r>
        <w:t xml:space="preserve">suitability predictions rather than merely competing with them, and the governing extinction risk applied at the range cells. Sea turtles merge multiplicatively, so risk varies spatially within a species.</w:t>
      </w:r>
    </w:p>
    <w:p>
      <w:pPr>
        <w:numPr>
          <w:ilvl w:val="0"/>
          <w:numId w:val="1065"/>
        </w:numPr>
      </w:pPr>
      <w:r>
        <w:rPr>
          <w:b/>
          <w:bCs/>
        </w:rPr>
        <w:t xml:space="preserve">Ecoregional rescaling</w:t>
      </w:r>
      <w:r>
        <w:t xml:space="preserve"> </w:t>
      </w:r>
      <w:r>
        <w:t xml:space="preserve">normalizes each metric to 0–100 within a BOEM Ecoregion, so scores are comparable among Program Areas in one ecoregion without being dominated by naturally species-rich waters.</w:t>
      </w:r>
    </w:p>
    <w:p>
      <w:pPr>
        <w:numPr>
          <w:ilvl w:val="0"/>
          <w:numId w:val="1065"/>
        </w:numPr>
      </w:pPr>
      <w:r>
        <w:rPr>
          <w:b/>
          <w:bCs/>
        </w:rPr>
        <w:t xml:space="preserve">The Atlas</w:t>
      </w:r>
      <w:r>
        <w:t xml:space="preserve">, the interactive application (Scores and Species lenses, plus Places and Reports), renders</w:t>
      </w:r>
      <w:r>
        <w:t xml:space="preserve"> </w:t>
      </w:r>
      <w:r>
        <w:rPr>
          <w:b/>
          <w:bCs/>
        </w:rPr>
        <w:t xml:space="preserve">any published release</w:t>
      </w:r>
      <w:r>
        <w:t xml:space="preserve"> </w:t>
      </w:r>
      <w:r>
        <w:t xml:space="preserve">(e.g. </w:t>
      </w:r>
      <w:r>
        <w:rPr>
          <w:rStyle w:val="VerbatimChar"/>
        </w:rPr>
        <w:t xml:space="preserve">?ver=v3</w:t>
      </w:r>
      <w:r>
        <w:t xml:space="preserve">; a restricted pre-release only on the review host, at</w:t>
      </w:r>
      <w:r>
        <w:t xml:space="preserve"> </w:t>
      </w:r>
      <w:r>
        <w:rPr>
          <w:rStyle w:val="VerbatimChar"/>
        </w:rPr>
        <w:t xml:space="preserve">/{version}/atlas/</w:t>
      </w:r>
      <w:r>
        <w:t xml:space="preserve">), so a reader can look at the release a report cited rather than only the newest one. The earlier Scores and Species Shiny apps are retired and their links redirect to the Atlas.</w:t>
      </w:r>
    </w:p>
    <w:bookmarkEnd w:id="649"/>
    <w:bookmarkStart w:id="650" w:name="delivered-since-the-first-release"/>
    <w:p>
      <w:pPr>
        <w:pStyle w:val="Heading2"/>
      </w:pPr>
      <w:r>
        <w:t xml:space="preserve">24.2 Delivered since the first release</w:t>
      </w:r>
    </w:p>
    <w:p>
      <w:pPr>
        <w:pStyle w:val="FirstParagraph"/>
      </w:pPr>
      <w:r>
        <w:t xml:space="preserve">Several capabilities listed as future work in earlier editions of this documentation have since shipped:</w:t>
      </w:r>
    </w:p>
    <w:p>
      <w:pPr>
        <w:pStyle w:val="Compact"/>
        <w:numPr>
          <w:ilvl w:val="0"/>
          <w:numId w:val="1066"/>
        </w:numPr>
      </w:pPr>
      <w:r>
        <w:rPr>
          <w:b/>
          <w:bCs/>
        </w:rPr>
        <w:t xml:space="preserve">A DAG pipeline.</w:t>
      </w:r>
      <w:r>
        <w:t xml:space="preserve"> </w:t>
      </w:r>
      <w:r>
        <w:t xml:space="preserve">The workflow is a</w:t>
      </w:r>
      <w:r>
        <w:t xml:space="preserve"> </w:t>
      </w:r>
      <w:r>
        <w:rPr>
          <w:rStyle w:val="VerbatimChar"/>
        </w:rPr>
        <w:t xml:space="preserve">targets</w:t>
      </w:r>
      <w:r>
        <w:t xml:space="preserve"> </w:t>
      </w:r>
      <w:r>
        <w:t xml:space="preserve">graph generated from each notebook’s own metadata, so adding a dataset means adding a notebook, not editing a pipeline definition.</w:t>
      </w:r>
    </w:p>
    <w:p>
      <w:pPr>
        <w:pStyle w:val="Compact"/>
        <w:numPr>
          <w:ilvl w:val="0"/>
          <w:numId w:val="1066"/>
        </w:numPr>
      </w:pPr>
      <w:r>
        <w:rPr>
          <w:b/>
          <w:bCs/>
        </w:rPr>
        <w:t xml:space="preserve">Cloud-Optimized GeoTIFFs and a STAC catalog.</w:t>
      </w:r>
      <w:r>
        <w:t xml:space="preserve"> </w:t>
      </w:r>
      <w:r>
        <w:t xml:space="preserve">Distributions and score surfaces are published as COGs with STAC metadata, discoverable through a searchable STAC API, and the score rasters replaced an on-demand SQL-per-tile factory.</w:t>
      </w:r>
    </w:p>
    <w:p>
      <w:pPr>
        <w:pStyle w:val="Compact"/>
        <w:numPr>
          <w:ilvl w:val="0"/>
          <w:numId w:val="1066"/>
        </w:numPr>
      </w:pPr>
      <w:r>
        <w:rPr>
          <w:b/>
          <w:bCs/>
        </w:rPr>
        <w:t xml:space="preserve">Partitioned Parquet releases.</w:t>
      </w:r>
      <w:r>
        <w:t xml:space="preserve"> </w:t>
      </w:r>
      <w:r>
        <w:t xml:space="preserve">Each version is published as Parquet on S3 and read directly, including from the browser, rather than shipped as a monolithic database file.</w:t>
      </w:r>
    </w:p>
    <w:p>
      <w:pPr>
        <w:pStyle w:val="Compact"/>
        <w:numPr>
          <w:ilvl w:val="0"/>
          <w:numId w:val="1066"/>
        </w:numPr>
      </w:pPr>
      <w:r>
        <w:rPr>
          <w:b/>
          <w:bCs/>
        </w:rPr>
        <w:t xml:space="preserve">One application across all releases.</w:t>
      </w:r>
      <w:r>
        <w:t xml:space="preserve"> </w:t>
      </w:r>
      <w:r>
        <w:t xml:space="preserve">The per-version application forks are retired; version is data, settled by a published manifest, not a code fork.</w:t>
      </w:r>
    </w:p>
    <w:p>
      <w:pPr>
        <w:pStyle w:val="Compact"/>
        <w:numPr>
          <w:ilvl w:val="0"/>
          <w:numId w:val="1066"/>
        </w:numPr>
      </w:pPr>
      <w:r>
        <w:rPr>
          <w:b/>
          <w:bCs/>
        </w:rPr>
        <w:t xml:space="preserve">Whole-range models.</w:t>
      </w:r>
      <w:r>
        <w:t xml:space="preserve"> </w:t>
      </w:r>
      <w:r>
        <w:t xml:space="preserve">Distributions are captured globally rather than clipped to the study area, so a species map shows the species instead of the analysis extent.</w:t>
      </w:r>
    </w:p>
    <w:p>
      <w:pPr>
        <w:pStyle w:val="FirstParagraph"/>
      </w:pPr>
      <w:r>
        <w:t xml:space="preserve">The</w:t>
      </w:r>
      <w:r>
        <w:t xml:space="preserve"> </w:t>
      </w:r>
      <w:r>
        <w:rPr>
          <w:b/>
          <w:bCs/>
        </w:rPr>
        <w:t xml:space="preserve">H3 hexagonal grid</w:t>
      </w:r>
      <w:r>
        <w:t xml:space="preserve"> </w:t>
      </w:r>
      <w:r>
        <w:t xml:space="preserve">proposed earlier was evaluated and</w:t>
      </w:r>
      <w:r>
        <w:t xml:space="preserve"> </w:t>
      </w:r>
      <w:r>
        <w:rPr>
          <w:b/>
          <w:bCs/>
        </w:rPr>
        <w:t xml:space="preserve">not adopted</w:t>
      </w:r>
      <w:r>
        <w:t xml:space="preserve">: v8 stays on a 0.05° raster grid, made global rather than regional. Interpolating suitability onto hexes added a resampling step without improving the analysis, and the raster grid aligns directly with the source environmental layers.</w:t>
      </w:r>
    </w:p>
    <w:bookmarkEnd w:id="650"/>
    <w:bookmarkStart w:id="651" w:name="future-directions"/>
    <w:p>
      <w:pPr>
        <w:pStyle w:val="Heading2"/>
      </w:pPr>
      <w:r>
        <w:t xml:space="preserve">24.3 Future directions</w:t>
      </w:r>
    </w:p>
    <w:p>
      <w:pPr>
        <w:pStyle w:val="Compact"/>
        <w:numPr>
          <w:ilvl w:val="0"/>
          <w:numId w:val="1067"/>
        </w:numPr>
      </w:pPr>
      <w:r>
        <w:rPr>
          <w:b/>
          <w:bCs/>
        </w:rPr>
        <w:t xml:space="preserve">OBIS/GBIF validation</w:t>
      </w:r>
      <w:r>
        <w:t xml:space="preserve"> </w:t>
      </w:r>
      <w:r>
        <w:t xml:space="preserve">— refine distributions against occurrence records, with temporal filters.</w:t>
      </w:r>
    </w:p>
    <w:p>
      <w:pPr>
        <w:pStyle w:val="Compact"/>
        <w:numPr>
          <w:ilvl w:val="0"/>
          <w:numId w:val="1067"/>
        </w:numPr>
      </w:pPr>
      <w:r>
        <w:rPr>
          <w:b/>
          <w:bCs/>
        </w:rPr>
        <w:t xml:space="preserve">Density models</w:t>
      </w:r>
      <w:r>
        <w:t xml:space="preserve"> </w:t>
      </w:r>
      <w:r>
        <w:t xml:space="preserve">— NOAA SEFSC and NCCOS density surfaces are ingested and catalogued but excluded from scoring, pending an agreed mapping from individuals km</w:t>
      </w:r>
      <w:r>
        <w:rPr>
          <w:vertAlign w:val="superscript"/>
        </w:rPr>
        <w:t xml:space="preserve">-2</w:t>
      </w:r>
      <w:r>
        <w:t xml:space="preserve"> </w:t>
      </w:r>
      <w:r>
        <w:t xml:space="preserve">onto the 0–100 suitability scale. They are flagged</w:t>
      </w:r>
      <w:r>
        <w:t xml:space="preserve"> </w:t>
      </w:r>
      <w:r>
        <w:rPr>
          <w:rStyle w:val="VerbatimChar"/>
        </w:rPr>
        <w:t xml:space="preserve">is_scored = FALSE</w:t>
      </w:r>
      <w:r>
        <w:t xml:space="preserve"> </w:t>
      </w:r>
      <w:r>
        <w:t xml:space="preserve">so no count on these pages includes them.</w:t>
      </w:r>
    </w:p>
    <w:p>
      <w:pPr>
        <w:pStyle w:val="Compact"/>
        <w:numPr>
          <w:ilvl w:val="0"/>
          <w:numId w:val="1067"/>
        </w:numPr>
      </w:pPr>
      <w:r>
        <w:rPr>
          <w:b/>
          <w:bCs/>
        </w:rPr>
        <w:t xml:space="preserve">Habitat sensitivity</w:t>
      </w:r>
      <w:r>
        <w:t xml:space="preserve"> </w:t>
      </w:r>
      <w:r>
        <w:t xml:space="preserve">— benthic habitats (coral reefs, seamounts, hydrothermal vents) as a component alongside species and productivity.</w:t>
      </w:r>
    </w:p>
    <w:p>
      <w:pPr>
        <w:pStyle w:val="Compact"/>
        <w:numPr>
          <w:ilvl w:val="0"/>
          <w:numId w:val="1067"/>
        </w:numPr>
      </w:pPr>
      <w:r>
        <w:rPr>
          <w:b/>
          <w:bCs/>
        </w:rPr>
        <w:t xml:space="preserve">Stressor–receptor matrices</w:t>
      </w:r>
      <w:r>
        <w:t xml:space="preserve"> </w:t>
      </w:r>
      <w:r>
        <w:t xml:space="preserve">— extend from sensitivity alone to full vulnerability by adding exposure for offshore wind, oil and gas, and other activities (see</w:t>
      </w:r>
      <w:r>
        <w:t xml:space="preserve"> </w:t>
      </w:r>
      <w:hyperlink w:anchor="sec-stressors">
        <w:r>
          <w:rPr>
            <w:rStyle w:val="Hyperlink"/>
          </w:rPr>
          <w:t xml:space="preserve">Chapter 12</w:t>
        </w:r>
      </w:hyperlink>
      <w:r>
        <w:t xml:space="preserve">).</w:t>
      </w:r>
    </w:p>
    <w:p>
      <w:pPr>
        <w:pStyle w:val="Compact"/>
        <w:numPr>
          <w:ilvl w:val="0"/>
          <w:numId w:val="1067"/>
        </w:numPr>
      </w:pPr>
      <w:r>
        <w:rPr>
          <w:b/>
          <w:bCs/>
        </w:rPr>
        <w:t xml:space="preserve">Application enhancements</w:t>
      </w:r>
      <w:r>
        <w:t xml:space="preserve"> </w:t>
      </w:r>
      <w:r>
        <w:t xml:space="preserve">— arbitrary area selection, taxonomic-tree browsing, automatic figure generation, and scrollytelling explainers.</w:t>
      </w:r>
    </w:p>
    <w:p>
      <w:pPr>
        <w:pStyle w:val="Compact"/>
        <w:numPr>
          <w:ilvl w:val="0"/>
          <w:numId w:val="1067"/>
        </w:numPr>
      </w:pPr>
      <w:r>
        <w:rPr>
          <w:b/>
          <w:bCs/>
        </w:rPr>
        <w:t xml:space="preserve">Infrastructure transfer</w:t>
      </w:r>
      <w:r>
        <w:t xml:space="preserve"> </w:t>
      </w:r>
      <w:r>
        <w:t xml:space="preserve">— support moving the data and applications onto BOEM infrastructure for long-term operation.</w:t>
      </w:r>
    </w:p>
    <w:bookmarkEnd w:id="651"/>
    <w:bookmarkEnd w:id="652"/>
    <w:bookmarkStart w:id="691" w:name="references"/>
    <w:p>
      <w:pPr>
        <w:pStyle w:val="Heading1"/>
      </w:pPr>
      <w:r>
        <w:t xml:space="preserve">References</w:t>
      </w:r>
    </w:p>
    <w:bookmarkStart w:id="690" w:name="refs"/>
    <w:bookmarkStart w:id="654" w:name="ref-behrenfeld1997"/>
    <w:p>
      <w:pPr>
        <w:pStyle w:val="Bibliography"/>
      </w:pPr>
      <w:r>
        <w:t xml:space="preserve">Behrenfeld, Michael J., and Paul G. Falkowski. 1997.</w:t>
      </w:r>
      <w:r>
        <w:t xml:space="preserve"> </w:t>
      </w:r>
      <w:r>
        <w:t xml:space="preserve">“Photosynthetic Rates Derived from Satellite-Based Chlorophyll Concentration.”</w:t>
      </w:r>
      <w:r>
        <w:t xml:space="preserve"> </w:t>
      </w:r>
      <w:r>
        <w:rPr>
          <w:i/>
          <w:iCs/>
        </w:rPr>
        <w:t xml:space="preserve">Limnology and Oceanography</w:t>
      </w:r>
      <w:r>
        <w:t xml:space="preserve"> </w:t>
      </w:r>
      <w:r>
        <w:t xml:space="preserve">42 (1): 1–20.</w:t>
      </w:r>
      <w:r>
        <w:t xml:space="preserve"> </w:t>
      </w:r>
      <w:hyperlink r:id="rId653">
        <w:r>
          <w:rPr>
            <w:rStyle w:val="Hyperlink"/>
          </w:rPr>
          <w:t xml:space="preserve">https://doi.org/10.4319/lo.1997.42.1.0001</w:t>
        </w:r>
      </w:hyperlink>
      <w:r>
        <w:t xml:space="preserve">.</w:t>
      </w:r>
    </w:p>
    <w:bookmarkEnd w:id="654"/>
    <w:bookmarkStart w:id="656" w:name="ref-butchart2007"/>
    <w:p>
      <w:pPr>
        <w:pStyle w:val="Bibliography"/>
      </w:pPr>
      <w:r>
        <w:t xml:space="preserve">Butchart, Stuart H. M., H. Resit Akçakaya, Janice Chanson, et al. 2007.</w:t>
      </w:r>
      <w:r>
        <w:t xml:space="preserve"> </w:t>
      </w:r>
      <w:r>
        <w:t xml:space="preserve">“Improvements to the Red List Index.”</w:t>
      </w:r>
      <w:r>
        <w:t xml:space="preserve"> </w:t>
      </w:r>
      <w:r>
        <w:rPr>
          <w:i/>
          <w:iCs/>
        </w:rPr>
        <w:t xml:space="preserve">PLoS ONE</w:t>
      </w:r>
      <w:r>
        <w:t xml:space="preserve"> </w:t>
      </w:r>
      <w:r>
        <w:t xml:space="preserve">2 (1): e140.</w:t>
      </w:r>
      <w:r>
        <w:t xml:space="preserve"> </w:t>
      </w:r>
      <w:hyperlink r:id="rId655">
        <w:r>
          <w:rPr>
            <w:rStyle w:val="Hyperlink"/>
          </w:rPr>
          <w:t xml:space="preserve">https://doi.org/10.1371/journal.pone.0000140</w:t>
        </w:r>
      </w:hyperlink>
      <w:r>
        <w:t xml:space="preserve">.</w:t>
      </w:r>
    </w:p>
    <w:bookmarkEnd w:id="656"/>
    <w:bookmarkStart w:id="658" w:name="ref-butchart2004"/>
    <w:p>
      <w:pPr>
        <w:pStyle w:val="Bibliography"/>
      </w:pPr>
      <w:r>
        <w:t xml:space="preserve">Butchart, Stuart H. M., Alison J. Stattersfield, Leon A. Bennun, et al. 2004.</w:t>
      </w:r>
      <w:r>
        <w:t xml:space="preserve"> </w:t>
      </w:r>
      <w:r>
        <w:t xml:space="preserve">“Measuring Global Trends in the Status of Biodiversity: Red List Indices for Birds.”</w:t>
      </w:r>
      <w:r>
        <w:t xml:space="preserve"> </w:t>
      </w:r>
      <w:r>
        <w:rPr>
          <w:i/>
          <w:iCs/>
        </w:rPr>
        <w:t xml:space="preserve">PLoS Biology</w:t>
      </w:r>
      <w:r>
        <w:t xml:space="preserve"> </w:t>
      </w:r>
      <w:r>
        <w:t xml:space="preserve">2 (12): e383.</w:t>
      </w:r>
      <w:r>
        <w:t xml:space="preserve"> </w:t>
      </w:r>
      <w:hyperlink r:id="rId657">
        <w:r>
          <w:rPr>
            <w:rStyle w:val="Hyperlink"/>
          </w:rPr>
          <w:t xml:space="preserve">https://doi.org/10.1371/journal.pbio.0020383</w:t>
        </w:r>
      </w:hyperlink>
      <w:r>
        <w:t xml:space="preserve">.</w:t>
      </w:r>
    </w:p>
    <w:bookmarkEnd w:id="658"/>
    <w:bookmarkStart w:id="660" w:name="ref-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659">
        <w:r>
          <w:rPr>
            <w:rStyle w:val="Hyperlink"/>
          </w:rPr>
          <w:t xml:space="preserve">https://CRAN.R-project.org/package=shiny</w:t>
        </w:r>
      </w:hyperlink>
      <w:r>
        <w:t xml:space="preserve">.</w:t>
      </w:r>
    </w:p>
    <w:bookmarkEnd w:id="660"/>
    <w:bookmarkStart w:id="662" w:name="ref-goodale2016"/>
    <w:p>
      <w:pPr>
        <w:pStyle w:val="Bibliography"/>
      </w:pPr>
      <w:r>
        <w:t xml:space="preserve">Goodale, M. Wing, and Anita Milman. 2016.</w:t>
      </w:r>
      <w:r>
        <w:t xml:space="preserve"> </w:t>
      </w:r>
      <w:r>
        <w:t xml:space="preserve">“Cumulative Adverse Effects of Offshore Wind Energy Development on Wildlife.”</w:t>
      </w:r>
      <w:r>
        <w:t xml:space="preserve"> </w:t>
      </w:r>
      <w:r>
        <w:rPr>
          <w:i/>
          <w:iCs/>
        </w:rPr>
        <w:t xml:space="preserve">Journal of Environmental Planning and Management</w:t>
      </w:r>
      <w:r>
        <w:t xml:space="preserve"> </w:t>
      </w:r>
      <w:r>
        <w:t xml:space="preserve">0 (0): 1–21.</w:t>
      </w:r>
      <w:r>
        <w:t xml:space="preserve"> </w:t>
      </w:r>
      <w:hyperlink r:id="rId661">
        <w:r>
          <w:rPr>
            <w:rStyle w:val="Hyperlink"/>
          </w:rPr>
          <w:t xml:space="preserve">https://doi.org/10.1080/09640568.2014.973483</w:t>
        </w:r>
      </w:hyperlink>
      <w:r>
        <w:t xml:space="preserve">.</w:t>
      </w:r>
    </w:p>
    <w:bookmarkEnd w:id="662"/>
    <w:bookmarkStart w:id="664" w:name="ref-halpern2012"/>
    <w:p>
      <w:pPr>
        <w:pStyle w:val="Bibliography"/>
      </w:pPr>
      <w:r>
        <w:t xml:space="preserve">Halpern, Benjamin S., Catherine Longo, Darren Hardy, et al. 2012.</w:t>
      </w:r>
      <w:r>
        <w:t xml:space="preserve"> </w:t>
      </w:r>
      <w:r>
        <w:t xml:space="preserve">“An Index to Assess the Health and Benefits of the Global Ocean.”</w:t>
      </w:r>
      <w:r>
        <w:t xml:space="preserve"> </w:t>
      </w:r>
      <w:r>
        <w:rPr>
          <w:i/>
          <w:iCs/>
        </w:rPr>
        <w:t xml:space="preserve">Nature</w:t>
      </w:r>
      <w:r>
        <w:t xml:space="preserve">, ahead of print.</w:t>
      </w:r>
      <w:r>
        <w:t xml:space="preserve"> </w:t>
      </w:r>
      <w:hyperlink r:id="rId663">
        <w:r>
          <w:rPr>
            <w:rStyle w:val="Hyperlink"/>
          </w:rPr>
          <w:t xml:space="preserve">https://doi.org/10.1038/nature11397</w:t>
        </w:r>
      </w:hyperlink>
      <w:r>
        <w:t xml:space="preserve">.</w:t>
      </w:r>
    </w:p>
    <w:bookmarkEnd w:id="664"/>
    <w:bookmarkStart w:id="666" w:name="ref-halpern2007"/>
    <w:p>
      <w:pPr>
        <w:pStyle w:val="Bibliography"/>
      </w:pPr>
      <w:r>
        <w:t xml:space="preserve">Halpern, Benjamin S., Kimberly A. Selkoe, Fiorenza Micheli, and Carrie V. Kappel. 2007.</w:t>
      </w:r>
      <w:r>
        <w:t xml:space="preserve"> </w:t>
      </w:r>
      <w:r>
        <w:t xml:space="preserve">“Evaluating and Ranking the Vulnerability of Global Marine Ecosystems to Anthropogenic Threats.”</w:t>
      </w:r>
      <w:r>
        <w:t xml:space="preserve"> </w:t>
      </w:r>
      <w:r>
        <w:rPr>
          <w:i/>
          <w:iCs/>
        </w:rPr>
        <w:t xml:space="preserve">Conservation Biology</w:t>
      </w:r>
      <w:r>
        <w:t xml:space="preserve"> </w:t>
      </w:r>
      <w:r>
        <w:t xml:space="preserve">21: 1301–15.</w:t>
      </w:r>
      <w:r>
        <w:t xml:space="preserve"> </w:t>
      </w:r>
      <w:hyperlink r:id="rId665">
        <w:r>
          <w:rPr>
            <w:rStyle w:val="Hyperlink"/>
          </w:rPr>
          <w:t xml:space="preserve">https://doi.org/10.1111/j.1523-1739.2007.00752.x</w:t>
        </w:r>
      </w:hyperlink>
      <w:r>
        <w:t xml:space="preserve">.</w:t>
      </w:r>
    </w:p>
    <w:bookmarkEnd w:id="666"/>
    <w:bookmarkStart w:id="668" w:name="ref-hare2016"/>
    <w:p>
      <w:pPr>
        <w:pStyle w:val="Bibliography"/>
      </w:pPr>
      <w:r>
        <w:t xml:space="preserve">Hare, Jonathan A., Wendy E. Morrison, Mark W. Nelson, et al.</w:t>
      </w:r>
      <w:r>
        <w:t xml:space="preserve"> 2016.</w:t>
      </w:r>
      <w:r>
        <w:t xml:space="preserve"> </w:t>
      </w:r>
      <w:r>
        <w:t xml:space="preserve">“A Vulnerability Assessment of Fish and Invertebrates to Climate Change on the Northeast u.s. Continental Shelf.”</w:t>
      </w:r>
      <w:r>
        <w:t xml:space="preserve"> </w:t>
      </w:r>
      <w:r>
        <w:rPr>
          <w:i/>
          <w:iCs/>
        </w:rPr>
        <w:t xml:space="preserve">PLoS ONE</w:t>
      </w:r>
      <w:r>
        <w:t xml:space="preserve"> </w:t>
      </w:r>
      <w:r>
        <w:t xml:space="preserve">11 (2): e0146756.</w:t>
      </w:r>
      <w:r>
        <w:t xml:space="preserve"> </w:t>
      </w:r>
      <w:hyperlink r:id="rId667">
        <w:r>
          <w:rPr>
            <w:rStyle w:val="Hyperlink"/>
          </w:rPr>
          <w:t xml:space="preserve">https://doi.org/10.1371/journal.pone.0146756</w:t>
        </w:r>
      </w:hyperlink>
      <w:r>
        <w:t xml:space="preserve">.</w:t>
      </w:r>
    </w:p>
    <w:bookmarkEnd w:id="668"/>
    <w:bookmarkStart w:id="669" w:name="ref-ipcc2014"/>
    <w:p>
      <w:pPr>
        <w:pStyle w:val="Bibliography"/>
      </w:pPr>
      <w:r>
        <w:t xml:space="preserve">Intergovernmental Panel on Climate Change. 2014.</w:t>
      </w:r>
      <w:r>
        <w:t xml:space="preserve"> </w:t>
      </w:r>
      <w:r>
        <w:rPr>
          <w:i/>
          <w:iCs/>
        </w:rPr>
        <w:t xml:space="preserve">Climate Change 2014: Impacts, Adaptation, and Vulnerability. Contribution of Working Group II to the Fifth Assessment Report</w:t>
      </w:r>
      <w:r>
        <w:t xml:space="preserve">. Cambridge University Press.</w:t>
      </w:r>
    </w:p>
    <w:bookmarkEnd w:id="669"/>
    <w:bookmarkStart w:id="670" w:name="ref-kaschner2019"/>
    <w:p>
      <w:pPr>
        <w:pStyle w:val="Bibliography"/>
      </w:pPr>
      <w:r>
        <w:t xml:space="preserve">Kaschner, K., K. Kesner-Reyes, C. Garilao, et al. 2019.</w:t>
      </w:r>
      <w:r>
        <w:t xml:space="preserve"> </w:t>
      </w:r>
      <w:r>
        <w:rPr>
          <w:i/>
          <w:iCs/>
        </w:rPr>
        <w:t xml:space="preserve">AquaMaps</w:t>
      </w:r>
      <w:r>
        <w:rPr>
          <w:i/>
          <w:iCs/>
        </w:rPr>
        <w:t xml:space="preserve">: Predicted Range Maps for Aquatic Species</w:t>
      </w:r>
      <w:r>
        <w:t xml:space="preserve">.</w:t>
      </w:r>
      <w:r>
        <w:t xml:space="preserve"> </w:t>
      </w:r>
      <w:hyperlink r:id="rId31">
        <w:r>
          <w:rPr>
            <w:rStyle w:val="Hyperlink"/>
          </w:rPr>
          <w:t xml:space="preserve">https://www.aquamaps.org</w:t>
        </w:r>
      </w:hyperlink>
      <w:r>
        <w:t xml:space="preserve">.</w:t>
      </w:r>
    </w:p>
    <w:bookmarkEnd w:id="670"/>
    <w:bookmarkStart w:id="672" w:name="ref-lowndes2017"/>
    <w:p>
      <w:pPr>
        <w:pStyle w:val="Bibliography"/>
      </w:pPr>
      <w:r>
        <w:t xml:space="preserve">Lowndes, Julia S. Stewart, Benjamin D. Best, Courtney Scarborough, et al. 2017.</w:t>
      </w:r>
      <w:r>
        <w:t xml:space="preserve"> </w:t>
      </w:r>
      <w:r>
        <w:t xml:space="preserve">“Our Path to Better Science in Less Time Using Open Data Science Tools.”</w:t>
      </w:r>
      <w:r>
        <w:t xml:space="preserve"> </w:t>
      </w:r>
      <w:r>
        <w:rPr>
          <w:i/>
          <w:iCs/>
        </w:rPr>
        <w:t xml:space="preserve">Nature Ecology &amp; Evolution</w:t>
      </w:r>
      <w:r>
        <w:t xml:space="preserve"> </w:t>
      </w:r>
      <w:r>
        <w:t xml:space="preserve">1 (6): 0160.</w:t>
      </w:r>
      <w:r>
        <w:t xml:space="preserve"> </w:t>
      </w:r>
      <w:hyperlink r:id="rId671">
        <w:r>
          <w:rPr>
            <w:rStyle w:val="Hyperlink"/>
          </w:rPr>
          <w:t xml:space="preserve">https://doi.org/10.1038/s41559-017-0160</w:t>
        </w:r>
      </w:hyperlink>
      <w:r>
        <w:t xml:space="preserve">.</w:t>
      </w:r>
    </w:p>
    <w:bookmarkEnd w:id="672"/>
    <w:bookmarkStart w:id="674" w:name="ref-mair2021"/>
    <w:p>
      <w:pPr>
        <w:pStyle w:val="Bibliography"/>
      </w:pPr>
      <w:r>
        <w:t xml:space="preserve">Mair, Louise, Leon A. Bennun, Thomas M. Brooks, et al.</w:t>
      </w:r>
      <w:r>
        <w:t xml:space="preserve"> 2021.</w:t>
      </w:r>
      <w:r>
        <w:t xml:space="preserve"> </w:t>
      </w:r>
      <w:r>
        <w:t xml:space="preserve">“A Metric for Spatially Explicit Contributions to Science-Based Species Targets.”</w:t>
      </w:r>
      <w:r>
        <w:t xml:space="preserve"> </w:t>
      </w:r>
      <w:r>
        <w:rPr>
          <w:i/>
          <w:iCs/>
        </w:rPr>
        <w:t xml:space="preserve">Nature Ecology &amp; Evolution</w:t>
      </w:r>
      <w:r>
        <w:t xml:space="preserve"> </w:t>
      </w:r>
      <w:r>
        <w:t xml:space="preserve">5: 836–44.</w:t>
      </w:r>
      <w:r>
        <w:t xml:space="preserve"> </w:t>
      </w:r>
      <w:hyperlink r:id="rId673">
        <w:r>
          <w:rPr>
            <w:rStyle w:val="Hyperlink"/>
          </w:rPr>
          <w:t xml:space="preserve">https://doi.org/10.1038/s41559-021-01432-0</w:t>
        </w:r>
      </w:hyperlink>
      <w:r>
        <w:t xml:space="preserve">.</w:t>
      </w:r>
    </w:p>
    <w:bookmarkEnd w:id="674"/>
    <w:bookmarkStart w:id="676" w:name="ref-maitner2024"/>
    <w:p>
      <w:pPr>
        <w:pStyle w:val="Bibliography"/>
      </w:pPr>
      <w:r>
        <w:t xml:space="preserve">Maitner, Brian, Paul Efren Santos Andrade, Luna Lei, et al. 2024.</w:t>
      </w:r>
      <w:r>
        <w:t xml:space="preserve"> </w:t>
      </w:r>
      <w:r>
        <w:t xml:space="preserve">“Code Sharing in Ecology and Evolution Increases Citation Rates but Remains Uncommon.”</w:t>
      </w:r>
      <w:r>
        <w:t xml:space="preserve"> </w:t>
      </w:r>
      <w:r>
        <w:rPr>
          <w:i/>
          <w:iCs/>
        </w:rPr>
        <w:t xml:space="preserve">Ecology and Evolution</w:t>
      </w:r>
      <w:r>
        <w:t xml:space="preserve"> </w:t>
      </w:r>
      <w:r>
        <w:t xml:space="preserve">14 (8): e70030.</w:t>
      </w:r>
      <w:r>
        <w:t xml:space="preserve"> </w:t>
      </w:r>
      <w:hyperlink r:id="rId675">
        <w:r>
          <w:rPr>
            <w:rStyle w:val="Hyperlink"/>
          </w:rPr>
          <w:t xml:space="preserve">https://doi.org/10.1002/ece3.70030</w:t>
        </w:r>
      </w:hyperlink>
      <w:r>
        <w:t xml:space="preserve">.</w:t>
      </w:r>
    </w:p>
    <w:bookmarkEnd w:id="676"/>
    <w:bookmarkStart w:id="678" w:name="ref-mooers2008"/>
    <w:p>
      <w:pPr>
        <w:pStyle w:val="Bibliography"/>
      </w:pPr>
      <w:r>
        <w:t xml:space="preserve">Mooers, Arne Ø., Daniel P. Faith, and Wayne P. Maddison. 2008.</w:t>
      </w:r>
      <w:r>
        <w:t xml:space="preserve"> </w:t>
      </w:r>
      <w:r>
        <w:t xml:space="preserve">“Converting Endangered Species Categories to Probabilities of Extinction for Phylogenetic Conservation Prioritization.”</w:t>
      </w:r>
      <w:r>
        <w:t xml:space="preserve"> </w:t>
      </w:r>
      <w:r>
        <w:rPr>
          <w:i/>
          <w:iCs/>
        </w:rPr>
        <w:t xml:space="preserve">PLoS ONE</w:t>
      </w:r>
      <w:r>
        <w:t xml:space="preserve"> </w:t>
      </w:r>
      <w:r>
        <w:t xml:space="preserve">3 (11): e3700.</w:t>
      </w:r>
      <w:r>
        <w:t xml:space="preserve"> </w:t>
      </w:r>
      <w:hyperlink r:id="rId677">
        <w:r>
          <w:rPr>
            <w:rStyle w:val="Hyperlink"/>
          </w:rPr>
          <w:t xml:space="preserve">https://doi.org/10.1371/journal.pone.0003700</w:t>
        </w:r>
      </w:hyperlink>
      <w:r>
        <w:t xml:space="preserve">.</w:t>
      </w:r>
    </w:p>
    <w:bookmarkEnd w:id="678"/>
    <w:bookmarkStart w:id="680" w:name="ref-morandi2018"/>
    <w:p>
      <w:pPr>
        <w:pStyle w:val="Bibliography"/>
      </w:pPr>
      <w:r>
        <w:t xml:space="preserve">Morandi, A., S. Berkman, J. Rowe, et al. 2018.</w:t>
      </w:r>
      <w:r>
        <w:t xml:space="preserve"> </w:t>
      </w:r>
      <w:r>
        <w:rPr>
          <w:i/>
          <w:iCs/>
        </w:rPr>
        <w:t xml:space="preserve">Environmental Sensitivity and Associated Risk to Habitats and Species on the Pacific West Coast and Hawaii with Offshore Floating Wind Technologies</w:t>
      </w:r>
      <w:r>
        <w:t xml:space="preserve">. OCS Study BOEM 2018-031. US Department of the Interior, Bureau of Ocean Energy Management, Pacific OCS Region.</w:t>
      </w:r>
      <w:r>
        <w:t xml:space="preserve"> </w:t>
      </w:r>
      <w:hyperlink r:id="rId679">
        <w:r>
          <w:rPr>
            <w:rStyle w:val="Hyperlink"/>
          </w:rPr>
          <w:t xml:space="preserve">https://www.boem.gov/sites/default/files/environmental-stewardship/Environmental-Studies/Pacific-Region/Studies/BOEM-2018-031-Vol1.pdf</w:t>
        </w:r>
      </w:hyperlink>
      <w:r>
        <w:t xml:space="preserve">.</w:t>
      </w:r>
    </w:p>
    <w:bookmarkEnd w:id="680"/>
    <w:bookmarkStart w:id="681" w:name="ref-niedoroda2014"/>
    <w:p>
      <w:pPr>
        <w:pStyle w:val="Bibliography"/>
      </w:pPr>
      <w:r>
        <w:t xml:space="preserve">Niedoroda, Alan W. 2014.</w:t>
      </w:r>
      <w:r>
        <w:t xml:space="preserve"> </w:t>
      </w:r>
      <w:r>
        <w:rPr>
          <w:i/>
          <w:iCs/>
        </w:rPr>
        <w:t xml:space="preserve">Renewable Energy Space Assessment Model (</w:t>
      </w:r>
      <w:r>
        <w:rPr>
          <w:i/>
          <w:iCs/>
        </w:rPr>
        <w:t xml:space="preserve">RESA</w:t>
      </w:r>
      <w:r>
        <w:rPr>
          <w:i/>
          <w:iCs/>
        </w:rPr>
        <w:t xml:space="preserve">)</w:t>
      </w:r>
      <w:r>
        <w:t xml:space="preserve">. Bureau of Ocean Energy Management.</w:t>
      </w:r>
    </w:p>
    <w:bookmarkEnd w:id="681"/>
    <w:bookmarkStart w:id="683" w:name="ref-noaafisheries2025dps"/>
    <w:p>
      <w:pPr>
        <w:pStyle w:val="Bibliography"/>
      </w:pPr>
      <w:r>
        <w:t xml:space="preserve">NOAA Fisheries. 2025.</w:t>
      </w:r>
      <w:r>
        <w:t xml:space="preserve"> </w:t>
      </w:r>
      <w:r>
        <w:rPr>
          <w:i/>
          <w:iCs/>
        </w:rPr>
        <w:t xml:space="preserve">Endangered Species Act Species Range Geodatabase</w:t>
      </w:r>
      <w:r>
        <w:t xml:space="preserve">. National Oceanic; Atmospheric Administration (NOAA), National Marine Fisheries Service (NMFS), Office of Protected Resources (OPR).</w:t>
      </w:r>
      <w:r>
        <w:t xml:space="preserve"> </w:t>
      </w:r>
      <w:hyperlink r:id="rId682">
        <w:r>
          <w:rPr>
            <w:rStyle w:val="Hyperlink"/>
          </w:rPr>
          <w:t xml:space="preserve">https://noaa.maps.arcgis.com/home/search.html?searchTerm=turtle+dps</w:t>
        </w:r>
      </w:hyperlink>
      <w:r>
        <w:t xml:space="preserve">.</w:t>
      </w:r>
    </w:p>
    <w:bookmarkEnd w:id="683"/>
    <w:bookmarkStart w:id="684" w:name="ref-reygondeau2026"/>
    <w:p>
      <w:pPr>
        <w:pStyle w:val="Bibliography"/>
      </w:pPr>
      <w:r>
        <w:t xml:space="preserve">Reygondeau, Gabriel, Yulia Egorova, Kristina Boerder, et al. 2026.</w:t>
      </w:r>
      <w:r>
        <w:t xml:space="preserve"> </w:t>
      </w:r>
      <w:r>
        <w:t xml:space="preserve">“</w:t>
      </w:r>
      <w:r>
        <w:t xml:space="preserve">AquaX</w:t>
      </w:r>
      <w:r>
        <w:t xml:space="preserve">: An Enhanced and Revised</w:t>
      </w:r>
      <w:r>
        <w:t xml:space="preserve"> </w:t>
      </w:r>
      <w:r>
        <w:t xml:space="preserve">AquaMaps</w:t>
      </w:r>
      <w:r>
        <w:t xml:space="preserve"> </w:t>
      </w:r>
      <w:r>
        <w:t xml:space="preserve">Framework to Model Marine Species Distributions and Biodiversity.”</w:t>
      </w:r>
      <w:r>
        <w:t xml:space="preserve"> </w:t>
      </w:r>
      <w:r>
        <w:rPr>
          <w:i/>
          <w:iCs/>
        </w:rPr>
        <w:t xml:space="preserve">PLOS One</w:t>
      </w:r>
      <w:r>
        <w:t xml:space="preserve"> </w:t>
      </w:r>
      <w:r>
        <w:t xml:space="preserve">21 (2): e0335823.</w:t>
      </w:r>
      <w:r>
        <w:t xml:space="preserve"> </w:t>
      </w:r>
      <w:hyperlink r:id="rId137">
        <w:r>
          <w:rPr>
            <w:rStyle w:val="Hyperlink"/>
          </w:rPr>
          <w:t xml:space="preserve">https://doi.org/10.1371/journal.pone.0335823</w:t>
        </w:r>
      </w:hyperlink>
      <w:r>
        <w:t xml:space="preserve">.</w:t>
      </w:r>
    </w:p>
    <w:bookmarkEnd w:id="684"/>
    <w:bookmarkStart w:id="685" w:name="ref-ross2023"/>
    <w:p>
      <w:pPr>
        <w:pStyle w:val="Bibliography"/>
      </w:pPr>
      <w:r>
        <w:t xml:space="preserve">Ross, Pauline M., Elliot Scanes, Maria Byrne, et al. 2023.</w:t>
      </w:r>
      <w:r>
        <w:t xml:space="preserve"> </w:t>
      </w:r>
      <w:r>
        <w:rPr>
          <w:i/>
          <w:iCs/>
        </w:rPr>
        <w:t xml:space="preserve">Surviving the Anthropocene: The Resilience of Marine Animals to Climate Change</w:t>
      </w:r>
      <w:r>
        <w:t xml:space="preserve">. CRC Press.</w:t>
      </w:r>
    </w:p>
    <w:bookmarkEnd w:id="685"/>
    <w:bookmarkStart w:id="687" w:name="ref-wallace2023"/>
    <w:p>
      <w:pPr>
        <w:pStyle w:val="Bibliography"/>
      </w:pPr>
      <w:r>
        <w:t xml:space="preserve">Wallace, Bryan P., Zachary A. Posnik, Bryan J. Hurley, et al. 2023.</w:t>
      </w:r>
      <w:r>
        <w:t xml:space="preserve"> </w:t>
      </w:r>
      <w:r>
        <w:t xml:space="preserve">“Marine Turtle Regional Management Units 2.0.”</w:t>
      </w:r>
      <w:r>
        <w:t xml:space="preserve"> </w:t>
      </w:r>
      <w:r>
        <w:rPr>
          <w:i/>
          <w:iCs/>
        </w:rPr>
        <w:t xml:space="preserve">Endangered Species Research</w:t>
      </w:r>
      <w:r>
        <w:t xml:space="preserve"> </w:t>
      </w:r>
      <w:r>
        <w:t xml:space="preserve">52: 209–23.</w:t>
      </w:r>
      <w:r>
        <w:t xml:space="preserve"> </w:t>
      </w:r>
      <w:hyperlink r:id="rId686">
        <w:r>
          <w:rPr>
            <w:rStyle w:val="Hyperlink"/>
          </w:rPr>
          <w:t xml:space="preserve">https://doi.org/10.3354/esr01243</w:t>
        </w:r>
      </w:hyperlink>
      <w:r>
        <w:t xml:space="preserve">.</w:t>
      </w:r>
    </w:p>
    <w:bookmarkEnd w:id="687"/>
    <w:bookmarkStart w:id="689" w:name="ref-wilkinson2016"/>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688">
        <w:r>
          <w:rPr>
            <w:rStyle w:val="Hyperlink"/>
          </w:rPr>
          <w:t xml:space="preserve">https://doi.org/10.1038/sdata.2016.18</w:t>
        </w:r>
      </w:hyperlink>
      <w:r>
        <w:t xml:space="preserve">.</w:t>
      </w:r>
    </w:p>
    <w:bookmarkEnd w:id="689"/>
    <w:bookmarkEnd w:id="690"/>
    <w:bookmarkEnd w:id="691"/>
    <w:bookmarkStart w:id="693" w:name="glossary"/>
    <w:p>
      <w:pPr>
        <w:pStyle w:val="Heading1"/>
      </w:pPr>
      <w:r>
        <w:t xml:space="preserve">Glossary</w:t>
      </w:r>
    </w:p>
    <w:p>
      <w:pPr>
        <w:pStyle w:val="DefinitionTerm"/>
      </w:pPr>
      <w:r>
        <w:t xml:space="preserve">acclimatisation</w:t>
      </w:r>
    </w:p>
    <w:p>
      <w:pPr>
        <w:pStyle w:val="Definition"/>
      </w:pPr>
      <w:r>
        <w:t xml:space="preserve">the adjustment of an organism to environmental conditions in the field or environment rather than the laboratory without an adjustment in their genetics. Acclimatisation has been used to describe phenotypically plastic responses in natural conditions. Source:</w:t>
      </w:r>
      <w:r>
        <w:t xml:space="preserve"> </w:t>
      </w:r>
      <w:r>
        <w:t xml:space="preserve">Ross et al. (2023)</w:t>
      </w:r>
      <w:r>
        <w:t xml:space="preserve">.</w:t>
      </w:r>
    </w:p>
    <w:p>
      <w:pPr>
        <w:pStyle w:val="DefinitionTerm"/>
      </w:pPr>
      <w:r>
        <w:t xml:space="preserve">adaptation</w:t>
      </w:r>
    </w:p>
    <w:p>
      <w:pPr>
        <w:pStyle w:val="Definition"/>
      </w:pPr>
      <w:r>
        <w:t xml:space="preserve">the evolutionary mechanism where natural selection of traits is genetically passed on, typically over many generations, to create an organism suited to the environment. Source: [rossRoss et al. (2023)</w:t>
      </w:r>
    </w:p>
    <w:p>
      <w:pPr>
        <w:pStyle w:val="DefinitionTerm"/>
      </w:pPr>
      <w:r>
        <w:t xml:space="preserve">adaptive capacity</w:t>
      </w:r>
    </w:p>
    <w:p>
      <w:pPr>
        <w:pStyle w:val="Definition"/>
      </w:pPr>
      <w:r>
        <w:t xml:space="preserve">the capacity of the ecosystem or organism to improve and reorganise in response to stress such as climate change through phenotypic plasticity (acclimation, acclimatisation) or adaptation, distributional shifts, and rapid evolution of traits suited to new conditions. Source:</w:t>
      </w:r>
      <w:r>
        <w:t xml:space="preserve"> </w:t>
      </w:r>
      <w:r>
        <w:t xml:space="preserve">Ross et al. (2023)</w:t>
      </w:r>
      <w:r>
        <w:t xml:space="preserve">.</w:t>
      </w:r>
    </w:p>
    <w:p>
      <w:pPr>
        <w:pStyle w:val="DefinitionTerm"/>
      </w:pPr>
      <w:r>
        <w:t xml:space="preserve">BOEM</w:t>
      </w:r>
    </w:p>
    <w:p>
      <w:pPr>
        <w:pStyle w:val="Definition"/>
      </w:pPr>
      <w:r>
        <w:t xml:space="preserve">Bureau of Ocean Energy Management — US federal agency responsible for managing offshore energy and mineral resources on the Outer Continental Shelf.</w:t>
      </w:r>
    </w:p>
    <w:p>
      <w:pPr>
        <w:pStyle w:val="DefinitionTerm"/>
      </w:pPr>
      <w:r>
        <w:t xml:space="preserve">COG</w:t>
      </w:r>
    </w:p>
    <w:p>
      <w:pPr>
        <w:pStyle w:val="Definition"/>
      </w:pPr>
      <w:r>
        <w:t xml:space="preserve">Cloud-Optimized GeoTIFF — a raster file format optimized for efficient access over HTTP, enabling range requests for partial reads.</w:t>
      </w:r>
    </w:p>
    <w:p>
      <w:pPr>
        <w:pStyle w:val="DefinitionTerm"/>
      </w:pPr>
      <w:r>
        <w:t xml:space="preserve">DuckDB</w:t>
      </w:r>
    </w:p>
    <w:p>
      <w:pPr>
        <w:pStyle w:val="Definition"/>
      </w:pPr>
      <w:r>
        <w:t xml:space="preserve">an embedded analytical database engine used for storing and querying species distribution models, extinction risk scores, and sensitivity metrics.</w:t>
      </w:r>
    </w:p>
    <w:p>
      <w:pPr>
        <w:pStyle w:val="DefinitionTerm"/>
      </w:pPr>
      <w:r>
        <w:t xml:space="preserve">ecoregion</w:t>
      </w:r>
    </w:p>
    <w:p>
      <w:pPr>
        <w:pStyle w:val="Definition"/>
      </w:pPr>
      <w:r>
        <w:t xml:space="preserve">a BOEM-defined ecological region used as the spatial unit for rescaling sensitivity scores to enable meaningful cross-region comparison.</w:t>
      </w:r>
    </w:p>
    <w:p>
      <w:pPr>
        <w:pStyle w:val="DefinitionTerm"/>
      </w:pPr>
      <w:r>
        <w:t xml:space="preserve">epigenetics</w:t>
      </w:r>
    </w:p>
    <w:p>
      <w:pPr>
        <w:pStyle w:val="Definition"/>
      </w:pPr>
      <w:r>
        <w:t xml:space="preserve">the modification of phenotype plasticity of an organism through altered gene expression without an alteration to the DNA sequence. ‘Epi’ means above the DNA and includes DNA methylation, modification of histones, and non-coding RNA. Source:</w:t>
      </w:r>
      <w:r>
        <w:t xml:space="preserve"> </w:t>
      </w:r>
      <w:r>
        <w:t xml:space="preserve">Ross et al. (2023)</w:t>
      </w:r>
      <w:r>
        <w:t xml:space="preserve">.</w:t>
      </w:r>
    </w:p>
    <w:p>
      <w:pPr>
        <w:pStyle w:val="DefinitionTerm"/>
      </w:pPr>
      <w:r>
        <w:t xml:space="preserve">ESA</w:t>
      </w:r>
    </w:p>
    <w:p>
      <w:pPr>
        <w:pStyle w:val="Definition"/>
      </w:pPr>
      <w:r>
        <w:t xml:space="preserve">Endangered Species Act (1973) — US federal law providing protections for species listed as Endangered or Threatened by NMFS or FWS.</w:t>
      </w:r>
    </w:p>
    <w:p>
      <w:pPr>
        <w:pStyle w:val="DefinitionTerm"/>
      </w:pPr>
      <w:r>
        <w:t xml:space="preserve">exposure</w:t>
      </w:r>
    </w:p>
    <w:p>
      <w:pPr>
        <w:pStyle w:val="Definition"/>
      </w:pPr>
      <w:r>
        <w:t xml:space="preserve">the magnitude of the change in the environment</w:t>
      </w:r>
    </w:p>
    <w:p>
      <w:pPr>
        <w:pStyle w:val="DefinitionTerm"/>
      </w:pPr>
      <w:r>
        <w:t xml:space="preserve">fecundity</w:t>
      </w:r>
    </w:p>
    <w:p>
      <w:pPr>
        <w:pStyle w:val="Definition"/>
      </w:pPr>
      <w:r>
        <w:t xml:space="preserve">the maximum physiological potential reproductive output of an organism to produce offspring (reproductive output). This differs from fertility, which is the number of offspring born. Source: Ross et al. (2023)</w:t>
      </w:r>
    </w:p>
    <w:p>
      <w:pPr>
        <w:pStyle w:val="DefinitionTerm"/>
      </w:pPr>
      <w:r>
        <w:t xml:space="preserve">MBON</w:t>
      </w:r>
    </w:p>
    <w:p>
      <w:pPr>
        <w:pStyle w:val="Definition"/>
      </w:pPr>
      <w:r>
        <w:t xml:space="preserve">Marine Biodiversity Observation Network; see</w:t>
      </w:r>
      <w:r>
        <w:t xml:space="preserve"> </w:t>
      </w:r>
      <w:hyperlink r:id="rId692">
        <w:r>
          <w:rPr>
            <w:rStyle w:val="Hyperlink"/>
          </w:rPr>
          <w:t xml:space="preserve">MarineBON.org</w:t>
        </w:r>
      </w:hyperlink>
    </w:p>
    <w:p>
      <w:pPr>
        <w:pStyle w:val="DefinitionTerm"/>
      </w:pPr>
      <w:r>
        <w:t xml:space="preserve">MBTA</w:t>
      </w:r>
    </w:p>
    <w:p>
      <w:pPr>
        <w:pStyle w:val="Definition"/>
      </w:pPr>
      <w:r>
        <w:t xml:space="preserve">Migratory Bird Treaty Act (1918) — US federal law protecting migratory birds, including most seabird species. MBTA-protected species receive a minimum spatial floor score of 10.</w:t>
      </w:r>
    </w:p>
    <w:p>
      <w:pPr>
        <w:pStyle w:val="DefinitionTerm"/>
      </w:pPr>
      <w:r>
        <w:t xml:space="preserve">MMPA</w:t>
      </w:r>
    </w:p>
    <w:p>
      <w:pPr>
        <w:pStyle w:val="Definition"/>
      </w:pPr>
      <w:r>
        <w:t xml:space="preserve">Marine Mammal Protection Act (1972) — US federal law protecting all marine mammals in US waters. MMPA-protected species receive a minimum spatial floor score of 20.</w:t>
      </w:r>
    </w:p>
    <w:p>
      <w:pPr>
        <w:pStyle w:val="DefinitionTerm"/>
      </w:pPr>
      <w:r>
        <w:t xml:space="preserve">MST</w:t>
      </w:r>
    </w:p>
    <w:p>
      <w:pPr>
        <w:pStyle w:val="Definition"/>
      </w:pPr>
      <w:r>
        <w:t xml:space="preserve">Marine Sensitivity Toolkit — the cloud-native system developed for BOEM to assess marine ecosystem sensitivity to offshore energy development.</w:t>
      </w:r>
    </w:p>
    <w:p>
      <w:pPr>
        <w:pStyle w:val="DefinitionTerm"/>
      </w:pPr>
      <w:r>
        <w:t xml:space="preserve">OCSLA</w:t>
      </w:r>
    </w:p>
    <w:p>
      <w:pPr>
        <w:pStyle w:val="Definition"/>
      </w:pPr>
      <w:r>
        <w:t xml:space="preserve">Outer Continental Shelf Lands Act — US federal law governing the management of offshore resources, including the mandate to consider environmental sensitivity and marine productivity.</w:t>
      </w:r>
    </w:p>
    <w:p>
      <w:pPr>
        <w:pStyle w:val="DefinitionTerm"/>
      </w:pPr>
      <w:r>
        <w:t xml:space="preserve">resilience</w:t>
      </w:r>
    </w:p>
    <w:p>
      <w:pPr>
        <w:pStyle w:val="Definition"/>
      </w:pPr>
      <w:r>
        <w:t xml:space="preserve">the capacity of an ecosystem, society, or organism to absorb disturbance and reorganise while undergoing change so as to retain essentially the same function, structure, identity, and feedbacks. Resilience reflects the degree to which a complex adaptive system is determined by its capacity to reorganise and adapt in order to avoid being disturbed again. Source:</w:t>
      </w:r>
      <w:r>
        <w:t xml:space="preserve"> </w:t>
      </w:r>
      <w:r>
        <w:t xml:space="preserve">Ross et al. (2023)</w:t>
      </w:r>
      <w:r>
        <w:t xml:space="preserve">.</w:t>
      </w:r>
    </w:p>
    <w:p>
      <w:pPr>
        <w:pStyle w:val="DefinitionTerm"/>
      </w:pPr>
      <w:r>
        <w:t xml:space="preserve">SDM</w:t>
      </w:r>
    </w:p>
    <w:p>
      <w:pPr>
        <w:pStyle w:val="Definition"/>
      </w:pPr>
      <w:r>
        <w:t xml:space="preserve">Species Distribution Model — a statistical or environmental envelope model predicting the spatial distribution of a species based on environmental variables.</w:t>
      </w:r>
    </w:p>
    <w:p>
      <w:pPr>
        <w:pStyle w:val="DefinitionTerm"/>
      </w:pPr>
      <w:r>
        <w:t xml:space="preserve">sensitivity</w:t>
      </w:r>
    </w:p>
    <w:p>
      <w:pPr>
        <w:pStyle w:val="Definition"/>
      </w:pPr>
      <w:r>
        <w:t xml:space="preserve">the magnitude of response to the change</w:t>
      </w:r>
    </w:p>
    <w:p>
      <w:pPr>
        <w:pStyle w:val="DefinitionTerm"/>
      </w:pPr>
      <w:r>
        <w:t xml:space="preserve">stressor</w:t>
      </w:r>
    </w:p>
    <w:p>
      <w:pPr>
        <w:pStyle w:val="Definition"/>
      </w:pPr>
      <w:r>
        <w:t xml:space="preserve">the stimulus that causes stress to an organism</w:t>
      </w:r>
    </w:p>
    <w:p>
      <w:pPr>
        <w:pStyle w:val="DefinitionTerm"/>
      </w:pPr>
      <w:r>
        <w:t xml:space="preserve">vulnerability</w:t>
      </w:r>
    </w:p>
    <w:p>
      <w:pPr>
        <w:pStyle w:val="Definition"/>
      </w:pPr>
      <w:r>
        <w:t xml:space="preserve">combination of exposure and sensitivity</w:t>
      </w:r>
    </w:p>
    <w:bookmarkEnd w:id="693"/>
    <w:bookmarkStart w:id="694" w:name="X0866deb9de13c5a949683d88efa8b94747e10df"/>
    <w:p>
      <w:pPr>
        <w:pStyle w:val="Heading1"/>
      </w:pPr>
      <w:r>
        <w:t xml:space="preserve">Appendix A — Scores — mapper of aggregate sensitivity scores</w:t>
      </w:r>
    </w:p>
    <w:bookmarkEnd w:id="694"/>
    <w:bookmarkStart w:id="715" w:name="sec-app-scores"/>
    <w:p>
      <w:pPr>
        <w:pStyle w:val="Heading1"/>
      </w:pPr>
      <w:r>
        <w:t xml:space="preserve">Appendix A — Scores</w:t>
      </w:r>
    </w:p>
    <w:bookmarkStart w:id="705" w:name="overview-2"/>
    <w:p>
      <w:pPr>
        <w:pStyle w:val="Heading2"/>
      </w:pPr>
      <w:r>
        <w:t xml:space="preserve">A.1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95" name="Picture"/>
                  <a:graphic>
                    <a:graphicData uri="http://schemas.openxmlformats.org/drawingml/2006/picture">
                      <pic:pic>
                        <pic:nvPicPr>
                          <pic:cNvPr descr="/Applications/quarto/share/formats/docx/important.png" id="696"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app.marinesensitivity.org/{ver}/scores/</w:t>
            </w:r>
            <w:r>
              <w:t xml:space="preserve">, the older</w:t>
            </w:r>
            <w:r>
              <w:t xml:space="preserve"> </w:t>
            </w:r>
            <w:r>
              <w:rPr>
                <w:rStyle w:val="VerbatimChar"/>
              </w:rPr>
              <w:t xml:space="preserve">?ver=</w:t>
            </w:r>
            <w:r>
              <w:t xml:space="preserve"> </w:t>
            </w:r>
            <w:r>
              <w:t xml:space="preserve">form) now redirect to the Atlas’s Scores lens with the query carried, and its source stays in the</w:t>
            </w:r>
            <w:r>
              <w:t xml:space="preserve"> </w:t>
            </w:r>
            <w:hyperlink r:id="rId342">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Scores</w:t>
      </w:r>
      <w:r>
        <w:t xml:space="preserve"> </w:t>
      </w:r>
      <w:r>
        <w:t xml:space="preserve">application (</w:t>
      </w:r>
      <w:r>
        <w:rPr>
          <w:rStyle w:val="VerbatimChar"/>
        </w:rPr>
        <w:t xml:space="preserve">app.marinesensitivity.org/{ver}/scores/</w:t>
      </w:r>
      <w:r>
        <w:t xml:space="preserve">) was the project’s interactive tool for exploring composite marine sensitivity scores. It rendered</w:t>
      </w:r>
      <w:r>
        <w:t xml:space="preserve"> </w:t>
      </w:r>
      <w:r>
        <w:rPr>
          <w:b/>
          <w:bCs/>
        </w:rPr>
        <w:t xml:space="preserve">any published release</w:t>
      </w:r>
      <w:r>
        <w:t xml:space="preserve"> </w:t>
      </w:r>
      <w:r>
        <w:t xml:space="preserve">from the URL path —</w:t>
      </w:r>
      <w:r>
        <w:t xml:space="preserve"> </w:t>
      </w:r>
      <w:r>
        <w:rPr>
          <w:rStyle w:val="VerbatimChar"/>
        </w:rPr>
        <w:t xml:space="preserve">/v3/scores/</w:t>
      </w:r>
      <w:r>
        <w:t xml:space="preserve"> </w:t>
      </w:r>
      <w:r>
        <w:t xml:space="preserve">showed v3 — defaulting to the promoted release when none was given. It let users visualize extinction risk weighted species presence at multiple spatial resolutions, with integrated flower plot and treemap summaries.</w:t>
      </w:r>
    </w:p>
    <w:p>
      <w:pPr>
        <w:pStyle w:val="BodyText"/>
      </w:pPr>
      <w:hyperlink w:anchor="fig-scores-map">
        <w:r>
          <w:rPr>
            <w:rStyle w:val="Hyperlink"/>
          </w:rPr>
          <w:t xml:space="preserve">Figure B.1</w:t>
        </w:r>
      </w:hyperlink>
      <w:r>
        <w:t xml:space="preserve"> </w:t>
      </w:r>
      <w:r>
        <w:t xml:space="preserve">shows the global view of cell-level sensitivity scores across all US waters. The sidebar provides controls for study area, spatial units (raster cells or program areas), and layer selection.</w:t>
      </w:r>
    </w:p>
    <w:tbl>
      <w:tblPr>
        <w:tblStyle w:val="Table"/>
        <w:tblW w:type="pct" w:w="5000"/>
        <w:tblLayout w:type="fixed"/>
        <w:tblLook w:firstRow="0" w:lastRow="0" w:firstColumn="0" w:lastColumn="0" w:noHBand="0" w:noVBand="0" w:val="0000"/>
      </w:tblPr>
      <w:tblGrid>
        <w:gridCol w:w="7920"/>
      </w:tblGrid>
      <w:tr>
        <w:tc>
          <w:tcPr/>
          <w:bookmarkStart w:id="700" w:name="fig-scores-map"/>
          <w:p>
            <w:pPr>
              <w:pStyle w:val="Compact"/>
              <w:jc w:val="center"/>
            </w:pPr>
            <w:r>
              <w:drawing>
                <wp:inline>
                  <wp:extent cx="5334000" cy="3018971"/>
                  <wp:effectExtent b="0" l="0" r="0" t="0"/>
                  <wp:docPr descr="" title="" id="698" name="Picture"/>
                  <a:graphic>
                    <a:graphicData uri="http://schemas.openxmlformats.org/drawingml/2006/picture">
                      <pic:pic>
                        <pic:nvPicPr>
                          <pic:cNvPr descr="figures/apps/scores-map.png" id="699" name="Picture"/>
                          <pic:cNvPicPr>
                            <a:picLocks noChangeArrowheads="1" noChangeAspect="1"/>
                          </pic:cNvPicPr>
                        </pic:nvPicPr>
                        <pic:blipFill>
                          <a:blip r:embed="rId697"/>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The Scores application displaying cell-level sensitivity scores across US waters. The sidebar provides controls for study area selection, spatial resolution (raster cells vs. program areas), and layer choice. The globe view shows scores from 0 (blue) to 89 (red) with MapBox basemap.</w:t>
            </w:r>
          </w:p>
          <w:bookmarkEnd w:id="700"/>
        </w:tc>
      </w:tr>
    </w:tbl>
    <w:p>
      <w:pPr>
        <w:pStyle w:val="BodyText"/>
      </w:pPr>
      <w:hyperlink w:anchor="fig-scores-flower">
        <w:r>
          <w:rPr>
            <w:rStyle w:val="Hyperlink"/>
          </w:rPr>
          <w:t xml:space="preserve">Figure B.2</w:t>
        </w:r>
      </w:hyperlink>
      <w:r>
        <w:t xml:space="preserve"> </w:t>
      </w:r>
      <w:r>
        <w:t xml:space="preserve">shows the flower plot panel that appears when a program area is selected. Here, the Southern California program area displays a weighted mean score of 29, with petals representing species categories (bird, coral, fish, invertebrate, mammal, other, turtle) and primary productivity.</w:t>
      </w:r>
    </w:p>
    <w:tbl>
      <w:tblPr>
        <w:tblStyle w:val="Table"/>
        <w:tblW w:type="pct" w:w="5000"/>
        <w:tblLayout w:type="fixed"/>
        <w:tblLook w:firstRow="0" w:lastRow="0" w:firstColumn="0" w:lastColumn="0" w:noHBand="0" w:noVBand="0" w:val="0000"/>
      </w:tblPr>
      <w:tblGrid>
        <w:gridCol w:w="7920"/>
      </w:tblGrid>
      <w:tr>
        <w:tc>
          <w:tcPr/>
          <w:bookmarkStart w:id="704" w:name="fig-scores-flower"/>
          <w:p>
            <w:pPr>
              <w:pStyle w:val="Compact"/>
              <w:jc w:val="center"/>
            </w:pPr>
            <w:r>
              <w:drawing>
                <wp:inline>
                  <wp:extent cx="5334000" cy="3018971"/>
                  <wp:effectExtent b="0" l="0" r="0" t="0"/>
                  <wp:docPr descr="" title="" id="702" name="Picture"/>
                  <a:graphic>
                    <a:graphicData uri="http://schemas.openxmlformats.org/drawingml/2006/picture">
                      <pic:pic>
                        <pic:nvPicPr>
                          <pic:cNvPr descr="figures/apps/scores-flower.png" id="703" name="Picture"/>
                          <pic:cNvPicPr>
                            <a:picLocks noChangeArrowheads="1" noChangeAspect="1"/>
                          </pic:cNvPicPr>
                        </pic:nvPicPr>
                        <pic:blipFill>
                          <a:blip r:embed="rId701"/>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B.2: The Scores application showing the flower plot panel for Southern California. Petal length represents each category’s rescaled sensitivity score; petal width represents its weight. The center value (29) is the weighted mean across all categories.</w:t>
            </w:r>
          </w:p>
          <w:bookmarkEnd w:id="704"/>
        </w:tc>
      </w:tr>
    </w:tbl>
    <w:bookmarkEnd w:id="705"/>
    <w:bookmarkStart w:id="711" w:name="features"/>
    <w:p>
      <w:pPr>
        <w:pStyle w:val="Heading2"/>
      </w:pPr>
      <w:r>
        <w:t xml:space="preserve">A.2 Features</w:t>
      </w:r>
    </w:p>
    <w:bookmarkStart w:id="706" w:name="map-display"/>
    <w:p>
      <w:pPr>
        <w:pStyle w:val="Heading3"/>
      </w:pPr>
      <w:r>
        <w:t xml:space="preserve">A.2.1 Map Display</w:t>
      </w:r>
    </w:p>
    <w:p>
      <w:pPr>
        <w:pStyle w:val="Compact"/>
        <w:numPr>
          <w:ilvl w:val="0"/>
          <w:numId w:val="1068"/>
        </w:numPr>
      </w:pPr>
      <w:r>
        <w:rPr>
          <w:b/>
          <w:bCs/>
        </w:rPr>
        <w:t xml:space="preserve">Cell-level view</w:t>
      </w:r>
      <w:r>
        <w:t xml:space="preserve">: 0.05° grid cells colored by sensitivity score for the selected metric</w:t>
      </w:r>
    </w:p>
    <w:p>
      <w:pPr>
        <w:pStyle w:val="Compact"/>
        <w:numPr>
          <w:ilvl w:val="0"/>
          <w:numId w:val="1068"/>
        </w:numPr>
      </w:pPr>
      <w:r>
        <w:rPr>
          <w:b/>
          <w:bCs/>
        </w:rPr>
        <w:t xml:space="preserve">Program area view</w:t>
      </w:r>
      <w:r>
        <w:t xml:space="preserve">: aggregated scores by BOEM Program Area, with boundaries overlaid</w:t>
      </w:r>
    </w:p>
    <w:p>
      <w:pPr>
        <w:pStyle w:val="Compact"/>
        <w:numPr>
          <w:ilvl w:val="0"/>
          <w:numId w:val="1068"/>
        </w:numPr>
      </w:pPr>
      <w:r>
        <w:rPr>
          <w:b/>
          <w:bCs/>
        </w:rPr>
        <w:t xml:space="preserve">Base maps</w:t>
      </w:r>
      <w:r>
        <w:t xml:space="preserve">: multiple MapBox base layers (satellite, streets, light, dark)</w:t>
      </w:r>
    </w:p>
    <w:p>
      <w:pPr>
        <w:pStyle w:val="Compact"/>
        <w:numPr>
          <w:ilvl w:val="0"/>
          <w:numId w:val="1068"/>
        </w:numPr>
      </w:pPr>
      <w:r>
        <w:rPr>
          <w:b/>
          <w:bCs/>
        </w:rPr>
        <w:t xml:space="preserve">Study area selection</w:t>
      </w:r>
      <w:r>
        <w:t xml:space="preserve">: click a program area to focus the view and update summary panels</w:t>
      </w:r>
    </w:p>
    <w:bookmarkEnd w:id="706"/>
    <w:bookmarkStart w:id="707" w:name="sensitivity-metrics"/>
    <w:p>
      <w:pPr>
        <w:pStyle w:val="Heading3"/>
      </w:pPr>
      <w:r>
        <w:t xml:space="preserve">A.2.2 Sensitivity Metrics</w:t>
      </w:r>
    </w:p>
    <w:p>
      <w:pPr>
        <w:pStyle w:val="FirstParagraph"/>
      </w:pPr>
      <w:r>
        <w:t xml:space="preserve">The map can display any of the following layers:</w:t>
      </w:r>
    </w:p>
    <w:p>
      <w:pPr>
        <w:pStyle w:val="Compact"/>
        <w:numPr>
          <w:ilvl w:val="0"/>
          <w:numId w:val="1069"/>
        </w:numPr>
      </w:pPr>
      <w:r>
        <w:t xml:space="preserve">Composite extinction risk (weighted sum across all species categories)</w:t>
      </w:r>
    </w:p>
    <w:p>
      <w:pPr>
        <w:pStyle w:val="Compact"/>
        <w:numPr>
          <w:ilvl w:val="0"/>
          <w:numId w:val="1069"/>
        </w:numPr>
      </w:pPr>
      <w:r>
        <w:t xml:space="preserve">Individual category scores, one per scored species category in the release being viewed</w:t>
      </w:r>
    </w:p>
    <w:p>
      <w:pPr>
        <w:pStyle w:val="Compact"/>
        <w:numPr>
          <w:ilvl w:val="0"/>
          <w:numId w:val="1069"/>
        </w:numPr>
      </w:pPr>
      <w:r>
        <w:t xml:space="preserve">Primary productivity</w:t>
      </w:r>
    </w:p>
    <w:p>
      <w:pPr>
        <w:pStyle w:val="FirstParagraph"/>
      </w:pPr>
      <w:r>
        <w:t xml:space="preserve">All scores are ecoregionally rescaled to [0–100] for meaningful cross-region comparison (see</w:t>
      </w:r>
      <w:r>
        <w:t xml:space="preserve"> </w:t>
      </w:r>
      <w:hyperlink w:anchor="sec-scoring">
        <w:r>
          <w:rPr>
            <w:rStyle w:val="Hyperlink"/>
          </w:rPr>
          <w:t xml:space="preserve">Chapter 10</w:t>
        </w:r>
      </w:hyperlink>
      <w:r>
        <w:t xml:space="preserve">).</w:t>
      </w:r>
    </w:p>
    <w:bookmarkEnd w:id="707"/>
    <w:bookmarkStart w:id="708" w:name="flower-plot-1"/>
    <w:p>
      <w:pPr>
        <w:pStyle w:val="Heading3"/>
      </w:pPr>
      <w:r>
        <w:t xml:space="preserve">A.2.3 Flower Plot</w:t>
      </w:r>
    </w:p>
    <w:p>
      <w:pPr>
        <w:pStyle w:val="FirstParagraph"/>
      </w:pPr>
      <w:r>
        <w:t xml:space="preserve">Selecting a program area displays a flower plot summarizing the sensitivity profile:</w:t>
      </w:r>
    </w:p>
    <w:p>
      <w:pPr>
        <w:pStyle w:val="Compact"/>
        <w:numPr>
          <w:ilvl w:val="0"/>
          <w:numId w:val="1070"/>
        </w:numPr>
      </w:pPr>
      <w:r>
        <w:t xml:space="preserve">Each petal represents a species category</w:t>
      </w:r>
    </w:p>
    <w:p>
      <w:pPr>
        <w:pStyle w:val="Compact"/>
        <w:numPr>
          <w:ilvl w:val="0"/>
          <w:numId w:val="1070"/>
        </w:numPr>
      </w:pPr>
      <w:r>
        <w:t xml:space="preserve">Petal length = rescaled sensitivity score (0–100)</w:t>
      </w:r>
    </w:p>
    <w:p>
      <w:pPr>
        <w:pStyle w:val="Compact"/>
        <w:numPr>
          <w:ilvl w:val="0"/>
          <w:numId w:val="1070"/>
        </w:numPr>
      </w:pPr>
      <w:r>
        <w:t xml:space="preserve">Petal width = category weight</w:t>
      </w:r>
    </w:p>
    <w:p>
      <w:pPr>
        <w:pStyle w:val="Compact"/>
        <w:numPr>
          <w:ilvl w:val="0"/>
          <w:numId w:val="1070"/>
        </w:numPr>
      </w:pPr>
      <w:r>
        <w:t xml:space="preserve">Center value = weighted mean across categories</w:t>
      </w:r>
    </w:p>
    <w:bookmarkEnd w:id="708"/>
    <w:bookmarkStart w:id="709" w:name="species-table"/>
    <w:p>
      <w:pPr>
        <w:pStyle w:val="Heading3"/>
      </w:pPr>
      <w:r>
        <w:t xml:space="preserve">A.2.4 Species Table</w:t>
      </w:r>
    </w:p>
    <w:p>
      <w:pPr>
        <w:pStyle w:val="FirstParagraph"/>
      </w:pPr>
      <w:r>
        <w:t xml:space="preserve">A sortable table of all valid species present in the selected area, showing:</w:t>
      </w:r>
    </w:p>
    <w:p>
      <w:pPr>
        <w:pStyle w:val="Compact"/>
        <w:numPr>
          <w:ilvl w:val="0"/>
          <w:numId w:val="1071"/>
        </w:numPr>
      </w:pPr>
      <w:r>
        <w:t xml:space="preserve">Scientific and common name</w:t>
      </w:r>
    </w:p>
    <w:p>
      <w:pPr>
        <w:pStyle w:val="Compact"/>
        <w:numPr>
          <w:ilvl w:val="0"/>
          <w:numId w:val="1071"/>
        </w:numPr>
      </w:pPr>
      <w:r>
        <w:t xml:space="preserve">Species category</w:t>
      </w:r>
    </w:p>
    <w:p>
      <w:pPr>
        <w:pStyle w:val="Compact"/>
        <w:numPr>
          <w:ilvl w:val="0"/>
          <w:numId w:val="1071"/>
        </w:numPr>
      </w:pPr>
      <w:r>
        <w:t xml:space="preserve">ESA listing, IUCN Red List status</w:t>
      </w:r>
    </w:p>
    <w:p>
      <w:pPr>
        <w:pStyle w:val="Compact"/>
        <w:numPr>
          <w:ilvl w:val="0"/>
          <w:numId w:val="1071"/>
        </w:numPr>
      </w:pPr>
      <w:r>
        <w:t xml:space="preserve">MMPA/MBTA protection flags</w:t>
      </w:r>
    </w:p>
    <w:p>
      <w:pPr>
        <w:pStyle w:val="Compact"/>
        <w:numPr>
          <w:ilvl w:val="0"/>
          <w:numId w:val="1071"/>
        </w:numPr>
      </w:pPr>
      <w:r>
        <w:t xml:space="preserve">Extinction risk score</w:t>
      </w:r>
    </w:p>
    <w:bookmarkEnd w:id="709"/>
    <w:bookmarkStart w:id="710" w:name="data-export"/>
    <w:p>
      <w:pPr>
        <w:pStyle w:val="Heading3"/>
      </w:pPr>
      <w:r>
        <w:t xml:space="preserve">A.2.5 Data Export</w:t>
      </w:r>
    </w:p>
    <w:p>
      <w:pPr>
        <w:pStyle w:val="FirstParagraph"/>
      </w:pPr>
      <w:r>
        <w:t xml:space="preserve">Users can download CSV files of scores and species lists for the selected program area or custom area of interest.</w:t>
      </w:r>
    </w:p>
    <w:bookmarkEnd w:id="710"/>
    <w:bookmarkEnd w:id="711"/>
    <w:bookmarkStart w:id="712" w:name="generating-screenshots-1"/>
    <w:p>
      <w:pPr>
        <w:pStyle w:val="Heading2"/>
      </w:pPr>
      <w:r>
        <w:t xml:space="preserve">A.3 Generating Screenshots</w:t>
      </w:r>
    </w:p>
    <w:bookmarkEnd w:id="712"/>
    <w:bookmarkStart w:id="714" w:name="source-code-1"/>
    <w:p>
      <w:pPr>
        <w:pStyle w:val="Heading2"/>
      </w:pPr>
      <w:r>
        <w:t xml:space="preserve">A.4 Source Code</w:t>
      </w:r>
    </w:p>
    <w:p>
      <w:pPr>
        <w:pStyle w:val="FirstParagraph"/>
      </w:pPr>
      <w:hyperlink r:id="rId713">
        <w:r>
          <w:rPr>
            <w:rStyle w:val="VerbatimChar"/>
          </w:rPr>
          <w:t xml:space="preserve">scores/app.R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There is</w:t>
      </w:r>
      <w:r>
        <w:t xml:space="preserve"> </w:t>
      </w:r>
      <w:r>
        <w:rPr>
          <w:b/>
          <w:bCs/>
        </w:rPr>
        <w:t xml:space="preserve">one</w:t>
      </w:r>
      <w:r>
        <w:t xml:space="preserve"> </w:t>
      </w:r>
      <w:r>
        <w:t xml:space="preserve">checkout, not one per release: the version is data, resolved from the published manifest, so the per-version forks (</w:t>
      </w:r>
      <w:r>
        <w:rPr>
          <w:rStyle w:val="VerbatimChar"/>
        </w:rPr>
        <w:t xml:space="preserve">mapgl</w:t>
      </w:r>
      <w:r>
        <w:t xml:space="preserve">,</w:t>
      </w:r>
      <w:r>
        <w:t xml:space="preserve"> </w:t>
      </w:r>
      <w:r>
        <w:rPr>
          <w:rStyle w:val="VerbatimChar"/>
        </w:rPr>
        <w:t xml:space="preserve">mapgl_v1</w:t>
      </w:r>
      <w:r>
        <w:t xml:space="preserve">…</w:t>
      </w:r>
      <w:r>
        <w:rPr>
          <w:rStyle w:val="VerbatimChar"/>
        </w:rPr>
        <w:t xml:space="preserve">v6</w:t>
      </w:r>
      <w:r>
        <w:t xml:space="preserve">,</w:t>
      </w:r>
      <w:r>
        <w:t xml:space="preserve"> </w:t>
      </w:r>
      <w:r>
        <w:rPr>
          <w:rStyle w:val="VerbatimChar"/>
        </w:rPr>
        <w:t xml:space="preserve">scores_v6</w:t>
      </w:r>
      <w:r>
        <w:t xml:space="preserve">,</w:t>
      </w:r>
      <w:r>
        <w:t xml:space="preserve"> </w:t>
      </w:r>
      <w:r>
        <w:rPr>
          <w:rStyle w:val="VerbatimChar"/>
        </w:rPr>
        <w:t xml:space="preserve">scores_v8</w:t>
      </w:r>
      <w:r>
        <w:t xml:space="preserve">) were retired earlier; since the Atlas cutover they, the</w:t>
      </w:r>
      <w:r>
        <w:t xml:space="preserve"> </w:t>
      </w:r>
      <w:r>
        <w:rPr>
          <w:rStyle w:val="VerbatimChar"/>
        </w:rPr>
        <w:t xml:space="preserve">/v{n}/scores/</w:t>
      </w:r>
      <w:r>
        <w:t xml:space="preserve"> </w:t>
      </w:r>
      <w:r>
        <w:t xml:space="preserve">path and an older</w:t>
      </w:r>
      <w:r>
        <w:t xml:space="preserve"> </w:t>
      </w:r>
      <w:r>
        <w:rPr>
          <w:rStyle w:val="VerbatimChar"/>
        </w:rPr>
        <w:t xml:space="preserve">?ver=</w:t>
      </w:r>
      <w:r>
        <w:t xml:space="preserve"> </w:t>
      </w:r>
      <w:r>
        <w:t xml:space="preserve">deep link all redirect (HTTP 302) straight to the Atlas in one hop, a restricted release’s to its Atlas on the preview host.</w:t>
      </w:r>
    </w:p>
    <w:bookmarkEnd w:id="714"/>
    <w:bookmarkEnd w:id="715"/>
    <w:bookmarkStart w:id="716" w:name="X3680c5fb3e20b6a91c613e2235f302b13356ea8"/>
    <w:p>
      <w:pPr>
        <w:pStyle w:val="Heading1"/>
      </w:pPr>
      <w:r>
        <w:t xml:space="preserve">Appendix B — Species — mapper of individual species distributions</w:t>
      </w:r>
    </w:p>
    <w:bookmarkEnd w:id="716"/>
    <w:bookmarkStart w:id="732" w:name="sec-app-species"/>
    <w:p>
      <w:pPr>
        <w:pStyle w:val="Heading1"/>
      </w:pPr>
      <w:r>
        <w:t xml:space="preserve">Appendix B — Species</w:t>
      </w:r>
    </w:p>
    <w:bookmarkStart w:id="723" w:name="overview-3"/>
    <w:p>
      <w:pPr>
        <w:pStyle w:val="Heading2"/>
      </w:pPr>
      <w:r>
        <w:t xml:space="preserve">B.1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17" name="Picture"/>
                  <a:graphic>
                    <a:graphicData uri="http://schemas.openxmlformats.org/drawingml/2006/picture">
                      <pic:pic>
                        <pic:nvPicPr>
                          <pic:cNvPr descr="/Applications/quarto/share/formats/docx/important.png" id="718"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Species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forms) now redirect to the Atlas’s Species lens with the query carried, and its source stays in the</w:t>
            </w:r>
            <w:r>
              <w:t xml:space="preserve"> </w:t>
            </w:r>
            <w:hyperlink r:id="rId342">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Species</w:t>
      </w:r>
      <w:r>
        <w:t xml:space="preserve"> </w:t>
      </w:r>
      <w:r>
        <w:t xml:space="preserve">application (</w:t>
      </w:r>
      <w:r>
        <w:rPr>
          <w:rStyle w:val="VerbatimChar"/>
        </w:rPr>
        <w:t xml:space="preserve">app.marinesensitivity.org/{ver}/species/</w:t>
      </w:r>
      <w:r>
        <w:t xml:space="preserve">) enabled exploration of individual species distribution models. Like the Scores app it rendered</w:t>
      </w:r>
      <w:r>
        <w:t xml:space="preserve"> </w:t>
      </w:r>
      <w:r>
        <w:rPr>
          <w:b/>
          <w:bCs/>
        </w:rPr>
        <w:t xml:space="preserve">any published release</w:t>
      </w:r>
      <w:r>
        <w:t xml:space="preserve"> </w:t>
      </w:r>
      <w:r>
        <w:t xml:space="preserve">from the URL path —</w:t>
      </w:r>
      <w:r>
        <w:t xml:space="preserve"> </w:t>
      </w:r>
      <w:r>
        <w:rPr>
          <w:rStyle w:val="VerbatimChar"/>
        </w:rPr>
        <w:t xml:space="preserve">/v3/species/</w:t>
      </w:r>
      <w:r>
        <w:t xml:space="preserve"> </w:t>
      </w:r>
      <w:r>
        <w:t xml:space="preserve">showed v3. Users could view merged and source-level models, compare masked vs. unmasked distributions, and access detailed species regulatory status information.</w:t>
      </w:r>
    </w:p>
    <w:p>
      <w:pPr>
        <w:pStyle w:val="BodyText"/>
      </w:pPr>
      <w:hyperlink w:anchor="fig-species-blue-whale">
        <w:r>
          <w:rPr>
            <w:rStyle w:val="Hyperlink"/>
          </w:rPr>
          <w:t xml:space="preserve">Figure D.1</w:t>
        </w:r>
      </w:hyperlink>
      <w:r>
        <w:t xml:space="preserve"> </w:t>
      </w:r>
      <w:r>
        <w:t xml:space="preserve">shows the merged distribution model for the blue whale (</w:t>
      </w:r>
      <w:r>
        <w:rPr>
          <w:i/>
          <w:iCs/>
        </w:rPr>
        <w:t xml:space="preserve">Balaenoptera musculus</w:t>
      </w:r>
      <w:r>
        <w:t xml:space="preserve">). The map displays cell values from 1 (low suitability, blue) to 100 (high suitability, red) across all US program areas where the species occurs.</w:t>
      </w:r>
    </w:p>
    <w:tbl>
      <w:tblPr>
        <w:tblStyle w:val="Table"/>
        <w:tblW w:type="pct" w:w="5000"/>
        <w:tblLayout w:type="fixed"/>
        <w:tblLook w:firstRow="0" w:lastRow="0" w:firstColumn="0" w:lastColumn="0" w:noHBand="0" w:noVBand="0" w:val="0000"/>
      </w:tblPr>
      <w:tblGrid>
        <w:gridCol w:w="7920"/>
      </w:tblGrid>
      <w:tr>
        <w:tc>
          <w:tcPr/>
          <w:bookmarkStart w:id="722" w:name="fig-species-blue-whale"/>
          <w:p>
            <w:pPr>
              <w:pStyle w:val="Compact"/>
              <w:jc w:val="center"/>
            </w:pPr>
            <w:r>
              <w:drawing>
                <wp:inline>
                  <wp:extent cx="5334000" cy="3018971"/>
                  <wp:effectExtent b="0" l="0" r="0" t="0"/>
                  <wp:docPr descr="" title="" id="720" name="Picture"/>
                  <a:graphic>
                    <a:graphicData uri="http://schemas.openxmlformats.org/drawingml/2006/picture">
                      <pic:pic>
                        <pic:nvPicPr>
                          <pic:cNvPr descr="figures/apps/species-blue-whale.png" id="721" name="Picture"/>
                          <pic:cNvPicPr>
                            <a:picLocks noChangeArrowheads="1" noChangeAspect="1"/>
                          </pic:cNvPicPr>
                        </pic:nvPicPr>
                        <pic:blipFill>
                          <a:blip r:embed="rId719"/>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D.1: The Species application showing the merged distribution model for blue whale (</w:t>
            </w:r>
            <w:r>
              <w:rPr>
                <w:i/>
                <w:iCs/>
              </w:rPr>
              <w:t xml:space="preserve">Balaenoptera musculus</w:t>
            </w:r>
            <w:r>
              <w:t xml:space="preserve">). Cell values range from 1 (low suitability) to 100 (high suitability). The species selector dropdown allows searching by common or scientific name with category prefix.</w:t>
            </w:r>
          </w:p>
          <w:bookmarkEnd w:id="722"/>
        </w:tc>
      </w:tr>
    </w:tbl>
    <w:bookmarkEnd w:id="723"/>
    <w:bookmarkStart w:id="728" w:name="features-1"/>
    <w:p>
      <w:pPr>
        <w:pStyle w:val="Heading2"/>
      </w:pPr>
      <w:r>
        <w:t xml:space="preserve">B.2 Features</w:t>
      </w:r>
    </w:p>
    <w:bookmarkStart w:id="724" w:name="species-selection"/>
    <w:p>
      <w:pPr>
        <w:pStyle w:val="Heading3"/>
      </w:pPr>
      <w:r>
        <w:t xml:space="preserve">B.2.1 Species Selection</w:t>
      </w:r>
    </w:p>
    <w:p>
      <w:pPr>
        <w:pStyle w:val="Compact"/>
        <w:numPr>
          <w:ilvl w:val="0"/>
          <w:numId w:val="1072"/>
        </w:numPr>
      </w:pPr>
      <w:r>
        <w:rPr>
          <w:b/>
          <w:bCs/>
        </w:rPr>
        <w:t xml:space="preserve">Search</w:t>
      </w:r>
      <w:r>
        <w:t xml:space="preserve">: find species by common name or scientific name</w:t>
      </w:r>
    </w:p>
    <w:p>
      <w:pPr>
        <w:pStyle w:val="Compact"/>
        <w:numPr>
          <w:ilvl w:val="0"/>
          <w:numId w:val="1072"/>
        </w:numPr>
      </w:pPr>
      <w:r>
        <w:rPr>
          <w:b/>
          <w:bCs/>
        </w:rPr>
        <w:t xml:space="preserve">Category filter</w:t>
      </w:r>
      <w:r>
        <w:t xml:space="preserve">: narrow results by species category, as defined in the release being viewed</w:t>
      </w:r>
    </w:p>
    <w:p>
      <w:pPr>
        <w:pStyle w:val="Compact"/>
        <w:numPr>
          <w:ilvl w:val="0"/>
          <w:numId w:val="1072"/>
        </w:numPr>
      </w:pPr>
      <w:r>
        <w:rPr>
          <w:b/>
          <w:bCs/>
        </w:rPr>
        <w:t xml:space="preserve">Alphabetical browsing</w:t>
      </w:r>
      <w:r>
        <w:t xml:space="preserve">: scroll through species lists within each category</w:t>
      </w:r>
    </w:p>
    <w:bookmarkEnd w:id="724"/>
    <w:bookmarkStart w:id="725" w:name="model-display"/>
    <w:p>
      <w:pPr>
        <w:pStyle w:val="Heading3"/>
      </w:pPr>
      <w:r>
        <w:t xml:space="preserve">B.2.2 Model Display</w:t>
      </w:r>
    </w:p>
    <w:p>
      <w:pPr>
        <w:pStyle w:val="Compact"/>
        <w:numPr>
          <w:ilvl w:val="0"/>
          <w:numId w:val="1073"/>
        </w:numPr>
      </w:pPr>
      <w:r>
        <w:rPr>
          <w:b/>
          <w:bCs/>
        </w:rPr>
        <w:t xml:space="preserve">Merged model</w:t>
      </w:r>
      <w:r>
        <w:t xml:space="preserve">: the final merged distribution showing MAX values across all source datasets, with masking and spatial floors applied</w:t>
      </w:r>
    </w:p>
    <w:p>
      <w:pPr>
        <w:pStyle w:val="Compact"/>
        <w:numPr>
          <w:ilvl w:val="0"/>
          <w:numId w:val="1073"/>
        </w:numPr>
      </w:pPr>
      <w:r>
        <w:rPr>
          <w:b/>
          <w:bCs/>
        </w:rPr>
        <w:t xml:space="preserve">Source datasets</w:t>
      </w:r>
      <w:r>
        <w:t xml:space="preserve">: toggle individual source layers (AquaMaps, NMFS CH, FWS CH, FWS Range, BirdLife, IUCN Range) to see each dataset’s contribution</w:t>
      </w:r>
    </w:p>
    <w:p>
      <w:pPr>
        <w:pStyle w:val="Compact"/>
        <w:numPr>
          <w:ilvl w:val="0"/>
          <w:numId w:val="1073"/>
        </w:numPr>
      </w:pPr>
      <w:r>
        <w:rPr>
          <w:b/>
          <w:bCs/>
        </w:rPr>
        <w:t xml:space="preserve">IUCN masking toggle</w:t>
      </w:r>
      <w:r>
        <w:t xml:space="preserve">: compare the unmasked AquaMaps SDM with the masked merged model to visualize the effect of range constraints</w:t>
      </w:r>
    </w:p>
    <w:bookmarkEnd w:id="725"/>
    <w:bookmarkStart w:id="726" w:name="species-info-panel"/>
    <w:p>
      <w:pPr>
        <w:pStyle w:val="Heading3"/>
      </w:pPr>
      <w:r>
        <w:t xml:space="preserve">B.2.3 Species Info Panel</w:t>
      </w:r>
    </w:p>
    <w:p>
      <w:pPr>
        <w:pStyle w:val="FirstParagraph"/>
      </w:pPr>
      <w:r>
        <w:t xml:space="preserve">Detailed information for the selected species:</w:t>
      </w:r>
    </w:p>
    <w:p>
      <w:pPr>
        <w:pStyle w:val="Compact"/>
        <w:numPr>
          <w:ilvl w:val="0"/>
          <w:numId w:val="1074"/>
        </w:numPr>
      </w:pPr>
      <w:r>
        <w:t xml:space="preserve">Scientific name and common name</w:t>
      </w:r>
    </w:p>
    <w:p>
      <w:pPr>
        <w:pStyle w:val="Compact"/>
        <w:numPr>
          <w:ilvl w:val="0"/>
          <w:numId w:val="1074"/>
        </w:numPr>
      </w:pPr>
      <w:r>
        <w:t xml:space="preserve">Species category (bird, fish, mammal, etc.)</w:t>
      </w:r>
    </w:p>
    <w:p>
      <w:pPr>
        <w:pStyle w:val="Compact"/>
        <w:numPr>
          <w:ilvl w:val="0"/>
          <w:numId w:val="1074"/>
        </w:numPr>
      </w:pPr>
      <w:r>
        <w:t xml:space="preserve">ESA listing status (Endangered, Threatened, or not listed)</w:t>
      </w:r>
    </w:p>
    <w:p>
      <w:pPr>
        <w:pStyle w:val="Compact"/>
        <w:numPr>
          <w:ilvl w:val="0"/>
          <w:numId w:val="1074"/>
        </w:numPr>
      </w:pPr>
      <w:r>
        <w:t xml:space="preserve">IUCN Red List category</w:t>
      </w:r>
    </w:p>
    <w:p>
      <w:pPr>
        <w:pStyle w:val="Compact"/>
        <w:numPr>
          <w:ilvl w:val="0"/>
          <w:numId w:val="1074"/>
        </w:numPr>
      </w:pPr>
      <w:r>
        <w:t xml:space="preserve">MMPA protection flag</w:t>
      </w:r>
    </w:p>
    <w:p>
      <w:pPr>
        <w:pStyle w:val="Compact"/>
        <w:numPr>
          <w:ilvl w:val="0"/>
          <w:numId w:val="1074"/>
        </w:numPr>
      </w:pPr>
      <w:r>
        <w:t xml:space="preserve">MBTA protection flag</w:t>
      </w:r>
    </w:p>
    <w:p>
      <w:pPr>
        <w:pStyle w:val="Compact"/>
        <w:numPr>
          <w:ilvl w:val="0"/>
          <w:numId w:val="1074"/>
        </w:numPr>
      </w:pPr>
      <w:r>
        <w:t xml:space="preserve">Computed extinction risk score (1–100)</w:t>
      </w:r>
    </w:p>
    <w:p>
      <w:pPr>
        <w:pStyle w:val="Compact"/>
        <w:numPr>
          <w:ilvl w:val="0"/>
          <w:numId w:val="1074"/>
        </w:numPr>
      </w:pPr>
      <w:r>
        <w:t xml:space="preserve">Number of source datasets contributing to the merged model</w:t>
      </w:r>
    </w:p>
    <w:bookmarkEnd w:id="726"/>
    <w:bookmarkStart w:id="727" w:name="deep-linking"/>
    <w:p>
      <w:pPr>
        <w:pStyle w:val="Heading3"/>
      </w:pPr>
      <w:r>
        <w:t xml:space="preserve">B.2.4 Deep-Linking</w:t>
      </w:r>
    </w:p>
    <w:p>
      <w:pPr>
        <w:pStyle w:val="FirstParagraph"/>
      </w:pPr>
      <w:r>
        <w:t xml:space="preserve">The application supports URL parameters for direct linking to specific species, enabling bookmarking and sharing of specific views:</w:t>
      </w:r>
    </w:p>
    <w:p>
      <w:pPr>
        <w:pStyle w:val="SourceCode"/>
      </w:pPr>
      <w:r>
        <w:rPr>
          <w:rStyle w:val="VerbatimChar"/>
        </w:rPr>
        <w:t xml:space="preserve">https://shiny.marinesensitivity.org/species/?species=Balaenoptera+musculus</w:t>
      </w:r>
    </w:p>
    <w:bookmarkEnd w:id="727"/>
    <w:bookmarkEnd w:id="728"/>
    <w:bookmarkStart w:id="729" w:name="generating-screenshots-2"/>
    <w:p>
      <w:pPr>
        <w:pStyle w:val="Heading2"/>
      </w:pPr>
      <w:r>
        <w:t xml:space="preserve">B.3 Generating Screenshots</w:t>
      </w:r>
    </w:p>
    <w:bookmarkEnd w:id="729"/>
    <w:bookmarkStart w:id="731" w:name="source-code-2"/>
    <w:p>
      <w:pPr>
        <w:pStyle w:val="Heading2"/>
      </w:pPr>
      <w:r>
        <w:t xml:space="preserve">B.4 Source Code</w:t>
      </w:r>
    </w:p>
    <w:p>
      <w:pPr>
        <w:pStyle w:val="FirstParagraph"/>
      </w:pPr>
      <w:hyperlink r:id="rId730">
        <w:r>
          <w:rPr>
            <w:rStyle w:val="VerbatimChar"/>
          </w:rPr>
          <w:t xml:space="preserve">species/app.R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 one checkout serving every release, not one per version.</w:t>
      </w:r>
    </w:p>
    <w:bookmarkEnd w:id="731"/>
    <w:bookmarkEnd w:id="732"/>
    <w:bookmarkStart w:id="819" w:name="shiny-apps-user-guide-retired"/>
    <w:p>
      <w:pPr>
        <w:pStyle w:val="Heading1"/>
      </w:pPr>
      <w:r>
        <w:t xml:space="preserve">Appendix C — Shiny Apps User Guide (retired)</w:t>
      </w:r>
    </w:p>
    <w:p>
      <w:pPr>
        <w:pStyle w:val="FirstParagraph"/>
      </w:pPr>
      <w:r>
        <w:t xml:space="preserve">Step-by-step walkthrough of the retired Scores and Species Shiny</w:t>
      </w:r>
      <w:r>
        <w:t xml:space="preserve"> </w:t>
      </w:r>
      <w:r>
        <w:t xml:space="preserve">applications</w:t>
      </w:r>
    </w:p>
    <w:p>
      <w:pPr>
        <w:pStyle w:val="BodyText"/>
      </w:pPr>
      <w:r>
        <w:br/>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33" name="Picture"/>
                  <a:graphic>
                    <a:graphicData uri="http://schemas.openxmlformats.org/drawingml/2006/picture">
                      <pic:pic>
                        <pic:nvPicPr>
                          <pic:cNvPr descr="/Applications/quarto/share/formats/docx/important.png" id="73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and Species Shiny apps this guide walks through were retired in October 2026 when the</w:t>
            </w:r>
            <w:r>
              <w:t xml:space="preserve"> </w:t>
            </w:r>
            <w:r>
              <w:t xml:space="preserve">Atlas became the project’s application; their URLs now redirect to the Atlas. The screenshots below</w:t>
            </w:r>
            <w:r>
              <w:t xml:space="preserve"> </w:t>
            </w:r>
            <w:r>
              <w:t xml:space="preserve">were captured on 2026-06-05; the apps changed after that until their retirement, so they may differ in detail from the last build. They are kept as a record. For the current app see the</w:t>
            </w:r>
            <w:r>
              <w:t xml:space="preserve"> </w:t>
            </w:r>
            <w:hyperlink w:anchor="atlas-user-guide">
              <w:r>
                <w:rPr>
                  <w:rStyle w:val="Hyperlink"/>
                </w:rPr>
                <w:t xml:space="preserve">Atlas user guide</w:t>
              </w:r>
            </w:hyperlink>
            <w:r>
              <w:t xml:space="preserve">.</w:t>
            </w:r>
          </w:p>
          <w:p/>
        </w:tc>
      </w:tr>
    </w:tbl>
    <w:p>
      <w:pPr>
        <w:pStyle w:val="BodyText"/>
      </w:pPr>
      <w:r>
        <w:t xml:space="preserve">This guide walked through the two interactive Shiny applications —</w:t>
      </w:r>
      <w:r>
        <w:t xml:space="preserve"> </w:t>
      </w:r>
      <w:r>
        <w:rPr>
          <w:b/>
          <w:bCs/>
        </w:rPr>
        <w:t xml:space="preserve">Scores</w:t>
      </w:r>
      <w:r>
        <w:t xml:space="preserve"> </w:t>
      </w:r>
      <w:r>
        <w:t xml:space="preserve">(</w:t>
      </w:r>
      <w:r>
        <w:rPr>
          <w:rStyle w:val="VerbatimChar"/>
        </w:rPr>
        <w:t xml:space="preserve">app.marinesensitivity.org/{ver}/scores/</w:t>
      </w:r>
      <w:r>
        <w:t xml:space="preserve">) and</w:t>
      </w:r>
      <w:r>
        <w:t xml:space="preserve"> </w:t>
      </w:r>
      <w:r>
        <w:rPr>
          <w:b/>
          <w:bCs/>
        </w:rPr>
        <w:t xml:space="preserve">Species</w:t>
      </w:r>
      <w:r>
        <w:t xml:space="preserve"> </w:t>
      </w:r>
      <w:r>
        <w:t xml:space="preserve">(</w:t>
      </w:r>
      <w:r>
        <w:rPr>
          <w:rStyle w:val="VerbatimChar"/>
        </w:rPr>
        <w:t xml:space="preserve">app.marinesensitivity.org/{ver}/species/</w:t>
      </w:r>
      <w:r>
        <w:t xml:space="preserve">) — one control at a time. Each numbered step below mirrors</w:t>
      </w:r>
      <w:r>
        <w:t xml:space="preserve"> </w:t>
      </w:r>
      <w:r>
        <w:t xml:space="preserve">a step in that app’s built-in</w:t>
      </w:r>
      <w:r>
        <w:t xml:space="preserve"> </w:t>
      </w:r>
      <w:r>
        <w:rPr>
          <w:b/>
          <w:bCs/>
        </w:rPr>
        <w:t xml:space="preserve">Take a Tour</w:t>
      </w:r>
      <w:r>
        <w:t xml:space="preserve"> </w:t>
      </w:r>
      <w:r>
        <w:t xml:space="preserve">(</w:t>
      </w:r>
      <w:r>
        <w:rPr>
          <w:i/>
          <w:iCs/>
        </w:rPr>
        <w:t xml:space="preserve">About → Take a Tour</w:t>
      </w:r>
      <w:r>
        <w:t xml:space="preserve"> </w:t>
      </w:r>
      <w:r>
        <w:t xml:space="preserve">in either app), with the relevant</w:t>
      </w:r>
      <w:r>
        <w:t xml:space="preserve"> </w:t>
      </w:r>
      <w:r>
        <w:t xml:space="preserve">control highlighted on the screenshot.</w:t>
      </w:r>
    </w:p>
    <w:p>
      <w:pPr>
        <w:pStyle w:val="BodyText"/>
      </w:pPr>
      <w:r>
        <w:t xml:space="preserve">For a feature-by-feature reference instead, see the</w:t>
      </w:r>
      <w:r>
        <w:t xml:space="preserve"> </w:t>
      </w:r>
      <w:hyperlink w:anchor="X0866deb9de13c5a949683d88efa8b94747e10df">
        <w:r>
          <w:rPr>
            <w:rStyle w:val="Hyperlink"/>
          </w:rPr>
          <w:t xml:space="preserve">Scores</w:t>
        </w:r>
      </w:hyperlink>
      <w:r>
        <w:t xml:space="preserve"> </w:t>
      </w:r>
      <w:r>
        <w:t xml:space="preserve">and</w:t>
      </w:r>
      <w:r>
        <w:t xml:space="preserve"> </w:t>
      </w:r>
      <w:hyperlink w:anchor="X3680c5fb3e20b6a91c613e2235f302b13356ea8">
        <w:r>
          <w:rPr>
            <w:rStyle w:val="Hyperlink"/>
          </w:rPr>
          <w:t xml:space="preserve">Species</w:t>
        </w:r>
      </w:hyperlink>
      <w:r>
        <w:t xml:space="preserve"> </w:t>
      </w:r>
      <w:r>
        <w:t xml:space="preserve">pages.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5" name="Picture"/>
                  <a:graphic>
                    <a:graphicData uri="http://schemas.openxmlformats.org/drawingml/2006/picture">
                      <pic:pic>
                        <pic:nvPicPr>
                          <pic:cNvPr descr="/Applications/quarto/share/formats/docx/tip.png" id="736"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was generated</w:t>
            </w:r>
          </w:p>
        </w:tc>
      </w:tr>
      <w:tr>
        <w:trPr>
          <w:cantSplit/>
        </w:trPr>
        <w:tc>
          <w:tcPr>
            <w:tcMar>
              <w:top w:w="108" w:type="dxa"/>
              <w:bottom w:w="108" w:type="dxa"/>
            </w:tcMar>
          </w:tcPr>
          <w:p>
            <w:pPr>
              <w:pStyle w:val="BodyText"/>
            </w:pPr>
            <w:pPr>
              <w:spacing w:before="16" w:after="16"/>
            </w:pPr>
            <w:r>
              <w:t xml:space="preserve">The steps, captions, and highlighted screenshots were generated directly from</w:t>
            </w:r>
            <w:r>
              <w:t xml:space="preserve"> </w:t>
            </w:r>
            <w:r>
              <w:t xml:space="preserve">the apps’ in-app tours (the</w:t>
            </w:r>
            <w:r>
              <w:t xml:space="preserve"> </w:t>
            </w:r>
            <w:r>
              <w:rPr>
                <w:rStyle w:val="VerbatimChar"/>
              </w:rPr>
              <w:t xml:space="preserve">Conductor$new()$step(...)</w:t>
            </w:r>
            <w:r>
              <w:t xml:space="preserve"> </w:t>
            </w:r>
            <w:r>
              <w:t xml:space="preserve">chains in each</w:t>
            </w:r>
            <w:r>
              <w:t xml:space="preserve"> </w:t>
            </w:r>
            <w:r>
              <w:rPr>
                <w:rStyle w:val="VerbatimChar"/>
              </w:rPr>
              <w:t xml:space="preserve">app.R</w:t>
            </w:r>
            <w:r>
              <w:t xml:space="preserve">) by</w:t>
            </w:r>
            <w:r>
              <w:t xml:space="preserve"> </w:t>
            </w:r>
            <w:r>
              <w:rPr>
                <w:rStyle w:val="VerbatimChar"/>
              </w:rPr>
              <w:t xml:space="preserve">libs/apps-guide-regenerate.R</w:t>
            </w:r>
            <w:r>
              <w:t xml:space="preserve">, which wrote</w:t>
            </w:r>
            <w:r>
              <w:t xml:space="preserve"> </w:t>
            </w:r>
            <w:r>
              <w:rPr>
                <w:rStyle w:val="VerbatimChar"/>
              </w:rPr>
              <w:t xml:space="preserve">figures/apps-guide/steps.json</w:t>
            </w:r>
            <w:r>
              <w:t xml:space="preserve">. The apps are retired and unreachable, so that</w:t>
            </w:r>
            <w:r>
              <w:t xml:space="preserve"> </w:t>
            </w:r>
            <w:r>
              <w:t xml:space="preserve">script can no longer run and this page is frozen at the last capture.</w:t>
            </w:r>
          </w:p>
          <w:p/>
        </w:tc>
      </w:tr>
    </w:tbl>
    <w:bookmarkStart w:id="792" w:name="scores-app"/>
    <w:p>
      <w:pPr>
        <w:pStyle w:val="Heading2"/>
      </w:pPr>
      <w:r>
        <w:t xml:space="preserve">C.1 Scores app</w:t>
      </w:r>
    </w:p>
    <w:bookmarkStart w:id="741" w:name="study-area"/>
    <w:p>
      <w:pPr>
        <w:pStyle w:val="Heading3"/>
      </w:pPr>
      <w:r>
        <w:t xml:space="preserve">C.1.1 1. Study Area</w:t>
      </w:r>
    </w:p>
    <w:p>
      <w:pPr>
        <w:pStyle w:val="FirstParagraph"/>
      </w:pPr>
      <w:r>
        <w:t xml:space="preserve">Pick a region to focus on.</w:t>
      </w:r>
      <w:r>
        <w:t xml:space="preserve"> </w:t>
      </w:r>
      <w:r>
        <w:t xml:space="preserve">‘Full study area’</w:t>
      </w:r>
      <w:r>
        <w:t xml:space="preserve"> </w:t>
      </w:r>
      <w:r>
        <w:t xml:space="preserve">shows all US federal waters from the Aleutians to the Caribbean and out to the Pacific Island Territories. The other choices zoom into a single subregion.</w:t>
      </w:r>
    </w:p>
    <w:tbl>
      <w:tblPr>
        <w:tblStyle w:val="Table"/>
        <w:tblW w:type="pct" w:w="5000"/>
        <w:tblLayout w:type="fixed"/>
        <w:tblLook w:firstRow="0" w:lastRow="0" w:firstColumn="0" w:lastColumn="0" w:noHBand="0" w:noVBand="0" w:val="0000"/>
      </w:tblPr>
      <w:tblGrid>
        <w:gridCol w:w="7920"/>
      </w:tblGrid>
      <w:tr>
        <w:tc>
          <w:tcPr/>
          <w:bookmarkStart w:id="740" w:name="fig-scores-01"/>
          <w:p>
            <w:pPr>
              <w:pStyle w:val="Compact"/>
              <w:jc w:val="center"/>
            </w:pPr>
            <w:r>
              <w:drawing>
                <wp:inline>
                  <wp:extent cx="5334000" cy="3583781"/>
                  <wp:effectExtent b="0" l="0" r="0" t="0"/>
                  <wp:docPr descr="" title="" id="738" name="Picture"/>
                  <a:graphic>
                    <a:graphicData uri="http://schemas.openxmlformats.org/drawingml/2006/picture">
                      <pic:pic>
                        <pic:nvPicPr>
                          <pic:cNvPr descr="figures/apps-guide/scores-01.png" id="739" name="Picture"/>
                          <pic:cNvPicPr>
                            <a:picLocks noChangeArrowheads="1" noChangeAspect="1"/>
                          </pic:cNvPicPr>
                        </pic:nvPicPr>
                        <pic:blipFill>
                          <a:blip r:embed="rId73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 Study Area</w:t>
            </w:r>
          </w:p>
          <w:bookmarkEnd w:id="740"/>
        </w:tc>
      </w:tr>
    </w:tbl>
    <w:bookmarkEnd w:id="741"/>
    <w:bookmarkStart w:id="746" w:name="spatial-units-1"/>
    <w:p>
      <w:pPr>
        <w:pStyle w:val="Heading3"/>
      </w:pPr>
      <w:r>
        <w:t xml:space="preserve">C.1.2 2. Spatial Units</w:t>
      </w:r>
    </w:p>
    <w:p>
      <w:pPr>
        <w:pStyle w:val="FirstParagraph"/>
      </w:pPr>
      <w:r>
        <w:t xml:space="preserve">Toggle between fine-grained raster cells (0.05°) and aggregated BOEM Program Area polygons. Cell mode lets you click any pixel; Program Area mode shows pre-aggregated zone scores.</w:t>
      </w:r>
    </w:p>
    <w:tbl>
      <w:tblPr>
        <w:tblStyle w:val="Table"/>
        <w:tblW w:type="pct" w:w="5000"/>
        <w:tblLayout w:type="fixed"/>
        <w:tblLook w:firstRow="0" w:lastRow="0" w:firstColumn="0" w:lastColumn="0" w:noHBand="0" w:noVBand="0" w:val="0000"/>
      </w:tblPr>
      <w:tblGrid>
        <w:gridCol w:w="7920"/>
      </w:tblGrid>
      <w:tr>
        <w:tc>
          <w:tcPr/>
          <w:bookmarkStart w:id="745" w:name="fig-scores-02"/>
          <w:p>
            <w:pPr>
              <w:pStyle w:val="Compact"/>
              <w:jc w:val="center"/>
            </w:pPr>
            <w:r>
              <w:drawing>
                <wp:inline>
                  <wp:extent cx="5334000" cy="3583781"/>
                  <wp:effectExtent b="0" l="0" r="0" t="0"/>
                  <wp:docPr descr="" title="" id="743" name="Picture"/>
                  <a:graphic>
                    <a:graphicData uri="http://schemas.openxmlformats.org/drawingml/2006/picture">
                      <pic:pic>
                        <pic:nvPicPr>
                          <pic:cNvPr descr="figures/apps-guide/scores-02.png" id="744" name="Picture"/>
                          <pic:cNvPicPr>
                            <a:picLocks noChangeArrowheads="1" noChangeAspect="1"/>
                          </pic:cNvPicPr>
                        </pic:nvPicPr>
                        <pic:blipFill>
                          <a:blip r:embed="rId74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E.2: Spatial Units</w:t>
            </w:r>
          </w:p>
          <w:bookmarkEnd w:id="745"/>
        </w:tc>
      </w:tr>
    </w:tbl>
    <w:bookmarkEnd w:id="746"/>
    <w:bookmarkStart w:id="751" w:name="layer-selection"/>
    <w:p>
      <w:pPr>
        <w:pStyle w:val="Heading3"/>
      </w:pPr>
      <w:r>
        <w:t xml:space="preserve">C.1.3 3. Layer Selection</w:t>
      </w:r>
    </w:p>
    <w:p>
      <w:pPr>
        <w:pStyle w:val="FirstParagraph"/>
      </w:pPr>
      <w:r>
        <w:t xml:space="preserve">Choose which sensitivity metric to display — composite score, individual species categories (bird, fish, mammal, etc.), or primary productivity. Note that some cells (Atlantic, Gulf of America, Hawaii, Puerto Rico, Pacific Islands) have scores but lie outside any v6 BOEM Program Area; they appear dimmed under a</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750" w:name="fig-scores-03"/>
          <w:p>
            <w:pPr>
              <w:pStyle w:val="Compact"/>
              <w:jc w:val="center"/>
            </w:pPr>
            <w:r>
              <w:drawing>
                <wp:inline>
                  <wp:extent cx="5334000" cy="3583781"/>
                  <wp:effectExtent b="0" l="0" r="0" t="0"/>
                  <wp:docPr descr="" title="" id="748" name="Picture"/>
                  <a:graphic>
                    <a:graphicData uri="http://schemas.openxmlformats.org/drawingml/2006/picture">
                      <pic:pic>
                        <pic:nvPicPr>
                          <pic:cNvPr descr="figures/apps-guide/scores-03.png" id="749" name="Picture"/>
                          <pic:cNvPicPr>
                            <a:picLocks noChangeArrowheads="1" noChangeAspect="1"/>
                          </pic:cNvPicPr>
                        </pic:nvPicPr>
                        <pic:blipFill>
                          <a:blip r:embed="rId74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E.3: Layer Selection</w:t>
            </w:r>
          </w:p>
          <w:bookmarkEnd w:id="750"/>
        </w:tc>
      </w:tr>
    </w:tbl>
    <w:bookmarkEnd w:id="751"/>
    <w:bookmarkStart w:id="756" w:name="map-tab"/>
    <w:p>
      <w:pPr>
        <w:pStyle w:val="Heading3"/>
      </w:pPr>
      <w:r>
        <w:t xml:space="preserve">C.1.4 4. Map tab</w:t>
      </w:r>
    </w:p>
    <w:p>
      <w:pPr>
        <w:pStyle w:val="FirstParagraph"/>
      </w:pPr>
      <w:r>
        <w:t xml:space="preserve">The Map tab is where you explore scores spatially — click cells or click Program Areas to see their scores.</w:t>
      </w:r>
    </w:p>
    <w:tbl>
      <w:tblPr>
        <w:tblStyle w:val="Table"/>
        <w:tblW w:type="pct" w:w="5000"/>
        <w:tblLayout w:type="fixed"/>
        <w:tblLook w:firstRow="0" w:lastRow="0" w:firstColumn="0" w:lastColumn="0" w:noHBand="0" w:noVBand="0" w:val="0000"/>
      </w:tblPr>
      <w:tblGrid>
        <w:gridCol w:w="7920"/>
      </w:tblGrid>
      <w:tr>
        <w:tc>
          <w:tcPr/>
          <w:bookmarkStart w:id="755" w:name="fig-scores-04"/>
          <w:p>
            <w:pPr>
              <w:pStyle w:val="Compact"/>
              <w:jc w:val="center"/>
            </w:pPr>
            <w:r>
              <w:drawing>
                <wp:inline>
                  <wp:extent cx="5334000" cy="3583781"/>
                  <wp:effectExtent b="0" l="0" r="0" t="0"/>
                  <wp:docPr descr="" title="" id="753" name="Picture"/>
                  <a:graphic>
                    <a:graphicData uri="http://schemas.openxmlformats.org/drawingml/2006/picture">
                      <pic:pic>
                        <pic:nvPicPr>
                          <pic:cNvPr descr="figures/apps-guide/scores-04.png" id="754" name="Picture"/>
                          <pic:cNvPicPr>
                            <a:picLocks noChangeArrowheads="1" noChangeAspect="1"/>
                          </pic:cNvPicPr>
                        </pic:nvPicPr>
                        <pic:blipFill>
                          <a:blip r:embed="rId75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E.4: Map tab</w:t>
            </w:r>
          </w:p>
          <w:bookmarkEnd w:id="755"/>
        </w:tc>
      </w:tr>
    </w:tbl>
    <w:bookmarkEnd w:id="756"/>
    <w:bookmarkStart w:id="761" w:name="layers-control"/>
    <w:p>
      <w:pPr>
        <w:pStyle w:val="Heading3"/>
      </w:pPr>
      <w:r>
        <w:t xml:space="preserve">C.1.5 5. Layers control</w:t>
      </w:r>
    </w:p>
    <w:p>
      <w:pPr>
        <w:pStyle w:val="FirstParagraph"/>
      </w:pPr>
      <w:r>
        <w:t xml:space="preserve">Toggle individual map layers on and off — program area outlines, ecoregion outlines, raster cells, and the gray</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760" w:name="fig-scores-05"/>
          <w:p>
            <w:pPr>
              <w:pStyle w:val="Compact"/>
              <w:jc w:val="center"/>
            </w:pPr>
            <w:r>
              <w:drawing>
                <wp:inline>
                  <wp:extent cx="5334000" cy="3583781"/>
                  <wp:effectExtent b="0" l="0" r="0" t="0"/>
                  <wp:docPr descr="" title="" id="758" name="Picture"/>
                  <a:graphic>
                    <a:graphicData uri="http://schemas.openxmlformats.org/drawingml/2006/picture">
                      <pic:pic>
                        <pic:nvPicPr>
                          <pic:cNvPr descr="figures/apps-guide/scores-05.png" id="759" name="Picture"/>
                          <pic:cNvPicPr>
                            <a:picLocks noChangeArrowheads="1" noChangeAspect="1"/>
                          </pic:cNvPicPr>
                        </pic:nvPicPr>
                        <pic:blipFill>
                          <a:blip r:embed="rId75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E.5: Layers control</w:t>
            </w:r>
          </w:p>
          <w:bookmarkEnd w:id="760"/>
        </w:tc>
      </w:tr>
    </w:tbl>
    <w:bookmarkEnd w:id="761"/>
    <w:bookmarkStart w:id="766" w:name="go-to-location"/>
    <w:p>
      <w:pPr>
        <w:pStyle w:val="Heading3"/>
      </w:pPr>
      <w:r>
        <w:t xml:space="preserve">C.1.6 6. Go to location</w:t>
      </w:r>
    </w:p>
    <w:p>
      <w:pPr>
        <w:pStyle w:val="FirstParagraph"/>
      </w:pPr>
      <w:r>
        <w:t xml:space="preserve">Search for a place name and the map will fly there — useful for jumping to a specific Program Area, port, or feature.</w:t>
      </w:r>
    </w:p>
    <w:tbl>
      <w:tblPr>
        <w:tblStyle w:val="Table"/>
        <w:tblW w:type="pct" w:w="5000"/>
        <w:tblLayout w:type="fixed"/>
        <w:tblLook w:firstRow="0" w:lastRow="0" w:firstColumn="0" w:lastColumn="0" w:noHBand="0" w:noVBand="0" w:val="0000"/>
      </w:tblPr>
      <w:tblGrid>
        <w:gridCol w:w="7920"/>
      </w:tblGrid>
      <w:tr>
        <w:tc>
          <w:tcPr/>
          <w:bookmarkStart w:id="765" w:name="fig-scores-06"/>
          <w:p>
            <w:pPr>
              <w:pStyle w:val="Compact"/>
              <w:jc w:val="center"/>
            </w:pPr>
            <w:r>
              <w:drawing>
                <wp:inline>
                  <wp:extent cx="5334000" cy="3583781"/>
                  <wp:effectExtent b="0" l="0" r="0" t="0"/>
                  <wp:docPr descr="" title="" id="763" name="Picture"/>
                  <a:graphic>
                    <a:graphicData uri="http://schemas.openxmlformats.org/drawingml/2006/picture">
                      <pic:pic>
                        <pic:nvPicPr>
                          <pic:cNvPr descr="figures/apps-guide/scores-06.png" id="764" name="Picture"/>
                          <pic:cNvPicPr>
                            <a:picLocks noChangeArrowheads="1" noChangeAspect="1"/>
                          </pic:cNvPicPr>
                        </pic:nvPicPr>
                        <pic:blipFill>
                          <a:blip r:embed="rId76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E.6: Go to location</w:t>
            </w:r>
          </w:p>
          <w:bookmarkEnd w:id="765"/>
        </w:tc>
      </w:tr>
    </w:tbl>
    <w:bookmarkEnd w:id="766"/>
    <w:bookmarkStart w:id="771" w:name="full-screen"/>
    <w:p>
      <w:pPr>
        <w:pStyle w:val="Heading3"/>
      </w:pPr>
      <w:r>
        <w:t xml:space="preserve">C.1.7 7. Full screen</w:t>
      </w:r>
    </w:p>
    <w:p>
      <w:pPr>
        <w:pStyle w:val="FirstParagraph"/>
      </w:pPr>
      <w:r>
        <w:t xml:space="preserve">Expand the map to fill the entire window.</w:t>
      </w:r>
    </w:p>
    <w:tbl>
      <w:tblPr>
        <w:tblStyle w:val="Table"/>
        <w:tblW w:type="pct" w:w="5000"/>
        <w:tblLayout w:type="fixed"/>
        <w:tblLook w:firstRow="0" w:lastRow="0" w:firstColumn="0" w:lastColumn="0" w:noHBand="0" w:noVBand="0" w:val="0000"/>
      </w:tblPr>
      <w:tblGrid>
        <w:gridCol w:w="7920"/>
      </w:tblGrid>
      <w:tr>
        <w:tc>
          <w:tcPr/>
          <w:bookmarkStart w:id="770" w:name="fig-scores-07"/>
          <w:p>
            <w:pPr>
              <w:pStyle w:val="Compact"/>
              <w:jc w:val="center"/>
            </w:pPr>
            <w:r>
              <w:drawing>
                <wp:inline>
                  <wp:extent cx="5334000" cy="3583781"/>
                  <wp:effectExtent b="0" l="0" r="0" t="0"/>
                  <wp:docPr descr="" title="" id="768" name="Picture"/>
                  <a:graphic>
                    <a:graphicData uri="http://schemas.openxmlformats.org/drawingml/2006/picture">
                      <pic:pic>
                        <pic:nvPicPr>
                          <pic:cNvPr descr="figures/apps-guide/scores-07.png" id="769" name="Picture"/>
                          <pic:cNvPicPr>
                            <a:picLocks noChangeArrowheads="1" noChangeAspect="1"/>
                          </pic:cNvPicPr>
                        </pic:nvPicPr>
                        <pic:blipFill>
                          <a:blip r:embed="rId76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E.7: Full screen</w:t>
            </w:r>
          </w:p>
          <w:bookmarkEnd w:id="770"/>
        </w:tc>
      </w:tr>
    </w:tbl>
    <w:bookmarkEnd w:id="771"/>
    <w:bookmarkStart w:id="776" w:name="zoom-in-out"/>
    <w:p>
      <w:pPr>
        <w:pStyle w:val="Heading3"/>
      </w:pPr>
      <w:r>
        <w:t xml:space="preserve">C.1.8 8. Zoom in / out</w:t>
      </w:r>
    </w:p>
    <w:p>
      <w:pPr>
        <w:pStyle w:val="FirstParagraph"/>
      </w:pPr>
      <w:r>
        <w:t xml:space="preserve">Zoom and reset the view. You can also use the mouse wheel, pinch gesture, or double-click.</w:t>
      </w:r>
    </w:p>
    <w:tbl>
      <w:tblPr>
        <w:tblStyle w:val="Table"/>
        <w:tblW w:type="pct" w:w="5000"/>
        <w:tblLayout w:type="fixed"/>
        <w:tblLook w:firstRow="0" w:lastRow="0" w:firstColumn="0" w:lastColumn="0" w:noHBand="0" w:noVBand="0" w:val="0000"/>
      </w:tblPr>
      <w:tblGrid>
        <w:gridCol w:w="7920"/>
      </w:tblGrid>
      <w:tr>
        <w:tc>
          <w:tcPr/>
          <w:bookmarkStart w:id="775" w:name="fig-scores-08"/>
          <w:p>
            <w:pPr>
              <w:pStyle w:val="Compact"/>
              <w:jc w:val="center"/>
            </w:pPr>
            <w:r>
              <w:drawing>
                <wp:inline>
                  <wp:extent cx="5334000" cy="3583781"/>
                  <wp:effectExtent b="0" l="0" r="0" t="0"/>
                  <wp:docPr descr="" title="" id="773" name="Picture"/>
                  <a:graphic>
                    <a:graphicData uri="http://schemas.openxmlformats.org/drawingml/2006/picture">
                      <pic:pic>
                        <pic:nvPicPr>
                          <pic:cNvPr descr="figures/apps-guide/scores-08.png" id="774" name="Picture"/>
                          <pic:cNvPicPr>
                            <a:picLocks noChangeArrowheads="1" noChangeAspect="1"/>
                          </pic:cNvPicPr>
                        </pic:nvPicPr>
                        <pic:blipFill>
                          <a:blip r:embed="rId77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E.8: Zoom in / out</w:t>
            </w:r>
          </w:p>
          <w:bookmarkEnd w:id="775"/>
        </w:tc>
      </w:tr>
    </w:tbl>
    <w:bookmarkEnd w:id="776"/>
    <w:bookmarkStart w:id="781" w:name="plot-of-scores-tab"/>
    <w:p>
      <w:pPr>
        <w:pStyle w:val="Heading3"/>
      </w:pPr>
      <w:r>
        <w:t xml:space="preserve">C.1.9 9. Plot of Scores tab</w:t>
      </w:r>
    </w:p>
    <w:p>
      <w:pPr>
        <w:pStyle w:val="FirstParagraph"/>
      </w:pPr>
      <w:r>
        <w:t xml:space="preserve">Switch here to see the flower plot of aggregated sensitivity scores for the current selection, broken out by species category. Petal length = score (0–100); center number = weighted mean. Defaults to</w:t>
      </w:r>
      <w:r>
        <w:t xml:space="preserve"> </w:t>
      </w:r>
      <w:r>
        <w:t xml:space="preserve">‘All USA’</w:t>
      </w:r>
      <w:r>
        <w:t xml:space="preserve"> </w:t>
      </w:r>
      <w:r>
        <w:t xml:space="preserve">until you click a cell or click a Program Area.</w:t>
      </w:r>
    </w:p>
    <w:tbl>
      <w:tblPr>
        <w:tblStyle w:val="Table"/>
        <w:tblW w:type="pct" w:w="5000"/>
        <w:tblLayout w:type="fixed"/>
        <w:tblLook w:firstRow="0" w:lastRow="0" w:firstColumn="0" w:lastColumn="0" w:noHBand="0" w:noVBand="0" w:val="0000"/>
      </w:tblPr>
      <w:tblGrid>
        <w:gridCol w:w="7920"/>
      </w:tblGrid>
      <w:tr>
        <w:tc>
          <w:tcPr/>
          <w:bookmarkStart w:id="780" w:name="fig-scores-09"/>
          <w:p>
            <w:pPr>
              <w:pStyle w:val="Compact"/>
              <w:jc w:val="center"/>
            </w:pPr>
            <w:r>
              <w:drawing>
                <wp:inline>
                  <wp:extent cx="5334000" cy="3583781"/>
                  <wp:effectExtent b="0" l="0" r="0" t="0"/>
                  <wp:docPr descr="" title="" id="778" name="Picture"/>
                  <a:graphic>
                    <a:graphicData uri="http://schemas.openxmlformats.org/drawingml/2006/picture">
                      <pic:pic>
                        <pic:nvPicPr>
                          <pic:cNvPr descr="figures/apps-guide/scores-09.png" id="779" name="Picture"/>
                          <pic:cNvPicPr>
                            <a:picLocks noChangeArrowheads="1" noChangeAspect="1"/>
                          </pic:cNvPicPr>
                        </pic:nvPicPr>
                        <pic:blipFill>
                          <a:blip r:embed="rId77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E.9: Plot of Scores tab</w:t>
            </w:r>
          </w:p>
          <w:bookmarkEnd w:id="780"/>
        </w:tc>
      </w:tr>
    </w:tbl>
    <w:bookmarkEnd w:id="781"/>
    <w:bookmarkStart w:id="786" w:name="table-of-species-tab"/>
    <w:p>
      <w:pPr>
        <w:pStyle w:val="Heading3"/>
      </w:pPr>
      <w:r>
        <w:t xml:space="preserve">C.1.10 10. Table of Species tab</w:t>
      </w:r>
    </w:p>
    <w:p>
      <w:pPr>
        <w:pStyle w:val="FirstParagraph"/>
      </w:pPr>
      <w:r>
        <w:t xml:space="preserve">A sortable, downloadable table of every species in the currently selected area, with extinction-risk codes, areas, and per-category contributions.</w:t>
      </w:r>
    </w:p>
    <w:tbl>
      <w:tblPr>
        <w:tblStyle w:val="Table"/>
        <w:tblW w:type="pct" w:w="5000"/>
        <w:tblLayout w:type="fixed"/>
        <w:tblLook w:firstRow="0" w:lastRow="0" w:firstColumn="0" w:lastColumn="0" w:noHBand="0" w:noVBand="0" w:val="0000"/>
      </w:tblPr>
      <w:tblGrid>
        <w:gridCol w:w="7920"/>
      </w:tblGrid>
      <w:tr>
        <w:tc>
          <w:tcPr/>
          <w:bookmarkStart w:id="785" w:name="fig-scores-10"/>
          <w:p>
            <w:pPr>
              <w:pStyle w:val="Compact"/>
              <w:jc w:val="center"/>
            </w:pPr>
            <w:r>
              <w:drawing>
                <wp:inline>
                  <wp:extent cx="5334000" cy="3583781"/>
                  <wp:effectExtent b="0" l="0" r="0" t="0"/>
                  <wp:docPr descr="" title="" id="783" name="Picture"/>
                  <a:graphic>
                    <a:graphicData uri="http://schemas.openxmlformats.org/drawingml/2006/picture">
                      <pic:pic>
                        <pic:nvPicPr>
                          <pic:cNvPr descr="figures/apps-guide/scores-10.png" id="784" name="Picture"/>
                          <pic:cNvPicPr>
                            <a:picLocks noChangeArrowheads="1" noChangeAspect="1"/>
                          </pic:cNvPicPr>
                        </pic:nvPicPr>
                        <pic:blipFill>
                          <a:blip r:embed="rId78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E.10: Table of Species tab</w:t>
            </w:r>
          </w:p>
          <w:bookmarkEnd w:id="785"/>
        </w:tc>
      </w:tr>
    </w:tbl>
    <w:bookmarkEnd w:id="786"/>
    <w:bookmarkStart w:id="791" w:name="report-tab"/>
    <w:p>
      <w:pPr>
        <w:pStyle w:val="Heading3"/>
      </w:pPr>
      <w:r>
        <w:t xml:space="preserve">C.1.11 11. Report tab</w:t>
      </w:r>
    </w:p>
    <w:p>
      <w:pPr>
        <w:pStyle w:val="FirstParagraph"/>
      </w:pPr>
      <w:r>
        <w:t xml:space="preserve">Generate a sensitivity report for one or more custom areas. Build up a list of labeled areas by drawing a polygon on the map (using the polygon tool) and/or by selecting a Program Area, then clicking</w:t>
      </w:r>
      <w:r>
        <w:t xml:space="preserve"> </w:t>
      </w:r>
      <w:r>
        <w:t xml:space="preserve">‘Add’</w:t>
      </w:r>
      <w:r>
        <w:t xml:space="preserve"> </w:t>
      </w:r>
      <w:r>
        <w:t xml:space="preserve">for each. Set a title, data version, and output format (HTML, Word, or PDF), then click</w:t>
      </w:r>
      <w:r>
        <w:t xml:space="preserve"> </w:t>
      </w:r>
      <w:r>
        <w:t xml:space="preserve">‘Generate report’</w:t>
      </w:r>
      <w:r>
        <w:t xml:space="preserve">.</w:t>
      </w:r>
    </w:p>
    <w:tbl>
      <w:tblPr>
        <w:tblStyle w:val="Table"/>
        <w:tblW w:type="pct" w:w="5000"/>
        <w:tblLayout w:type="fixed"/>
        <w:tblLook w:firstRow="0" w:lastRow="0" w:firstColumn="0" w:lastColumn="0" w:noHBand="0" w:noVBand="0" w:val="0000"/>
      </w:tblPr>
      <w:tblGrid>
        <w:gridCol w:w="7920"/>
      </w:tblGrid>
      <w:tr>
        <w:tc>
          <w:tcPr/>
          <w:bookmarkStart w:id="790" w:name="fig-scores-11"/>
          <w:p>
            <w:pPr>
              <w:pStyle w:val="Compact"/>
              <w:jc w:val="center"/>
            </w:pPr>
            <w:r>
              <w:drawing>
                <wp:inline>
                  <wp:extent cx="5334000" cy="3583781"/>
                  <wp:effectExtent b="0" l="0" r="0" t="0"/>
                  <wp:docPr descr="" title="" id="788" name="Picture"/>
                  <a:graphic>
                    <a:graphicData uri="http://schemas.openxmlformats.org/drawingml/2006/picture">
                      <pic:pic>
                        <pic:nvPicPr>
                          <pic:cNvPr descr="figures/apps-guide/scores-11.png" id="789" name="Picture"/>
                          <pic:cNvPicPr>
                            <a:picLocks noChangeArrowheads="1" noChangeAspect="1"/>
                          </pic:cNvPicPr>
                        </pic:nvPicPr>
                        <pic:blipFill>
                          <a:blip r:embed="rId78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E.11: Report tab</w:t>
            </w:r>
          </w:p>
          <w:bookmarkEnd w:id="790"/>
        </w:tc>
      </w:tr>
    </w:tbl>
    <w:bookmarkEnd w:id="791"/>
    <w:bookmarkEnd w:id="792"/>
    <w:bookmarkStart w:id="818" w:name="species-app"/>
    <w:p>
      <w:pPr>
        <w:pStyle w:val="Heading2"/>
      </w:pPr>
      <w:r>
        <w:t xml:space="preserve">C.2 Species app</w:t>
      </w:r>
    </w:p>
    <w:bookmarkStart w:id="797" w:name="select-a-species"/>
    <w:p>
      <w:pPr>
        <w:pStyle w:val="Heading3"/>
      </w:pPr>
      <w:r>
        <w:t xml:space="preserve">C.2.1 1. Select a Species</w:t>
      </w:r>
    </w:p>
    <w:p>
      <w:pPr>
        <w:pStyle w:val="FirstParagraph"/>
      </w:pPr>
      <w:r>
        <w:t xml:space="preserve">Search by common or scientific name. Results are grouped by category (bird, fish, mammal, etc.).</w:t>
      </w:r>
    </w:p>
    <w:tbl>
      <w:tblPr>
        <w:tblStyle w:val="Table"/>
        <w:tblW w:type="pct" w:w="5000"/>
        <w:tblLayout w:type="fixed"/>
        <w:tblLook w:firstRow="0" w:lastRow="0" w:firstColumn="0" w:lastColumn="0" w:noHBand="0" w:noVBand="0" w:val="0000"/>
      </w:tblPr>
      <w:tblGrid>
        <w:gridCol w:w="7920"/>
      </w:tblGrid>
      <w:tr>
        <w:tc>
          <w:tcPr/>
          <w:bookmarkStart w:id="796" w:name="fig-species-01"/>
          <w:p>
            <w:pPr>
              <w:pStyle w:val="Compact"/>
              <w:jc w:val="center"/>
            </w:pPr>
            <w:r>
              <w:drawing>
                <wp:inline>
                  <wp:extent cx="5334000" cy="3583781"/>
                  <wp:effectExtent b="0" l="0" r="0" t="0"/>
                  <wp:docPr descr="" title="" id="794" name="Picture"/>
                  <a:graphic>
                    <a:graphicData uri="http://schemas.openxmlformats.org/drawingml/2006/picture">
                      <pic:pic>
                        <pic:nvPicPr>
                          <pic:cNvPr descr="figures/apps-guide/species-01.png" id="795" name="Picture"/>
                          <pic:cNvPicPr>
                            <a:picLocks noChangeArrowheads="1" noChangeAspect="1"/>
                          </pic:cNvPicPr>
                        </pic:nvPicPr>
                        <pic:blipFill>
                          <a:blip r:embed="rId79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E.12: Select a Species</w:t>
            </w:r>
          </w:p>
          <w:bookmarkEnd w:id="796"/>
        </w:tc>
      </w:tr>
    </w:tbl>
    <w:bookmarkEnd w:id="797"/>
    <w:bookmarkStart w:id="802" w:name="mask-selection"/>
    <w:p>
      <w:pPr>
        <w:pStyle w:val="Heading3"/>
      </w:pPr>
      <w:r>
        <w:t xml:space="preserve">C.2.2 2. Mask Selection</w:t>
      </w:r>
    </w:p>
    <w:p>
      <w:pPr>
        <w:pStyle w:val="FirstParagraph"/>
      </w:pPr>
      <w:r>
        <w:t xml:space="preserve">Choose whether to overlay BOEM Program Area or Ecoregion boundaries on the map.</w:t>
      </w:r>
    </w:p>
    <w:tbl>
      <w:tblPr>
        <w:tblStyle w:val="Table"/>
        <w:tblW w:type="pct" w:w="5000"/>
        <w:tblLayout w:type="fixed"/>
        <w:tblLook w:firstRow="0" w:lastRow="0" w:firstColumn="0" w:lastColumn="0" w:noHBand="0" w:noVBand="0" w:val="0000"/>
      </w:tblPr>
      <w:tblGrid>
        <w:gridCol w:w="7920"/>
      </w:tblGrid>
      <w:tr>
        <w:tc>
          <w:tcPr/>
          <w:bookmarkStart w:id="801" w:name="fig-species-02"/>
          <w:p>
            <w:pPr>
              <w:pStyle w:val="Compact"/>
              <w:jc w:val="center"/>
            </w:pPr>
            <w:r>
              <w:drawing>
                <wp:inline>
                  <wp:extent cx="5334000" cy="3583781"/>
                  <wp:effectExtent b="0" l="0" r="0" t="0"/>
                  <wp:docPr descr="" title="" id="799" name="Picture"/>
                  <a:graphic>
                    <a:graphicData uri="http://schemas.openxmlformats.org/drawingml/2006/picture">
                      <pic:pic>
                        <pic:nvPicPr>
                          <pic:cNvPr descr="figures/apps-guide/species-02.png" id="800" name="Picture"/>
                          <pic:cNvPicPr>
                            <a:picLocks noChangeArrowheads="1" noChangeAspect="1"/>
                          </pic:cNvPicPr>
                        </pic:nvPicPr>
                        <pic:blipFill>
                          <a:blip r:embed="rId79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E.13: Mask Selection</w:t>
            </w:r>
          </w:p>
          <w:bookmarkEnd w:id="801"/>
        </w:tc>
      </w:tr>
    </w:tbl>
    <w:bookmarkEnd w:id="802"/>
    <w:bookmarkStart w:id="807" w:name="layer-selector"/>
    <w:p>
      <w:pPr>
        <w:pStyle w:val="Heading3"/>
      </w:pPr>
      <w:r>
        <w:t xml:space="preserve">C.2.3 3. Layer Selector</w:t>
      </w:r>
    </w:p>
    <w:p>
      <w:pPr>
        <w:pStyle w:val="FirstParagraph"/>
      </w:pPr>
      <w:r>
        <w:t xml:space="preserve">The colored bar shows which model layer is displayed. Green means the final Merged Model; orange means you are viewing a single input. Click the pills to switch layers.</w:t>
      </w:r>
    </w:p>
    <w:tbl>
      <w:tblPr>
        <w:tblStyle w:val="Table"/>
        <w:tblW w:type="pct" w:w="5000"/>
        <w:tblLayout w:type="fixed"/>
        <w:tblLook w:firstRow="0" w:lastRow="0" w:firstColumn="0" w:lastColumn="0" w:noHBand="0" w:noVBand="0" w:val="0000"/>
      </w:tblPr>
      <w:tblGrid>
        <w:gridCol w:w="7920"/>
      </w:tblGrid>
      <w:tr>
        <w:tc>
          <w:tcPr/>
          <w:bookmarkStart w:id="806" w:name="fig-species-03"/>
          <w:p>
            <w:pPr>
              <w:pStyle w:val="Compact"/>
              <w:jc w:val="center"/>
            </w:pPr>
            <w:r>
              <w:drawing>
                <wp:inline>
                  <wp:extent cx="5334000" cy="3583781"/>
                  <wp:effectExtent b="0" l="0" r="0" t="0"/>
                  <wp:docPr descr="" title="" id="804" name="Picture"/>
                  <a:graphic>
                    <a:graphicData uri="http://schemas.openxmlformats.org/drawingml/2006/picture">
                      <pic:pic>
                        <pic:nvPicPr>
                          <pic:cNvPr descr="figures/apps-guide/species-03.png" id="805" name="Picture"/>
                          <pic:cNvPicPr>
                            <a:picLocks noChangeArrowheads="1" noChangeAspect="1"/>
                          </pic:cNvPicPr>
                        </pic:nvPicPr>
                        <pic:blipFill>
                          <a:blip r:embed="rId80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E.14: Layer Selector</w:t>
            </w:r>
          </w:p>
          <w:bookmarkEnd w:id="806"/>
        </w:tc>
      </w:tr>
    </w:tbl>
    <w:bookmarkEnd w:id="807"/>
    <w:bookmarkStart w:id="812" w:name="species-map"/>
    <w:p>
      <w:pPr>
        <w:pStyle w:val="Heading3"/>
      </w:pPr>
      <w:r>
        <w:t xml:space="preserve">C.2.4 4. Species Map</w:t>
      </w:r>
    </w:p>
    <w:p>
      <w:pPr>
        <w:pStyle w:val="FirstParagraph"/>
      </w:pPr>
      <w:r>
        <w:t xml:space="preserve">The map shows the species distribution model. Cell values range from 1 (low sensitivity) to 100 (high sensitivity). Click cells for details.</w:t>
      </w:r>
    </w:p>
    <w:tbl>
      <w:tblPr>
        <w:tblStyle w:val="Table"/>
        <w:tblW w:type="pct" w:w="5000"/>
        <w:tblLayout w:type="fixed"/>
        <w:tblLook w:firstRow="0" w:lastRow="0" w:firstColumn="0" w:lastColumn="0" w:noHBand="0" w:noVBand="0" w:val="0000"/>
      </w:tblPr>
      <w:tblGrid>
        <w:gridCol w:w="7920"/>
      </w:tblGrid>
      <w:tr>
        <w:tc>
          <w:tcPr/>
          <w:bookmarkStart w:id="811" w:name="fig-species-04"/>
          <w:p>
            <w:pPr>
              <w:pStyle w:val="Compact"/>
              <w:jc w:val="center"/>
            </w:pPr>
            <w:r>
              <w:drawing>
                <wp:inline>
                  <wp:extent cx="5334000" cy="3583781"/>
                  <wp:effectExtent b="0" l="0" r="0" t="0"/>
                  <wp:docPr descr="" title="" id="809" name="Picture"/>
                  <a:graphic>
                    <a:graphicData uri="http://schemas.openxmlformats.org/drawingml/2006/picture">
                      <pic:pic>
                        <pic:nvPicPr>
                          <pic:cNvPr descr="figures/apps-guide/species-04.png" id="810" name="Picture"/>
                          <pic:cNvPicPr>
                            <a:picLocks noChangeArrowheads="1" noChangeAspect="1"/>
                          </pic:cNvPicPr>
                        </pic:nvPicPr>
                        <pic:blipFill>
                          <a:blip r:embed="rId80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E.15: Species Map</w:t>
            </w:r>
          </w:p>
          <w:bookmarkEnd w:id="811"/>
        </w:tc>
      </w:tr>
    </w:tbl>
    <w:bookmarkEnd w:id="812"/>
    <w:bookmarkStart w:id="817" w:name="species-info"/>
    <w:p>
      <w:pPr>
        <w:pStyle w:val="Heading3"/>
      </w:pPr>
      <w:r>
        <w:t xml:space="preserve">C.2.5 5. Species Info</w:t>
      </w:r>
    </w:p>
    <w:p>
      <w:pPr>
        <w:pStyle w:val="FirstParagraph"/>
      </w:pPr>
      <w:r>
        <w:t xml:space="preserve">Open the sidebar to see ESA listing, IUCN status, MMPA/MBTA flags, and extinction risk score for the selected species.</w:t>
      </w:r>
    </w:p>
    <w:tbl>
      <w:tblPr>
        <w:tblStyle w:val="Table"/>
        <w:tblW w:type="pct" w:w="5000"/>
        <w:tblLayout w:type="fixed"/>
        <w:tblLook w:firstRow="0" w:lastRow="0" w:firstColumn="0" w:lastColumn="0" w:noHBand="0" w:noVBand="0" w:val="0000"/>
      </w:tblPr>
      <w:tblGrid>
        <w:gridCol w:w="7920"/>
      </w:tblGrid>
      <w:tr>
        <w:tc>
          <w:tcPr/>
          <w:bookmarkStart w:id="816" w:name="fig-species-05"/>
          <w:p>
            <w:pPr>
              <w:pStyle w:val="Compact"/>
              <w:jc w:val="center"/>
            </w:pPr>
            <w:r>
              <w:drawing>
                <wp:inline>
                  <wp:extent cx="5334000" cy="3583781"/>
                  <wp:effectExtent b="0" l="0" r="0" t="0"/>
                  <wp:docPr descr="" title="" id="814" name="Picture"/>
                  <a:graphic>
                    <a:graphicData uri="http://schemas.openxmlformats.org/drawingml/2006/picture">
                      <pic:pic>
                        <pic:nvPicPr>
                          <pic:cNvPr descr="figures/apps-guide/species-05.png" id="815" name="Picture"/>
                          <pic:cNvPicPr>
                            <a:picLocks noChangeArrowheads="1" noChangeAspect="1"/>
                          </pic:cNvPicPr>
                        </pic:nvPicPr>
                        <pic:blipFill>
                          <a:blip r:embed="rId81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E.16: Species Info</w:t>
            </w:r>
          </w:p>
          <w:bookmarkEnd w:id="816"/>
        </w:tc>
      </w:tr>
    </w:tbl>
    <w:bookmarkEnd w:id="817"/>
    <w:bookmarkEnd w:id="818"/>
    <w:bookmarkEnd w:id="819"/>
    <w:bookmarkStart w:id="825" w:name="areas-of-interest"/>
    <w:p>
      <w:pPr>
        <w:pStyle w:val="Heading1"/>
      </w:pPr>
      <w:r>
        <w:t xml:space="preserve">Areas of Interest</w:t>
      </w:r>
    </w:p>
    <w:p>
      <w:pPr>
        <w:pStyle w:val="FirstParagraph"/>
      </w:pPr>
      <w:r>
        <w:t xml:space="preserve">Map high resolution Areas of Interest (using vector tiles) for visualization (and later summarization).</w:t>
      </w:r>
    </w:p>
    <w:p>
      <w:pPr>
        <w:numPr>
          <w:ilvl w:val="0"/>
          <w:numId w:val="1075"/>
        </w:numPr>
      </w:pPr>
      <w:hyperlink r:id="rId820">
        <w:r>
          <w:rPr>
            <w:rStyle w:val="Hyperlink"/>
          </w:rPr>
          <w:t xml:space="preserve"> </w:t>
        </w:r>
        <w:r>
          <w:rPr>
            <w:rStyle w:val="Hyperlink"/>
          </w:rPr>
          <w:t xml:space="preserve">website</w:t>
        </w:r>
      </w:hyperlink>
    </w:p>
    <w:p>
      <w:pPr>
        <w:numPr>
          <w:ilvl w:val="0"/>
          <w:numId w:val="1075"/>
        </w:numPr>
      </w:pPr>
      <w:hyperlink r:id="rId821">
        <w:r>
          <w:rPr>
            <w:rStyle w:val="Hyperlink"/>
          </w:rPr>
          <w:t xml:space="preserve"> </w:t>
        </w:r>
        <w:r>
          <w:rPr>
            <w:rStyle w:val="VerbatimChar"/>
          </w:rPr>
          <w:t xml:space="preserve">code</w:t>
        </w:r>
      </w:hyperlink>
    </w:p>
    <w:p>
      <w:pPr>
        <w:pStyle w:val="FirstParagraph"/>
      </w:pPr>
      <w:r>
        <w:drawing>
          <wp:inline>
            <wp:extent cx="5334000" cy="2988079"/>
            <wp:effectExtent b="0" l="0" r="0" t="0"/>
            <wp:docPr descr="" title="" id="823" name="Picture"/>
            <a:graphic>
              <a:graphicData uri="http://schemas.openxmlformats.org/drawingml/2006/picture">
                <pic:pic>
                  <pic:nvPicPr>
                    <pic:cNvPr descr="figures/apps/aoi.png" id="824" name="Picture"/>
                    <pic:cNvPicPr>
                      <a:picLocks noChangeArrowheads="1" noChangeAspect="1"/>
                    </pic:cNvPicPr>
                  </pic:nvPicPr>
                  <pic:blipFill>
                    <a:blip r:embed="rId822"/>
                    <a:stretch>
                      <a:fillRect/>
                    </a:stretch>
                  </pic:blipFill>
                  <pic:spPr bwMode="auto">
                    <a:xfrm>
                      <a:off x="0" y="0"/>
                      <a:ext cx="5334000" cy="2988079"/>
                    </a:xfrm>
                    <a:prstGeom prst="rect">
                      <a:avLst/>
                    </a:prstGeom>
                    <a:noFill/>
                    <a:ln w="9525">
                      <a:noFill/>
                      <a:headEnd/>
                      <a:tailEnd/>
                    </a:ln>
                  </pic:spPr>
                </pic:pic>
              </a:graphicData>
            </a:graphic>
          </wp:inline>
        </w:drawing>
      </w:r>
    </w:p>
    <w:bookmarkEnd w:id="825"/>
    <w:bookmarkStart w:id="831" w:name="bird-hotspots"/>
    <w:p>
      <w:pPr>
        <w:pStyle w:val="Heading1"/>
      </w:pPr>
      <w:r>
        <w:t xml:space="preserve">Bird Hotspots</w:t>
      </w:r>
    </w:p>
    <w:p>
      <w:pPr>
        <w:pStyle w:val="FirstParagraph"/>
      </w:pPr>
      <w:r>
        <w:t xml:space="preserve">Bird hotspots application showing hotspot probability for species present given drawn Area of Interest.</w:t>
      </w:r>
    </w:p>
    <w:p>
      <w:pPr>
        <w:numPr>
          <w:ilvl w:val="0"/>
          <w:numId w:val="1076"/>
        </w:numPr>
      </w:pPr>
      <w:hyperlink r:id="rId826">
        <w:r>
          <w:rPr>
            <w:rStyle w:val="Hyperlink"/>
          </w:rPr>
          <w:t xml:space="preserve"> </w:t>
        </w:r>
        <w:r>
          <w:rPr>
            <w:rStyle w:val="Hyperlink"/>
          </w:rPr>
          <w:t xml:space="preserve">website</w:t>
        </w:r>
      </w:hyperlink>
    </w:p>
    <w:p>
      <w:pPr>
        <w:numPr>
          <w:ilvl w:val="0"/>
          <w:numId w:val="1076"/>
        </w:numPr>
      </w:pPr>
      <w:hyperlink r:id="rId827">
        <w:r>
          <w:rPr>
            <w:rStyle w:val="Hyperlink"/>
          </w:rPr>
          <w:t xml:space="preserve"> </w:t>
        </w:r>
        <w:r>
          <w:rPr>
            <w:rStyle w:val="VerbatimChar"/>
          </w:rPr>
          <w:t xml:space="preserve">code</w:t>
        </w:r>
      </w:hyperlink>
    </w:p>
    <w:p>
      <w:pPr>
        <w:pStyle w:val="FirstParagraph"/>
      </w:pPr>
      <w:r>
        <w:drawing>
          <wp:inline>
            <wp:extent cx="5334000" cy="2948423"/>
            <wp:effectExtent b="0" l="0" r="0" t="0"/>
            <wp:docPr descr="" title="" id="829" name="Picture"/>
            <a:graphic>
              <a:graphicData uri="http://schemas.openxmlformats.org/drawingml/2006/picture">
                <pic:pic>
                  <pic:nvPicPr>
                    <pic:cNvPr descr="figures/apps/bird_hotspots.png" id="830" name="Picture"/>
                    <pic:cNvPicPr>
                      <a:picLocks noChangeArrowheads="1" noChangeAspect="1"/>
                    </pic:cNvPicPr>
                  </pic:nvPicPr>
                  <pic:blipFill>
                    <a:blip r:embed="rId828"/>
                    <a:stretch>
                      <a:fillRect/>
                    </a:stretch>
                  </pic:blipFill>
                  <pic:spPr bwMode="auto">
                    <a:xfrm>
                      <a:off x="0" y="0"/>
                      <a:ext cx="5334000" cy="2948423"/>
                    </a:xfrm>
                    <a:prstGeom prst="rect">
                      <a:avLst/>
                    </a:prstGeom>
                    <a:noFill/>
                    <a:ln w="9525">
                      <a:noFill/>
                      <a:headEnd/>
                      <a:tailEnd/>
                    </a:ln>
                  </pic:spPr>
                </pic:pic>
              </a:graphicData>
            </a:graphic>
          </wp:inline>
        </w:drawing>
      </w:r>
    </w:p>
    <w:bookmarkEnd w:id="831"/>
    <w:bookmarkStart w:id="837" w:name="regional-map"/>
    <w:p>
      <w:pPr>
        <w:pStyle w:val="Heading1"/>
      </w:pPr>
      <w:r>
        <w:t xml:space="preserve">Regional Map</w:t>
      </w:r>
    </w:p>
    <w:p>
      <w:pPr>
        <w:pStyle w:val="FirstParagraph"/>
      </w:pPr>
      <w:r>
        <w:t xml:space="preserve">Basic interactive map of BOEM regions.</w:t>
      </w:r>
    </w:p>
    <w:p>
      <w:pPr>
        <w:numPr>
          <w:ilvl w:val="0"/>
          <w:numId w:val="1077"/>
        </w:numPr>
      </w:pPr>
      <w:hyperlink r:id="rId832">
        <w:r>
          <w:rPr>
            <w:rStyle w:val="Hyperlink"/>
          </w:rPr>
          <w:t xml:space="preserve"> </w:t>
        </w:r>
        <w:r>
          <w:rPr>
            <w:rStyle w:val="Hyperlink"/>
          </w:rPr>
          <w:t xml:space="preserve">website</w:t>
        </w:r>
      </w:hyperlink>
    </w:p>
    <w:p>
      <w:pPr>
        <w:numPr>
          <w:ilvl w:val="0"/>
          <w:numId w:val="1077"/>
        </w:numPr>
      </w:pPr>
      <w:hyperlink r:id="rId833">
        <w:r>
          <w:rPr>
            <w:rStyle w:val="Hyperlink"/>
          </w:rPr>
          <w:t xml:space="preserve"> </w:t>
        </w:r>
        <w:r>
          <w:rPr>
            <w:rStyle w:val="VerbatimChar"/>
          </w:rPr>
          <w:t xml:space="preserve">code</w:t>
        </w:r>
      </w:hyperlink>
    </w:p>
    <w:p>
      <w:pPr>
        <w:pStyle w:val="FirstParagraph"/>
      </w:pPr>
      <w:r>
        <w:drawing>
          <wp:inline>
            <wp:extent cx="5334000" cy="3012314"/>
            <wp:effectExtent b="0" l="0" r="0" t="0"/>
            <wp:docPr descr="" title="" id="835" name="Picture"/>
            <a:graphic>
              <a:graphicData uri="http://schemas.openxmlformats.org/drawingml/2006/picture">
                <pic:pic>
                  <pic:nvPicPr>
                    <pic:cNvPr descr="figures/apps/map.png" id="836" name="Picture"/>
                    <pic:cNvPicPr>
                      <a:picLocks noChangeArrowheads="1" noChangeAspect="1"/>
                    </pic:cNvPicPr>
                  </pic:nvPicPr>
                  <pic:blipFill>
                    <a:blip r:embed="rId834"/>
                    <a:stretch>
                      <a:fillRect/>
                    </a:stretch>
                  </pic:blipFill>
                  <pic:spPr bwMode="auto">
                    <a:xfrm>
                      <a:off x="0" y="0"/>
                      <a:ext cx="5334000" cy="3012314"/>
                    </a:xfrm>
                    <a:prstGeom prst="rect">
                      <a:avLst/>
                    </a:prstGeom>
                    <a:noFill/>
                    <a:ln w="9525">
                      <a:noFill/>
                      <a:headEnd/>
                      <a:tailEnd/>
                    </a:ln>
                  </pic:spPr>
                </pic:pic>
              </a:graphicData>
            </a:graphic>
          </wp:inline>
        </w:drawing>
      </w:r>
    </w:p>
    <w:bookmarkEnd w:id="837"/>
    <w:bookmarkStart w:id="842" w:name="scores-explorer"/>
    <w:p>
      <w:pPr>
        <w:pStyle w:val="Heading1"/>
      </w:pPr>
      <w:r>
        <w:t xml:space="preserve">Scores Explorer</w:t>
      </w:r>
    </w:p>
    <w:p>
      <w:pPr>
        <w:pStyle w:val="FirstParagraph"/>
      </w:pPr>
      <w:r>
        <w:t xml:space="preserve">Calculate scores based on sensitivity metric – for now, extinction risk across taxonomic groups.</w:t>
      </w:r>
    </w:p>
    <w:p>
      <w:pPr>
        <w:numPr>
          <w:ilvl w:val="0"/>
          <w:numId w:val="1078"/>
        </w:numPr>
      </w:pPr>
      <w:hyperlink r:id="rId838">
        <w:r>
          <w:rPr>
            <w:rStyle w:val="Hyperlink"/>
          </w:rPr>
          <w:t xml:space="preserve"> </w:t>
        </w:r>
        <w:r>
          <w:rPr>
            <w:rStyle w:val="Hyperlink"/>
          </w:rPr>
          <w:t xml:space="preserve">website</w:t>
        </w:r>
      </w:hyperlink>
    </w:p>
    <w:p>
      <w:pPr>
        <w:numPr>
          <w:ilvl w:val="0"/>
          <w:numId w:val="1078"/>
        </w:numPr>
      </w:pPr>
      <w:hyperlink r:id="rId713">
        <w:r>
          <w:rPr>
            <w:rStyle w:val="Hyperlink"/>
          </w:rPr>
          <w:t xml:space="preserve"> </w:t>
        </w:r>
        <w:r>
          <w:rPr>
            <w:rStyle w:val="VerbatimChar"/>
          </w:rPr>
          <w:t xml:space="preserve">code</w:t>
        </w:r>
      </w:hyperlink>
    </w:p>
    <w:p>
      <w:pPr>
        <w:pStyle w:val="FirstParagraph"/>
      </w:pPr>
      <w:r>
        <w:drawing>
          <wp:inline>
            <wp:extent cx="5334000" cy="3018971"/>
            <wp:effectExtent b="0" l="0" r="0" t="0"/>
            <wp:docPr descr="" title="" id="840" name="Picture"/>
            <a:graphic>
              <a:graphicData uri="http://schemas.openxmlformats.org/drawingml/2006/picture">
                <pic:pic>
                  <pic:nvPicPr>
                    <pic:cNvPr descr="figures/apps/scores_0.png" id="841" name="Picture"/>
                    <pic:cNvPicPr>
                      <a:picLocks noChangeArrowheads="1" noChangeAspect="1"/>
                    </pic:cNvPicPr>
                  </pic:nvPicPr>
                  <pic:blipFill>
                    <a:blip r:embed="rId839"/>
                    <a:stretch>
                      <a:fillRect/>
                    </a:stretch>
                  </pic:blipFill>
                  <pic:spPr bwMode="auto">
                    <a:xfrm>
                      <a:off x="0" y="0"/>
                      <a:ext cx="5334000" cy="3018971"/>
                    </a:xfrm>
                    <a:prstGeom prst="rect">
                      <a:avLst/>
                    </a:prstGeom>
                    <a:noFill/>
                    <a:ln w="9525">
                      <a:noFill/>
                      <a:headEnd/>
                      <a:tailEnd/>
                    </a:ln>
                  </pic:spPr>
                </pic:pic>
              </a:graphicData>
            </a:graphic>
          </wp:inline>
        </w:drawing>
      </w:r>
    </w:p>
    <w:bookmarkEnd w:id="842"/>
    <w:bookmarkStart w:id="848" w:name="distributions-vector"/>
    <w:p>
      <w:pPr>
        <w:pStyle w:val="Heading1"/>
      </w:pPr>
      <w:r>
        <w:t xml:space="preserve">Distributions, Vector</w:t>
      </w:r>
    </w:p>
    <w:p>
      <w:pPr>
        <w:pStyle w:val="FirstParagraph"/>
      </w:pPr>
      <w:r>
        <w:t xml:space="preserve">Show species distributions with high resolution vectors (as vector tiles).</w:t>
      </w:r>
    </w:p>
    <w:p>
      <w:pPr>
        <w:numPr>
          <w:ilvl w:val="0"/>
          <w:numId w:val="1079"/>
        </w:numPr>
      </w:pPr>
      <w:hyperlink r:id="rId843">
        <w:r>
          <w:rPr>
            <w:rStyle w:val="Hyperlink"/>
          </w:rPr>
          <w:t xml:space="preserve"> </w:t>
        </w:r>
        <w:r>
          <w:rPr>
            <w:rStyle w:val="Hyperlink"/>
          </w:rPr>
          <w:t xml:space="preserve">website</w:t>
        </w:r>
      </w:hyperlink>
    </w:p>
    <w:p>
      <w:pPr>
        <w:numPr>
          <w:ilvl w:val="0"/>
          <w:numId w:val="1079"/>
        </w:numPr>
      </w:pPr>
      <w:hyperlink r:id="rId844">
        <w:r>
          <w:rPr>
            <w:rStyle w:val="Hyperlink"/>
          </w:rPr>
          <w:t xml:space="preserve"> </w:t>
        </w:r>
        <w:r>
          <w:rPr>
            <w:rStyle w:val="VerbatimChar"/>
          </w:rPr>
          <w:t xml:space="preserve">code</w:t>
        </w:r>
      </w:hyperlink>
    </w:p>
    <w:p>
      <w:pPr>
        <w:pStyle w:val="FirstParagraph"/>
      </w:pPr>
      <w:r>
        <w:drawing>
          <wp:inline>
            <wp:extent cx="5334000" cy="2983171"/>
            <wp:effectExtent b="0" l="0" r="0" t="0"/>
            <wp:docPr descr="" title="" id="846" name="Picture"/>
            <a:graphic>
              <a:graphicData uri="http://schemas.openxmlformats.org/drawingml/2006/picture">
                <pic:pic>
                  <pic:nvPicPr>
                    <pic:cNvPr descr="figures/apps/sdm.png" id="847" name="Picture"/>
                    <pic:cNvPicPr>
                      <a:picLocks noChangeArrowheads="1" noChangeAspect="1"/>
                    </pic:cNvPicPr>
                  </pic:nvPicPr>
                  <pic:blipFill>
                    <a:blip r:embed="rId845"/>
                    <a:stretch>
                      <a:fillRect/>
                    </a:stretch>
                  </pic:blipFill>
                  <pic:spPr bwMode="auto">
                    <a:xfrm>
                      <a:off x="0" y="0"/>
                      <a:ext cx="5334000" cy="2983171"/>
                    </a:xfrm>
                    <a:prstGeom prst="rect">
                      <a:avLst/>
                    </a:prstGeom>
                    <a:noFill/>
                    <a:ln w="9525">
                      <a:noFill/>
                      <a:headEnd/>
                      <a:tailEnd/>
                    </a:ln>
                  </pic:spPr>
                </pic:pic>
              </a:graphicData>
            </a:graphic>
          </wp:inline>
        </w:drawing>
      </w:r>
    </w:p>
    <w:bookmarkEnd w:id="848"/>
    <w:bookmarkStart w:id="854" w:name="distributions-raster"/>
    <w:p>
      <w:pPr>
        <w:pStyle w:val="Heading1"/>
      </w:pPr>
      <w:r>
        <w:t xml:space="preserve">Distributions, Raster</w:t>
      </w:r>
    </w:p>
    <w:p>
      <w:pPr>
        <w:pStyle w:val="FirstParagraph"/>
      </w:pPr>
      <w:r>
        <w:t xml:space="preserve">Show species distributions with high resolution rasters as cloud-optimized GeoTIFFs (COGs).</w:t>
      </w:r>
    </w:p>
    <w:p>
      <w:pPr>
        <w:numPr>
          <w:ilvl w:val="0"/>
          <w:numId w:val="1080"/>
        </w:numPr>
      </w:pPr>
      <w:hyperlink r:id="rId849">
        <w:r>
          <w:rPr>
            <w:rStyle w:val="Hyperlink"/>
          </w:rPr>
          <w:t xml:space="preserve"> </w:t>
        </w:r>
        <w:r>
          <w:rPr>
            <w:rStyle w:val="Hyperlink"/>
          </w:rPr>
          <w:t xml:space="preserve">website</w:t>
        </w:r>
      </w:hyperlink>
    </w:p>
    <w:p>
      <w:pPr>
        <w:numPr>
          <w:ilvl w:val="0"/>
          <w:numId w:val="1080"/>
        </w:numPr>
      </w:pPr>
      <w:hyperlink r:id="rId850">
        <w:r>
          <w:rPr>
            <w:rStyle w:val="Hyperlink"/>
          </w:rPr>
          <w:t xml:space="preserve"> </w:t>
        </w:r>
        <w:r>
          <w:rPr>
            <w:rStyle w:val="VerbatimChar"/>
          </w:rPr>
          <w:t xml:space="preserve">code</w:t>
        </w:r>
      </w:hyperlink>
    </w:p>
    <w:p>
      <w:pPr>
        <w:pStyle w:val="FirstParagraph"/>
      </w:pPr>
      <w:r>
        <w:drawing>
          <wp:inline>
            <wp:extent cx="5334000" cy="2951752"/>
            <wp:effectExtent b="0" l="0" r="0" t="0"/>
            <wp:docPr descr="" title="" id="852" name="Picture"/>
            <a:graphic>
              <a:graphicData uri="http://schemas.openxmlformats.org/drawingml/2006/picture">
                <pic:pic>
                  <pic:nvPicPr>
                    <pic:cNvPr descr="figures/apps/sdm-cog.png" id="853" name="Picture"/>
                    <pic:cNvPicPr>
                      <a:picLocks noChangeArrowheads="1" noChangeAspect="1"/>
                    </pic:cNvPicPr>
                  </pic:nvPicPr>
                  <pic:blipFill>
                    <a:blip r:embed="rId851"/>
                    <a:stretch>
                      <a:fillRect/>
                    </a:stretch>
                  </pic:blipFill>
                  <pic:spPr bwMode="auto">
                    <a:xfrm>
                      <a:off x="0" y="0"/>
                      <a:ext cx="5334000" cy="2951752"/>
                    </a:xfrm>
                    <a:prstGeom prst="rect">
                      <a:avLst/>
                    </a:prstGeom>
                    <a:noFill/>
                    <a:ln w="9525">
                      <a:noFill/>
                      <a:headEnd/>
                      <a:tailEnd/>
                    </a:ln>
                  </pic:spPr>
                </pic:pic>
              </a:graphicData>
            </a:graphic>
          </wp:inline>
        </w:drawing>
      </w:r>
    </w:p>
    <w:bookmarkEnd w:id="854"/>
    <w:bookmarkStart w:id="860" w:name="vulnerability-mapper"/>
    <w:p>
      <w:pPr>
        <w:pStyle w:val="Heading1"/>
      </w:pPr>
      <w:r>
        <w:t xml:space="preserve">Vulnerability Mapper</w:t>
      </w:r>
    </w:p>
    <w:p>
      <w:pPr>
        <w:pStyle w:val="FirstParagraph"/>
      </w:pPr>
      <w:r>
        <w:t xml:space="preserve">Combine species distribution models (raster) and vulnerability metrics (tables) to identify areas of high conservation concern.</w:t>
      </w:r>
    </w:p>
    <w:p>
      <w:pPr>
        <w:numPr>
          <w:ilvl w:val="0"/>
          <w:numId w:val="1081"/>
        </w:numPr>
      </w:pPr>
      <w:hyperlink r:id="rId855">
        <w:r>
          <w:rPr>
            <w:rStyle w:val="Hyperlink"/>
          </w:rPr>
          <w:t xml:space="preserve"> </w:t>
        </w:r>
        <w:r>
          <w:rPr>
            <w:rStyle w:val="Hyperlink"/>
          </w:rPr>
          <w:t xml:space="preserve">website</w:t>
        </w:r>
      </w:hyperlink>
    </w:p>
    <w:p>
      <w:pPr>
        <w:numPr>
          <w:ilvl w:val="0"/>
          <w:numId w:val="1081"/>
        </w:numPr>
      </w:pPr>
      <w:hyperlink r:id="rId856">
        <w:r>
          <w:rPr>
            <w:rStyle w:val="Hyperlink"/>
          </w:rPr>
          <w:t xml:space="preserve"> </w:t>
        </w:r>
        <w:r>
          <w:rPr>
            <w:rStyle w:val="VerbatimChar"/>
          </w:rPr>
          <w:t xml:space="preserve">code</w:t>
        </w:r>
      </w:hyperlink>
    </w:p>
    <w:p>
      <w:pPr>
        <w:pStyle w:val="FirstParagraph"/>
      </w:pPr>
      <w:r>
        <w:drawing>
          <wp:inline>
            <wp:extent cx="5334000" cy="2955021"/>
            <wp:effectExtent b="0" l="0" r="0" t="0"/>
            <wp:docPr descr="" title="" id="858" name="Picture"/>
            <a:graphic>
              <a:graphicData uri="http://schemas.openxmlformats.org/drawingml/2006/picture">
                <pic:pic>
                  <pic:nvPicPr>
                    <pic:cNvPr descr="figures/apps/vmap.png" id="859" name="Picture"/>
                    <pic:cNvPicPr>
                      <a:picLocks noChangeArrowheads="1" noChangeAspect="1"/>
                    </pic:cNvPicPr>
                  </pic:nvPicPr>
                  <pic:blipFill>
                    <a:blip r:embed="rId857"/>
                    <a:stretch>
                      <a:fillRect/>
                    </a:stretch>
                  </pic:blipFill>
                  <pic:spPr bwMode="auto">
                    <a:xfrm>
                      <a:off x="0" y="0"/>
                      <a:ext cx="5334000" cy="2955021"/>
                    </a:xfrm>
                    <a:prstGeom prst="rect">
                      <a:avLst/>
                    </a:prstGeom>
                    <a:noFill/>
                    <a:ln w="9525">
                      <a:noFill/>
                      <a:headEnd/>
                      <a:tailEnd/>
                    </a:ln>
                  </pic:spPr>
                </pic:pic>
              </a:graphicData>
            </a:graphic>
          </wp:inline>
        </w:drawing>
      </w:r>
    </w:p>
    <w:bookmarkEnd w:id="8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0" Target="media/rId100.png" /><Relationship Type="http://schemas.openxmlformats.org/officeDocument/2006/relationships/image" Id="rId13" Target="media/rId13.png" /><Relationship Type="http://schemas.openxmlformats.org/officeDocument/2006/relationships/image" Id="rId113" Target="media/rId113.png" /><Relationship Type="http://schemas.openxmlformats.org/officeDocument/2006/relationships/image" Id="rId54" Target="media/rId54.png" /><Relationship Type="http://schemas.openxmlformats.org/officeDocument/2006/relationships/image" Id="rId433" Target="media/rId433.png" /><Relationship Type="http://schemas.openxmlformats.org/officeDocument/2006/relationships/image" Id="rId468" Target="media/rId468.png" /><Relationship Type="http://schemas.openxmlformats.org/officeDocument/2006/relationships/image" Id="rId737" Target="media/rId737.png" /><Relationship Type="http://schemas.openxmlformats.org/officeDocument/2006/relationships/image" Id="rId742" Target="media/rId742.png" /><Relationship Type="http://schemas.openxmlformats.org/officeDocument/2006/relationships/image" Id="rId747" Target="media/rId747.png" /><Relationship Type="http://schemas.openxmlformats.org/officeDocument/2006/relationships/image" Id="rId752" Target="media/rId752.png" /><Relationship Type="http://schemas.openxmlformats.org/officeDocument/2006/relationships/image" Id="rId757" Target="media/rId757.png" /><Relationship Type="http://schemas.openxmlformats.org/officeDocument/2006/relationships/image" Id="rId762" Target="media/rId762.png" /><Relationship Type="http://schemas.openxmlformats.org/officeDocument/2006/relationships/image" Id="rId767" Target="media/rId767.png" /><Relationship Type="http://schemas.openxmlformats.org/officeDocument/2006/relationships/image" Id="rId772" Target="media/rId772.png" /><Relationship Type="http://schemas.openxmlformats.org/officeDocument/2006/relationships/image" Id="rId777" Target="media/rId777.png" /><Relationship Type="http://schemas.openxmlformats.org/officeDocument/2006/relationships/image" Id="rId782" Target="media/rId782.png" /><Relationship Type="http://schemas.openxmlformats.org/officeDocument/2006/relationships/image" Id="rId787" Target="media/rId787.png" /><Relationship Type="http://schemas.openxmlformats.org/officeDocument/2006/relationships/image" Id="rId793" Target="media/rId793.png" /><Relationship Type="http://schemas.openxmlformats.org/officeDocument/2006/relationships/image" Id="rId798" Target="media/rId798.png" /><Relationship Type="http://schemas.openxmlformats.org/officeDocument/2006/relationships/image" Id="rId803" Target="media/rId803.png" /><Relationship Type="http://schemas.openxmlformats.org/officeDocument/2006/relationships/image" Id="rId808" Target="media/rId808.png" /><Relationship Type="http://schemas.openxmlformats.org/officeDocument/2006/relationships/image" Id="rId813" Target="media/rId813.png" /><Relationship Type="http://schemas.openxmlformats.org/officeDocument/2006/relationships/image" Id="rId822" Target="media/rId822.png" /><Relationship Type="http://schemas.openxmlformats.org/officeDocument/2006/relationships/image" Id="rId828" Target="media/rId828.png" /><Relationship Type="http://schemas.openxmlformats.org/officeDocument/2006/relationships/image" Id="rId834" Target="media/rId834.png" /><Relationship Type="http://schemas.openxmlformats.org/officeDocument/2006/relationships/image" Id="rId701" Target="media/rId701.png" /><Relationship Type="http://schemas.openxmlformats.org/officeDocument/2006/relationships/image" Id="rId697" Target="media/rId697.png" /><Relationship Type="http://schemas.openxmlformats.org/officeDocument/2006/relationships/image" Id="rId839" Target="media/rId839.png" /><Relationship Type="http://schemas.openxmlformats.org/officeDocument/2006/relationships/image" Id="rId851" Target="media/rId851.png" /><Relationship Type="http://schemas.openxmlformats.org/officeDocument/2006/relationships/image" Id="rId845" Target="media/rId845.png" /><Relationship Type="http://schemas.openxmlformats.org/officeDocument/2006/relationships/image" Id="rId719" Target="media/rId719.png" /><Relationship Type="http://schemas.openxmlformats.org/officeDocument/2006/relationships/image" Id="rId857" Target="media/rId857.png" /><Relationship Type="http://schemas.openxmlformats.org/officeDocument/2006/relationships/image" Id="rId569" Target="media/rId569.png" /><Relationship Type="http://schemas.openxmlformats.org/officeDocument/2006/relationships/image" Id="rId574" Target="media/rId574.png" /><Relationship Type="http://schemas.openxmlformats.org/officeDocument/2006/relationships/image" Id="rId579" Target="media/rId579.png" /><Relationship Type="http://schemas.openxmlformats.org/officeDocument/2006/relationships/image" Id="rId584" Target="media/rId584.png" /><Relationship Type="http://schemas.openxmlformats.org/officeDocument/2006/relationships/image" Id="rId590" Target="media/rId590.png" /><Relationship Type="http://schemas.openxmlformats.org/officeDocument/2006/relationships/image" Id="rId595" Target="media/rId595.png" /><Relationship Type="http://schemas.openxmlformats.org/officeDocument/2006/relationships/image" Id="rId601" Target="media/rId601.png" /><Relationship Type="http://schemas.openxmlformats.org/officeDocument/2006/relationships/image" Id="rId607" Target="media/rId607.png" /><Relationship Type="http://schemas.openxmlformats.org/officeDocument/2006/relationships/image" Id="rId613" Target="media/rId613.png" /><Relationship Type="http://schemas.openxmlformats.org/officeDocument/2006/relationships/image" Id="rId619" Target="media/rId619.png" /><Relationship Type="http://schemas.openxmlformats.org/officeDocument/2006/relationships/image" Id="rId624" Target="media/rId624.png" /><Relationship Type="http://schemas.openxmlformats.org/officeDocument/2006/relationships/image" Id="rId630" Target="media/rId630.png" /><Relationship Type="http://schemas.openxmlformats.org/officeDocument/2006/relationships/image" Id="rId635" Target="media/rId635.png" /><Relationship Type="http://schemas.openxmlformats.org/officeDocument/2006/relationships/image" Id="rId640" Target="media/rId640.png" /><Relationship Type="http://schemas.openxmlformats.org/officeDocument/2006/relationships/image" Id="rId273" Target="media/rId273.png" /><Relationship Type="http://schemas.openxmlformats.org/officeDocument/2006/relationships/image" Id="rId295" Target="media/rId295.png" /><Relationship Type="http://schemas.openxmlformats.org/officeDocument/2006/relationships/image" Id="rId354" Target="media/rId354.png" /><Relationship Type="http://schemas.openxmlformats.org/officeDocument/2006/relationships/image" Id="rId122" Target="media/rId122.png" /><Relationship Type="http://schemas.openxmlformats.org/officeDocument/2006/relationships/image" Id="rId16" Target="media/rId16.svg" /><Relationship Type="http://schemas.openxmlformats.org/officeDocument/2006/relationships/image" Id="rId396" Target="media/rId396.png" /><Relationship Type="http://schemas.openxmlformats.org/officeDocument/2006/relationships/image" Id="rId401" Target="media/rId401.png" /><Relationship Type="http://schemas.openxmlformats.org/officeDocument/2006/relationships/image" Id="rId389" Target="media/rId389.png" /><Relationship Type="http://schemas.openxmlformats.org/officeDocument/2006/relationships/image" Id="rId278" Target="media/rId278.png" /><Relationship Type="http://schemas.openxmlformats.org/officeDocument/2006/relationships/image" Id="rId282" Target="media/rId282.png" /><Relationship Type="http://schemas.openxmlformats.org/officeDocument/2006/relationships/image" Id="rId175" Target="media/rId175.jpg" /><Relationship Type="http://schemas.openxmlformats.org/officeDocument/2006/relationships/image" Id="rId519" Target="media/rId519.png" /><Relationship Type="http://schemas.openxmlformats.org/officeDocument/2006/relationships/image" Id="rId535" Target="media/rId535.png" /><Relationship Type="http://schemas.openxmlformats.org/officeDocument/2006/relationships/image" Id="rId505" Target="media/rId505.png" /><Relationship Type="http://schemas.openxmlformats.org/officeDocument/2006/relationships/image" Id="rId490" Target="media/rId490.png" /><Relationship Type="http://schemas.openxmlformats.org/officeDocument/2006/relationships/image" Id="rId515" Target="media/rId515.png" /><Relationship Type="http://schemas.openxmlformats.org/officeDocument/2006/relationships/image" Id="rId548" Target="media/rId548.png" /><Relationship Type="http://schemas.openxmlformats.org/officeDocument/2006/relationships/image" Id="rId544" Target="media/rId544.png" /><Relationship Type="http://schemas.openxmlformats.org/officeDocument/2006/relationships/image" Id="rId526" Target="media/rId526.png" /><Relationship Type="http://schemas.openxmlformats.org/officeDocument/2006/relationships/image" Id="rId530" Target="media/rId530.png" /><Relationship Type="http://schemas.openxmlformats.org/officeDocument/2006/relationships/image" Id="rId510" Target="media/rId510.png" /><Relationship Type="http://schemas.openxmlformats.org/officeDocument/2006/relationships/image" Id="rId539" Target="media/rId539.png" /><Relationship Type="http://schemas.openxmlformats.org/officeDocument/2006/relationships/image" Id="rId557" Target="media/rId557.png" /><Relationship Type="http://schemas.openxmlformats.org/officeDocument/2006/relationships/image" Id="rId494" Target="media/rId494.png" /><Relationship Type="http://schemas.openxmlformats.org/officeDocument/2006/relationships/image" Id="rId498" Target="media/rId498.png" /><Relationship Type="http://schemas.openxmlformats.org/officeDocument/2006/relationships/image" Id="rId9" Target="media/rId9.svg" /><Relationship Type="http://schemas.openxmlformats.org/officeDocument/2006/relationships/image" Id="rId41" Target="media/rId41.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47" Target="media/rId47.png" /><Relationship Type="http://schemas.openxmlformats.org/officeDocument/2006/relationships/image" Id="rId228" Target="media/rId228.png" /><Relationship Type="http://schemas.openxmlformats.org/officeDocument/2006/relationships/image" Id="rId315" Target="media/rId315.png" /><Relationship Type="http://schemas.openxmlformats.org/officeDocument/2006/relationships/image" Id="rId307" Target="media/rId307.png" /><Relationship Type="http://schemas.openxmlformats.org/officeDocument/2006/relationships/image" Id="rId332" Target="media/rId332.png" /><Relationship Type="http://schemas.openxmlformats.org/officeDocument/2006/relationships/image" Id="rId327" Target="media/rId327.png" /><Relationship Type="http://schemas.openxmlformats.org/officeDocument/2006/relationships/image" Id="rId321" Target="media/rId321.png" /><Relationship Type="http://schemas.openxmlformats.org/officeDocument/2006/relationships/hyperlink" Id="rId563" Target="../apps-guide.qmd" TargetMode="External" /><Relationship Type="http://schemas.openxmlformats.org/officeDocument/2006/relationships/hyperlink" Id="rId692" Target="MarineBON.org" TargetMode="External" /><Relationship Type="http://schemas.openxmlformats.org/officeDocument/2006/relationships/hyperlink" Id="rId480" Target="apps-guide.qmd" TargetMode="External" /><Relationship Type="http://schemas.openxmlformats.org/officeDocument/2006/relationships/hyperlink" Id="rId483" Target="apps/shiny-guide.qmd" TargetMode="External" /><Relationship Type="http://schemas.openxmlformats.org/officeDocument/2006/relationships/hyperlink" Id="rId155" Target="http://datazone.birdlife.org/species/requestdis" TargetMode="External" /><Relationship Type="http://schemas.openxmlformats.org/officeDocument/2006/relationships/hyperlink" Id="rId174" Target="http://sites.science.oregonstate.edu/ocean.productivity" TargetMode="External" /><Relationship Type="http://schemas.openxmlformats.org/officeDocument/2006/relationships/hyperlink" Id="rId659" Target="https://CRAN.R-project.org/package=shiny" TargetMode="External" /><Relationship Type="http://schemas.openxmlformats.org/officeDocument/2006/relationships/hyperlink" Id="rId383" Target="https://account.squarespace.com/domains" TargetMode="External" /><Relationship Type="http://schemas.openxmlformats.org/officeDocument/2006/relationships/hyperlink" Id="rId395" Target="https://api.marinesensitivity.org" TargetMode="External" /><Relationship Type="http://schemas.openxmlformats.org/officeDocument/2006/relationships/hyperlink" Id="rId38" Target="https://boem.gov" TargetMode="External" /><Relationship Type="http://schemas.openxmlformats.org/officeDocument/2006/relationships/hyperlink" Id="rId445" Target="https://books.ropensci.org/targets/" TargetMode="External" /><Relationship Type="http://schemas.openxmlformats.org/officeDocument/2006/relationships/hyperlink" Id="rId365" Target="https://caddyserver.com" TargetMode="External" /><Relationship Type="http://schemas.openxmlformats.org/officeDocument/2006/relationships/hyperlink" Id="rId304" Target="https://developmentseed.org/titiler/" TargetMode="External" /><Relationship Type="http://schemas.openxmlformats.org/officeDocument/2006/relationships/hyperlink" Id="rId372" Target="https://docs.aws.amazon.com/AWSEC2/latest/UserGuide/ebs-using-volumes.html" TargetMode="External" /><Relationship Type="http://schemas.openxmlformats.org/officeDocument/2006/relationships/hyperlink" Id="rId370" Target="https://docs.aws.amazon.com/AWSEC2/latest/UserGuide/set-hostname.html" TargetMode="External" /><Relationship Type="http://schemas.openxmlformats.org/officeDocument/2006/relationships/hyperlink" Id="rId379" Target="https://docs.aws.amazon.com/AWSEC2/latest/UserGuide/snapshot-ami-policy.html#create-snap-policy" TargetMode="External" /><Relationship Type="http://schemas.openxmlformats.org/officeDocument/2006/relationships/hyperlink" Id="rId384" Target="https://docs.github.com/en/pages/configuring-a-custom-domain-for-your-github-pages-site/managing-a-custom-domain-for-your-github-pages-site" TargetMode="External" /><Relationship Type="http://schemas.openxmlformats.org/officeDocument/2006/relationships/hyperlink" Id="rId675" Target="https://doi.org/10.1002/ece3.70030" TargetMode="External" /><Relationship Type="http://schemas.openxmlformats.org/officeDocument/2006/relationships/hyperlink" Id="rId663" Target="https://doi.org/10.1038/nature11397" TargetMode="External" /><Relationship Type="http://schemas.openxmlformats.org/officeDocument/2006/relationships/hyperlink" Id="rId671" Target="https://doi.org/10.1038/s41559-017-0160" TargetMode="External" /><Relationship Type="http://schemas.openxmlformats.org/officeDocument/2006/relationships/hyperlink" Id="rId673" Target="https://doi.org/10.1038/s41559-021-01432-0" TargetMode="External" /><Relationship Type="http://schemas.openxmlformats.org/officeDocument/2006/relationships/hyperlink" Id="rId688" Target="https://doi.org/10.1038/sdata.2016.18" TargetMode="External" /><Relationship Type="http://schemas.openxmlformats.org/officeDocument/2006/relationships/hyperlink" Id="rId661" Target="https://doi.org/10.1080/09640568.2014.973483" TargetMode="External" /><Relationship Type="http://schemas.openxmlformats.org/officeDocument/2006/relationships/hyperlink" Id="rId665" Target="https://doi.org/10.1111/j.1523-1739.2007.00752.x" TargetMode="External" /><Relationship Type="http://schemas.openxmlformats.org/officeDocument/2006/relationships/hyperlink" Id="rId657" Target="https://doi.org/10.1371/journal.pbio.0020383" TargetMode="External" /><Relationship Type="http://schemas.openxmlformats.org/officeDocument/2006/relationships/hyperlink" Id="rId655" Target="https://doi.org/10.1371/journal.pone.0000140" TargetMode="External" /><Relationship Type="http://schemas.openxmlformats.org/officeDocument/2006/relationships/hyperlink" Id="rId677" Target="https://doi.org/10.1371/journal.pone.0003700" TargetMode="External" /><Relationship Type="http://schemas.openxmlformats.org/officeDocument/2006/relationships/hyperlink" Id="rId667" Target="https://doi.org/10.1371/journal.pone.0146756" TargetMode="External" /><Relationship Type="http://schemas.openxmlformats.org/officeDocument/2006/relationships/hyperlink" Id="rId137" Target="https://doi.org/10.1371/journal.pone.0335823" TargetMode="External" /><Relationship Type="http://schemas.openxmlformats.org/officeDocument/2006/relationships/hyperlink" Id="rId686" Target="https://doi.org/10.3354/esr01243" TargetMode="External" /><Relationship Type="http://schemas.openxmlformats.org/officeDocument/2006/relationships/hyperlink" Id="rId653" Target="https://doi.org/10.4319/lo.1997.42.1.0001" TargetMode="External" /><Relationship Type="http://schemas.openxmlformats.org/officeDocument/2006/relationships/hyperlink" Id="rId376" Target="https://drive.google.com/open?id=17B3djETDU8SVwGvJdZ3rp7TKtX8w0cfl&amp;usp=drive_fs" TargetMode="External" /><Relationship Type="http://schemas.openxmlformats.org/officeDocument/2006/relationships/hyperlink" Id="rId302" Target="https://duckdb.org" TargetMode="External" /><Relationship Type="http://schemas.openxmlformats.org/officeDocument/2006/relationships/hyperlink" Id="rId150" Target="https://ecos.fws.gov/docs/crithab/crithab_all/crithab_all_layers.zip" TargetMode="External" /><Relationship Type="http://schemas.openxmlformats.org/officeDocument/2006/relationships/hyperlink" Id="rId153" Target="https://ecos.fws.gov/docs/species/shapefiles/usfws_complete_species_current_range.zip" TargetMode="External" /><Relationship Type="http://schemas.openxmlformats.org/officeDocument/2006/relationships/hyperlink" Id="rId149" Target="https://ecos.fws.gov/ecp/report/table/critical-habitat.html" TargetMode="External" /><Relationship Type="http://schemas.openxmlformats.org/officeDocument/2006/relationships/hyperlink" Id="rId152" Target="https://ecos.fws.gov/ecp/species-reports" TargetMode="External" /><Relationship Type="http://schemas.openxmlformats.org/officeDocument/2006/relationships/hyperlink" Id="rId393" Target="https://file.marinesensitivity.org" TargetMode="External" /><Relationship Type="http://schemas.openxmlformats.org/officeDocument/2006/relationships/hyperlink" Id="rId325" Target="https://github.com/CrunchyData/pg_tileserv" TargetMode="External" /><Relationship Type="http://schemas.openxmlformats.org/officeDocument/2006/relationships/hyperlink" Id="rId305" Target="https://github.com/MarineSensitivities/msens" TargetMode="External" /><Relationship Type="http://schemas.openxmlformats.org/officeDocument/2006/relationships/hyperlink" Id="rId338" Target="https://github.com/MarineSensitivity/.github" TargetMode="External" /><Relationship Type="http://schemas.openxmlformats.org/officeDocument/2006/relationships/hyperlink" Id="rId346" Target="https://github.com/MarineSensitivity/MarineSensitivity.github.io" TargetMode="External" /><Relationship Type="http://schemas.openxmlformats.org/officeDocument/2006/relationships/hyperlink" Id="rId339" Target="https://github.com/MarineSensitivity/analytics" TargetMode="External" /><Relationship Type="http://schemas.openxmlformats.org/officeDocument/2006/relationships/hyperlink" Id="rId340" Target="https://github.com/MarineSensitivity/api" TargetMode="External" /><Relationship Type="http://schemas.openxmlformats.org/officeDocument/2006/relationships/hyperlink" Id="rId467" Target="https://github.com/MarineSensitivity/api/blob/main/plumber.R" TargetMode="External" /><Relationship Type="http://schemas.openxmlformats.org/officeDocument/2006/relationships/hyperlink" Id="rId341" Target="https://github.com/MarineSensitivity/app" TargetMode="External" /><Relationship Type="http://schemas.openxmlformats.org/officeDocument/2006/relationships/hyperlink" Id="rId342" Target="https://github.com/MarineSensitivity/apps" TargetMode="External" /><Relationship Type="http://schemas.openxmlformats.org/officeDocument/2006/relationships/hyperlink" Id="rId821" Target="https://github.com/MarineSensitivity/apps/tree/main/aoi" TargetMode="External" /><Relationship Type="http://schemas.openxmlformats.org/officeDocument/2006/relationships/hyperlink" Id="rId827" Target="https://github.com/MarineSensitivity/apps/tree/main/bird_hotspots" TargetMode="External" /><Relationship Type="http://schemas.openxmlformats.org/officeDocument/2006/relationships/hyperlink" Id="rId833" Target="https://github.com/MarineSensitivity/apps/tree/main/map" TargetMode="External" /><Relationship Type="http://schemas.openxmlformats.org/officeDocument/2006/relationships/hyperlink" Id="rId713" Target="https://github.com/MarineSensitivity/apps/tree/main/scores" TargetMode="External" /><Relationship Type="http://schemas.openxmlformats.org/officeDocument/2006/relationships/hyperlink" Id="rId844" Target="https://github.com/MarineSensitivity/apps/tree/main/sdm" TargetMode="External" /><Relationship Type="http://schemas.openxmlformats.org/officeDocument/2006/relationships/hyperlink" Id="rId850" Target="https://github.com/MarineSensitivity/apps/tree/main/sdm-cog" TargetMode="External" /><Relationship Type="http://schemas.openxmlformats.org/officeDocument/2006/relationships/hyperlink" Id="rId730" Target="https://github.com/MarineSensitivity/apps/tree/main/species" TargetMode="External" /><Relationship Type="http://schemas.openxmlformats.org/officeDocument/2006/relationships/hyperlink" Id="rId856" Target="https://github.com/MarineSensitivity/apps/tree/main/vmap" TargetMode="External" /><Relationship Type="http://schemas.openxmlformats.org/officeDocument/2006/relationships/hyperlink" Id="rId343" Target="https://github.com/MarineSensitivity/atlas" TargetMode="External" /><Relationship Type="http://schemas.openxmlformats.org/officeDocument/2006/relationships/hyperlink" Id="rId344" Target="https://github.com/MarineSensitivity/docs" TargetMode="External" /><Relationship Type="http://schemas.openxmlformats.org/officeDocument/2006/relationships/hyperlink" Id="rId345" Target="https://github.com/MarineSensitivity/manuscripts" TargetMode="External" /><Relationship Type="http://schemas.openxmlformats.org/officeDocument/2006/relationships/hyperlink" Id="rId347" Target="https://github.com/MarineSensitivity/msens" TargetMode="External" /><Relationship Type="http://schemas.openxmlformats.org/officeDocument/2006/relationships/hyperlink" Id="rId348" Target="https://github.com/MarineSensitivity/objectives" TargetMode="External" /><Relationship Type="http://schemas.openxmlformats.org/officeDocument/2006/relationships/hyperlink" Id="rId349" Target="https://github.com/MarineSensitivity/server" TargetMode="External" /><Relationship Type="http://schemas.openxmlformats.org/officeDocument/2006/relationships/hyperlink" Id="rId386" Target="https://github.com/MarineSensitivity/server/blob/main/caddy/Caddyfile" TargetMode="External" /><Relationship Type="http://schemas.openxmlformats.org/officeDocument/2006/relationships/hyperlink" Id="rId364" Target="https://github.com/MarineSensitivity/server/blob/main/docker-compose.yml" TargetMode="External" /><Relationship Type="http://schemas.openxmlformats.org/officeDocument/2006/relationships/hyperlink" Id="rId457" Target="https://github.com/MarineSensitivity/server/blob/main/titiler/factory.py" TargetMode="External" /><Relationship Type="http://schemas.openxmlformats.org/officeDocument/2006/relationships/hyperlink" Id="rId366" Target="https://github.com/MarineSensitivity/server/wiki/Server-Setup" TargetMode="External" /><Relationship Type="http://schemas.openxmlformats.org/officeDocument/2006/relationships/hyperlink" Id="rId350" Target="https://github.com/MarineSensitivity/stac-sdm" TargetMode="External" /><Relationship Type="http://schemas.openxmlformats.org/officeDocument/2006/relationships/hyperlink" Id="rId351" Target="https://github.com/MarineSensitivity/workflows" TargetMode="External" /><Relationship Type="http://schemas.openxmlformats.org/officeDocument/2006/relationships/hyperlink" Id="rId320" Target="https://github.com/mapbox/tippecanoe" TargetMode="External" /><Relationship Type="http://schemas.openxmlformats.org/officeDocument/2006/relationships/hyperlink" Id="rId553" Target="https://github.com/oceanmetrics/atlas/blob/main/docs/accessibility.md" TargetMode="External" /><Relationship Type="http://schemas.openxmlformats.org/officeDocument/2006/relationships/hyperlink" Id="rId554" Target="https://github.com/oceanmetrics/atlas/blob/main/docs/performance.md" TargetMode="External" /><Relationship Type="http://schemas.openxmlformats.org/officeDocument/2006/relationships/hyperlink" Id="rId314" Target="https://guide.cloudnativegeo.org/" TargetMode="External" /><Relationship Type="http://schemas.openxmlformats.org/officeDocument/2006/relationships/hyperlink" Id="rId161" Target="https://maps.fisheries.noaa.gov/server/rest/services/All_NMFS_Critical_Habitat/MapServer" TargetMode="External" /><Relationship Type="http://schemas.openxmlformats.org/officeDocument/2006/relationships/hyperlink" Id="rId360" Target="https://marinesensitivity.org/" TargetMode="External" /><Relationship Type="http://schemas.openxmlformats.org/officeDocument/2006/relationships/hyperlink" Id="rId86" Target="https://marinesensitivity.org/atlas/?ver=v3" TargetMode="External" /><Relationship Type="http://schemas.openxmlformats.org/officeDocument/2006/relationships/hyperlink" Id="rId361"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647" Target="https://marinesensitivity.org/faq/" TargetMode="External" /><Relationship Type="http://schemas.openxmlformats.org/officeDocument/2006/relationships/hyperlink" Id="rId362" Target="https://marinesensitivity.org/msens" TargetMode="External" /><Relationship Type="http://schemas.openxmlformats.org/officeDocument/2006/relationships/hyperlink" Id="rId459" Target="https://marinesensitivity.org/msens/reference/cell_stats.html" TargetMode="External" /><Relationship Type="http://schemas.openxmlformats.org/officeDocument/2006/relationships/hyperlink" Id="rId458" Target="https://marinesensitivity.org/msens/reference/cell_tile_url.html" TargetMode="External" /><Relationship Type="http://schemas.openxmlformats.org/officeDocument/2006/relationships/hyperlink" Id="rId292" Target="https://marinesensitivity.org/workflows/" TargetMode="External" /><Relationship Type="http://schemas.openxmlformats.org/officeDocument/2006/relationships/hyperlink" Id="rId375" Target="https://medium.com/@srijaanaparthy/step-by-step-guide-to-install-docker-on-ubuntu-in-aws-a39746e5a63d" TargetMode="External" /><Relationship Type="http://schemas.openxmlformats.org/officeDocument/2006/relationships/hyperlink" Id="rId146" Target="https://noaa.maps.arcgis.com/home/item.html?id=f66c1e33f91d480db7d1b1c1336223c3" TargetMode="External" /><Relationship Type="http://schemas.openxmlformats.org/officeDocument/2006/relationships/hyperlink" Id="rId682" Target="https://noaa.maps.arcgis.com/home/search.html?searchTerm=turtle+dps" TargetMode="External" /><Relationship Type="http://schemas.openxmlformats.org/officeDocument/2006/relationships/hyperlink" Id="rId404" Target="https://posit.co/products/open-source/rstudio-server/" TargetMode="External" /><Relationship Type="http://schemas.openxmlformats.org/officeDocument/2006/relationships/hyperlink" Id="rId24" Target="https://preview.marinesensitivity.org/v9/atlas/" TargetMode="External" /><Relationship Type="http://schemas.openxmlformats.org/officeDocument/2006/relationships/hyperlink" Id="rId21" Target="https://preview.marinesensitivity.org/v9/atlas/?lens=scores" TargetMode="External" /><Relationship Type="http://schemas.openxmlformats.org/officeDocument/2006/relationships/hyperlink" Id="rId22" Target="https://preview.marinesensitivity.org/v9/atlas/?lens=species" TargetMode="External" /><Relationship Type="http://schemas.openxmlformats.org/officeDocument/2006/relationships/hyperlink" Id="rId628" Target="https://preview.marinesensitivity.org/v9/atlas/?lens=species&amp;ui=4.l.l.380.h.n" TargetMode="External" /><Relationship Type="http://schemas.openxmlformats.org/officeDocument/2006/relationships/hyperlink" Id="rId23" Target="https://preview.marinesensitivity.org/v9/atlas/?tool=report" TargetMode="External" /><Relationship Type="http://schemas.openxmlformats.org/officeDocument/2006/relationships/hyperlink" Id="rId599" Target="https://preview.marinesensitivity.org/v9/atlas/?ui=4.d.l.380.h.n" TargetMode="External" /><Relationship Type="http://schemas.openxmlformats.org/officeDocument/2006/relationships/hyperlink" Id="rId588" Target="https://preview.marinesensitivity.org/v9/atlas/?ui=4.l.l.380.h.n" TargetMode="External" /><Relationship Type="http://schemas.openxmlformats.org/officeDocument/2006/relationships/hyperlink" Id="rId611" Target="https://preview.marinesensitivity.org/v9/atlas/?ui=4.r.l.380.h.n" TargetMode="External" /><Relationship Type="http://schemas.openxmlformats.org/officeDocument/2006/relationships/hyperlink" Id="rId605" Target="https://preview.marinesensitivity.org/v9/atlas/?ui=4.t.l.380.h.n" TargetMode="External" /><Relationship Type="http://schemas.openxmlformats.org/officeDocument/2006/relationships/hyperlink" Id="rId306" Target="https://protomaps.com/docs/pmtiles/" TargetMode="External" /><Relationship Type="http://schemas.openxmlformats.org/officeDocument/2006/relationships/hyperlink" Id="rId444" Target="https://quarto.org" TargetMode="External" /><Relationship Type="http://schemas.openxmlformats.org/officeDocument/2006/relationships/hyperlink" Id="rId139" Target="https://raquamaps.github.io/aquamapsdata" TargetMode="External" /><Relationship Type="http://schemas.openxmlformats.org/officeDocument/2006/relationships/hyperlink" Id="rId140" Target="https://raquamaps.github.io/aquamapsdata/articles/intro.html#data-scope-and-content-1" TargetMode="External" /><Relationship Type="http://schemas.openxmlformats.org/officeDocument/2006/relationships/hyperlink" Id="rId313" Target="https://rstudio.github.io/leaflet/articles/raster.html#large-raster-warning" TargetMode="External" /><Relationship Type="http://schemas.openxmlformats.org/officeDocument/2006/relationships/hyperlink" Id="rId400" Target="https://rstudio.marinesensitivity.org" TargetMode="External" /><Relationship Type="http://schemas.openxmlformats.org/officeDocument/2006/relationships/hyperlink" Id="rId388" Target="https://shiny.marinesensitivity.org" TargetMode="External" /><Relationship Type="http://schemas.openxmlformats.org/officeDocument/2006/relationships/hyperlink" Id="rId820" Target="https://shiny.marinesensitivity.org/aoi/" TargetMode="External" /><Relationship Type="http://schemas.openxmlformats.org/officeDocument/2006/relationships/hyperlink" Id="rId826" Target="https://shiny.marinesensitivity.org/bird_hotspots/" TargetMode="External" /><Relationship Type="http://schemas.openxmlformats.org/officeDocument/2006/relationships/hyperlink" Id="rId832" Target="https://shiny.marinesensitivity.org/map/" TargetMode="External" /><Relationship Type="http://schemas.openxmlformats.org/officeDocument/2006/relationships/hyperlink" Id="rId838" Target="https://shiny.marinesensitivity.org/scores/" TargetMode="External" /><Relationship Type="http://schemas.openxmlformats.org/officeDocument/2006/relationships/hyperlink" Id="rId849" Target="https://shiny.marinesensitivity.org/sdm-cog/" TargetMode="External" /><Relationship Type="http://schemas.openxmlformats.org/officeDocument/2006/relationships/hyperlink" Id="rId843" Target="https://shiny.marinesensitivity.org/sdm/" TargetMode="External" /><Relationship Type="http://schemas.openxmlformats.org/officeDocument/2006/relationships/hyperlink" Id="rId855" Target="https://shiny.marinesensitivity.org/vmap/" TargetMode="External" /><Relationship Type="http://schemas.openxmlformats.org/officeDocument/2006/relationships/hyperlink" Id="rId311" Target="https://shiny.posit.co" TargetMode="External" /><Relationship Type="http://schemas.openxmlformats.org/officeDocument/2006/relationships/hyperlink" Id="rId392" Target="https://shiny.posit.co/" TargetMode="External" /><Relationship Type="http://schemas.openxmlformats.org/officeDocument/2006/relationships/hyperlink" Id="rId472" Target="https://stacspec.org" TargetMode="External" /><Relationship Type="http://schemas.openxmlformats.org/officeDocument/2006/relationships/hyperlink" Id="rId394" Target="https://titiler.marinesensitivity.org" TargetMode="External" /><Relationship Type="http://schemas.openxmlformats.org/officeDocument/2006/relationships/hyperlink" Id="rId367" Target="https://us-east-1.console.aws.amazon.com/ec2/home?region=us-east-1#Addresses:" TargetMode="External" /><Relationship Type="http://schemas.openxmlformats.org/officeDocument/2006/relationships/hyperlink" Id="rId461" Target="https://varnish-cache.org"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679" Target="https://www.boem.gov/sites/default/files/environmental-stewardship/Environmental-Studies/Pacific-Region/Studies/BOEM-2018-031-Vol1.pdf" TargetMode="External" /><Relationship Type="http://schemas.openxmlformats.org/officeDocument/2006/relationships/hyperlink" Id="rId363" Target="https://www.docker.com/" TargetMode="External" /><Relationship Type="http://schemas.openxmlformats.org/officeDocument/2006/relationships/hyperlink" Id="rId34" Target="https://www.fisheries.noaa.gov" TargetMode="External" /><Relationship Type="http://schemas.openxmlformats.org/officeDocument/2006/relationships/hyperlink" Id="rId147" Target="https://www.fisheries.noaa.gov/inport/item/65207" TargetMode="External" /><Relationship Type="http://schemas.openxmlformats.org/officeDocument/2006/relationships/hyperlink" Id="rId145" Target="https://www.fisheries.noaa.gov/resource/map/national-esa-critical-habitat-mapper" TargetMode="External" /><Relationship Type="http://schemas.openxmlformats.org/officeDocument/2006/relationships/hyperlink" Id="rId143" Target="https://www.fisheries.noaa.gov/s3/2021-09/shapefile_Rices_whale_core_distribution_area_Jun19_SERO.zip" TargetMode="External" /><Relationship Type="http://schemas.openxmlformats.org/officeDocument/2006/relationships/hyperlink" Id="rId142" Target="https://www.fisheries.noaa.gov/species/rices-whale" TargetMode="External" /><Relationship Type="http://schemas.openxmlformats.org/officeDocument/2006/relationships/hyperlink" Id="rId203"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201" Target="https://www.fws.gov/law/endangered-species-act" TargetMode="External" /><Relationship Type="http://schemas.openxmlformats.org/officeDocument/2006/relationships/hyperlink" Id="rId205" Target="https://www.fws.gov/law/migratory-bird-treaty-act-1918" TargetMode="External" /><Relationship Type="http://schemas.openxmlformats.org/officeDocument/2006/relationships/hyperlink" Id="rId183" Target="https://www.gbif.org" TargetMode="External" /><Relationship Type="http://schemas.openxmlformats.org/officeDocument/2006/relationships/hyperlink" Id="rId184" Target="https://www.itis.gov" TargetMode="External" /><Relationship Type="http://schemas.openxmlformats.org/officeDocument/2006/relationships/hyperlink" Id="rId33" Target="https://www.iucnredlist.org" TargetMode="External" /><Relationship Type="http://schemas.openxmlformats.org/officeDocument/2006/relationships/hyperlink" Id="rId157" Target="https://www.iucnredlist.org/resources/spatial-data-download" TargetMode="External" /><Relationship Type="http://schemas.openxmlformats.org/officeDocument/2006/relationships/hyperlink" Id="rId182" Target="https://www.marinespecies.org" TargetMode="External" /><Relationship Type="http://schemas.openxmlformats.org/officeDocument/2006/relationships/hyperlink" Id="rId303" Target="https://www.rplumber.io" TargetMode="External" /><Relationship Type="http://schemas.openxmlformats.org/officeDocument/2006/relationships/hyperlink" Id="rId453" Target="https://www.rplumber.io/" TargetMode="External" /><Relationship Type="http://schemas.openxmlformats.org/officeDocument/2006/relationships/hyperlink" Id="rId159" Target="https://www.seaturtlestatus.org/online-map-data"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488" Target="scores.qmd" TargetMode="External" /><Relationship Type="http://schemas.openxmlformats.org/officeDocument/2006/relationships/hyperlink" Id="rId25" Target="scoring-walkthrough.qmd" TargetMode="External" /><Relationship Type="http://schemas.openxmlformats.org/officeDocument/2006/relationships/hyperlink" Id="rId489" Target="species.qmd" TargetMode="External" /></Relationships>
</file>

<file path=word/_rels/footnotes.xml.rels><?xml version="1.0" encoding="UTF-8"?><Relationships xmlns="http://schemas.openxmlformats.org/package/2006/relationships"><Relationship Type="http://schemas.openxmlformats.org/officeDocument/2006/relationships/hyperlink" Id="rId563" Target="../apps-guide.qmd" TargetMode="External" /><Relationship Type="http://schemas.openxmlformats.org/officeDocument/2006/relationships/hyperlink" Id="rId692" Target="MarineBON.org" TargetMode="External" /><Relationship Type="http://schemas.openxmlformats.org/officeDocument/2006/relationships/hyperlink" Id="rId480" Target="apps-guide.qmd" TargetMode="External" /><Relationship Type="http://schemas.openxmlformats.org/officeDocument/2006/relationships/hyperlink" Id="rId483" Target="apps/shiny-guide.qmd" TargetMode="External" /><Relationship Type="http://schemas.openxmlformats.org/officeDocument/2006/relationships/hyperlink" Id="rId155" Target="http://datazone.birdlife.org/species/requestdis" TargetMode="External" /><Relationship Type="http://schemas.openxmlformats.org/officeDocument/2006/relationships/hyperlink" Id="rId174" Target="http://sites.science.oregonstate.edu/ocean.productivity" TargetMode="External" /><Relationship Type="http://schemas.openxmlformats.org/officeDocument/2006/relationships/hyperlink" Id="rId659" Target="https://CRAN.R-project.org/package=shiny" TargetMode="External" /><Relationship Type="http://schemas.openxmlformats.org/officeDocument/2006/relationships/hyperlink" Id="rId383" Target="https://account.squarespace.com/domains" TargetMode="External" /><Relationship Type="http://schemas.openxmlformats.org/officeDocument/2006/relationships/hyperlink" Id="rId395" Target="https://api.marinesensitivity.org" TargetMode="External" /><Relationship Type="http://schemas.openxmlformats.org/officeDocument/2006/relationships/hyperlink" Id="rId38" Target="https://boem.gov" TargetMode="External" /><Relationship Type="http://schemas.openxmlformats.org/officeDocument/2006/relationships/hyperlink" Id="rId445" Target="https://books.ropensci.org/targets/" TargetMode="External" /><Relationship Type="http://schemas.openxmlformats.org/officeDocument/2006/relationships/hyperlink" Id="rId365" Target="https://caddyserver.com" TargetMode="External" /><Relationship Type="http://schemas.openxmlformats.org/officeDocument/2006/relationships/hyperlink" Id="rId304" Target="https://developmentseed.org/titiler/" TargetMode="External" /><Relationship Type="http://schemas.openxmlformats.org/officeDocument/2006/relationships/hyperlink" Id="rId372" Target="https://docs.aws.amazon.com/AWSEC2/latest/UserGuide/ebs-using-volumes.html" TargetMode="External" /><Relationship Type="http://schemas.openxmlformats.org/officeDocument/2006/relationships/hyperlink" Id="rId370" Target="https://docs.aws.amazon.com/AWSEC2/latest/UserGuide/set-hostname.html" TargetMode="External" /><Relationship Type="http://schemas.openxmlformats.org/officeDocument/2006/relationships/hyperlink" Id="rId379" Target="https://docs.aws.amazon.com/AWSEC2/latest/UserGuide/snapshot-ami-policy.html#create-snap-policy" TargetMode="External" /><Relationship Type="http://schemas.openxmlformats.org/officeDocument/2006/relationships/hyperlink" Id="rId384" Target="https://docs.github.com/en/pages/configuring-a-custom-domain-for-your-github-pages-site/managing-a-custom-domain-for-your-github-pages-site" TargetMode="External" /><Relationship Type="http://schemas.openxmlformats.org/officeDocument/2006/relationships/hyperlink" Id="rId675" Target="https://doi.org/10.1002/ece3.70030" TargetMode="External" /><Relationship Type="http://schemas.openxmlformats.org/officeDocument/2006/relationships/hyperlink" Id="rId663" Target="https://doi.org/10.1038/nature11397" TargetMode="External" /><Relationship Type="http://schemas.openxmlformats.org/officeDocument/2006/relationships/hyperlink" Id="rId671" Target="https://doi.org/10.1038/s41559-017-0160" TargetMode="External" /><Relationship Type="http://schemas.openxmlformats.org/officeDocument/2006/relationships/hyperlink" Id="rId673" Target="https://doi.org/10.1038/s41559-021-01432-0" TargetMode="External" /><Relationship Type="http://schemas.openxmlformats.org/officeDocument/2006/relationships/hyperlink" Id="rId688" Target="https://doi.org/10.1038/sdata.2016.18" TargetMode="External" /><Relationship Type="http://schemas.openxmlformats.org/officeDocument/2006/relationships/hyperlink" Id="rId661" Target="https://doi.org/10.1080/09640568.2014.973483" TargetMode="External" /><Relationship Type="http://schemas.openxmlformats.org/officeDocument/2006/relationships/hyperlink" Id="rId665" Target="https://doi.org/10.1111/j.1523-1739.2007.00752.x" TargetMode="External" /><Relationship Type="http://schemas.openxmlformats.org/officeDocument/2006/relationships/hyperlink" Id="rId657" Target="https://doi.org/10.1371/journal.pbio.0020383" TargetMode="External" /><Relationship Type="http://schemas.openxmlformats.org/officeDocument/2006/relationships/hyperlink" Id="rId655" Target="https://doi.org/10.1371/journal.pone.0000140" TargetMode="External" /><Relationship Type="http://schemas.openxmlformats.org/officeDocument/2006/relationships/hyperlink" Id="rId677" Target="https://doi.org/10.1371/journal.pone.0003700" TargetMode="External" /><Relationship Type="http://schemas.openxmlformats.org/officeDocument/2006/relationships/hyperlink" Id="rId667" Target="https://doi.org/10.1371/journal.pone.0146756" TargetMode="External" /><Relationship Type="http://schemas.openxmlformats.org/officeDocument/2006/relationships/hyperlink" Id="rId137" Target="https://doi.org/10.1371/journal.pone.0335823" TargetMode="External" /><Relationship Type="http://schemas.openxmlformats.org/officeDocument/2006/relationships/hyperlink" Id="rId686" Target="https://doi.org/10.3354/esr01243" TargetMode="External" /><Relationship Type="http://schemas.openxmlformats.org/officeDocument/2006/relationships/hyperlink" Id="rId653" Target="https://doi.org/10.4319/lo.1997.42.1.0001" TargetMode="External" /><Relationship Type="http://schemas.openxmlformats.org/officeDocument/2006/relationships/hyperlink" Id="rId376" Target="https://drive.google.com/open?id=17B3djETDU8SVwGvJdZ3rp7TKtX8w0cfl&amp;usp=drive_fs" TargetMode="External" /><Relationship Type="http://schemas.openxmlformats.org/officeDocument/2006/relationships/hyperlink" Id="rId302" Target="https://duckdb.org" TargetMode="External" /><Relationship Type="http://schemas.openxmlformats.org/officeDocument/2006/relationships/hyperlink" Id="rId150" Target="https://ecos.fws.gov/docs/crithab/crithab_all/crithab_all_layers.zip" TargetMode="External" /><Relationship Type="http://schemas.openxmlformats.org/officeDocument/2006/relationships/hyperlink" Id="rId153" Target="https://ecos.fws.gov/docs/species/shapefiles/usfws_complete_species_current_range.zip" TargetMode="External" /><Relationship Type="http://schemas.openxmlformats.org/officeDocument/2006/relationships/hyperlink" Id="rId149" Target="https://ecos.fws.gov/ecp/report/table/critical-habitat.html" TargetMode="External" /><Relationship Type="http://schemas.openxmlformats.org/officeDocument/2006/relationships/hyperlink" Id="rId152" Target="https://ecos.fws.gov/ecp/species-reports" TargetMode="External" /><Relationship Type="http://schemas.openxmlformats.org/officeDocument/2006/relationships/hyperlink" Id="rId393" Target="https://file.marinesensitivity.org" TargetMode="External" /><Relationship Type="http://schemas.openxmlformats.org/officeDocument/2006/relationships/hyperlink" Id="rId325" Target="https://github.com/CrunchyData/pg_tileserv" TargetMode="External" /><Relationship Type="http://schemas.openxmlformats.org/officeDocument/2006/relationships/hyperlink" Id="rId305" Target="https://github.com/MarineSensitivities/msens" TargetMode="External" /><Relationship Type="http://schemas.openxmlformats.org/officeDocument/2006/relationships/hyperlink" Id="rId338" Target="https://github.com/MarineSensitivity/.github" TargetMode="External" /><Relationship Type="http://schemas.openxmlformats.org/officeDocument/2006/relationships/hyperlink" Id="rId346" Target="https://github.com/MarineSensitivity/MarineSensitivity.github.io" TargetMode="External" /><Relationship Type="http://schemas.openxmlformats.org/officeDocument/2006/relationships/hyperlink" Id="rId339" Target="https://github.com/MarineSensitivity/analytics" TargetMode="External" /><Relationship Type="http://schemas.openxmlformats.org/officeDocument/2006/relationships/hyperlink" Id="rId340" Target="https://github.com/MarineSensitivity/api" TargetMode="External" /><Relationship Type="http://schemas.openxmlformats.org/officeDocument/2006/relationships/hyperlink" Id="rId467" Target="https://github.com/MarineSensitivity/api/blob/main/plumber.R" TargetMode="External" /><Relationship Type="http://schemas.openxmlformats.org/officeDocument/2006/relationships/hyperlink" Id="rId341" Target="https://github.com/MarineSensitivity/app" TargetMode="External" /><Relationship Type="http://schemas.openxmlformats.org/officeDocument/2006/relationships/hyperlink" Id="rId342" Target="https://github.com/MarineSensitivity/apps" TargetMode="External" /><Relationship Type="http://schemas.openxmlformats.org/officeDocument/2006/relationships/hyperlink" Id="rId821" Target="https://github.com/MarineSensitivity/apps/tree/main/aoi" TargetMode="External" /><Relationship Type="http://schemas.openxmlformats.org/officeDocument/2006/relationships/hyperlink" Id="rId827" Target="https://github.com/MarineSensitivity/apps/tree/main/bird_hotspots" TargetMode="External" /><Relationship Type="http://schemas.openxmlformats.org/officeDocument/2006/relationships/hyperlink" Id="rId833" Target="https://github.com/MarineSensitivity/apps/tree/main/map" TargetMode="External" /><Relationship Type="http://schemas.openxmlformats.org/officeDocument/2006/relationships/hyperlink" Id="rId713" Target="https://github.com/MarineSensitivity/apps/tree/main/scores" TargetMode="External" /><Relationship Type="http://schemas.openxmlformats.org/officeDocument/2006/relationships/hyperlink" Id="rId844" Target="https://github.com/MarineSensitivity/apps/tree/main/sdm" TargetMode="External" /><Relationship Type="http://schemas.openxmlformats.org/officeDocument/2006/relationships/hyperlink" Id="rId850" Target="https://github.com/MarineSensitivity/apps/tree/main/sdm-cog" TargetMode="External" /><Relationship Type="http://schemas.openxmlformats.org/officeDocument/2006/relationships/hyperlink" Id="rId730" Target="https://github.com/MarineSensitivity/apps/tree/main/species" TargetMode="External" /><Relationship Type="http://schemas.openxmlformats.org/officeDocument/2006/relationships/hyperlink" Id="rId856" Target="https://github.com/MarineSensitivity/apps/tree/main/vmap" TargetMode="External" /><Relationship Type="http://schemas.openxmlformats.org/officeDocument/2006/relationships/hyperlink" Id="rId343" Target="https://github.com/MarineSensitivity/atlas" TargetMode="External" /><Relationship Type="http://schemas.openxmlformats.org/officeDocument/2006/relationships/hyperlink" Id="rId344" Target="https://github.com/MarineSensitivity/docs" TargetMode="External" /><Relationship Type="http://schemas.openxmlformats.org/officeDocument/2006/relationships/hyperlink" Id="rId345" Target="https://github.com/MarineSensitivity/manuscripts" TargetMode="External" /><Relationship Type="http://schemas.openxmlformats.org/officeDocument/2006/relationships/hyperlink" Id="rId347" Target="https://github.com/MarineSensitivity/msens" TargetMode="External" /><Relationship Type="http://schemas.openxmlformats.org/officeDocument/2006/relationships/hyperlink" Id="rId348" Target="https://github.com/MarineSensitivity/objectives" TargetMode="External" /><Relationship Type="http://schemas.openxmlformats.org/officeDocument/2006/relationships/hyperlink" Id="rId349" Target="https://github.com/MarineSensitivity/server" TargetMode="External" /><Relationship Type="http://schemas.openxmlformats.org/officeDocument/2006/relationships/hyperlink" Id="rId386" Target="https://github.com/MarineSensitivity/server/blob/main/caddy/Caddyfile" TargetMode="External" /><Relationship Type="http://schemas.openxmlformats.org/officeDocument/2006/relationships/hyperlink" Id="rId364" Target="https://github.com/MarineSensitivity/server/blob/main/docker-compose.yml" TargetMode="External" /><Relationship Type="http://schemas.openxmlformats.org/officeDocument/2006/relationships/hyperlink" Id="rId457" Target="https://github.com/MarineSensitivity/server/blob/main/titiler/factory.py" TargetMode="External" /><Relationship Type="http://schemas.openxmlformats.org/officeDocument/2006/relationships/hyperlink" Id="rId366" Target="https://github.com/MarineSensitivity/server/wiki/Server-Setup" TargetMode="External" /><Relationship Type="http://schemas.openxmlformats.org/officeDocument/2006/relationships/hyperlink" Id="rId350" Target="https://github.com/MarineSensitivity/stac-sdm" TargetMode="External" /><Relationship Type="http://schemas.openxmlformats.org/officeDocument/2006/relationships/hyperlink" Id="rId351" Target="https://github.com/MarineSensitivity/workflows" TargetMode="External" /><Relationship Type="http://schemas.openxmlformats.org/officeDocument/2006/relationships/hyperlink" Id="rId320" Target="https://github.com/mapbox/tippecanoe" TargetMode="External" /><Relationship Type="http://schemas.openxmlformats.org/officeDocument/2006/relationships/hyperlink" Id="rId553" Target="https://github.com/oceanmetrics/atlas/blob/main/docs/accessibility.md" TargetMode="External" /><Relationship Type="http://schemas.openxmlformats.org/officeDocument/2006/relationships/hyperlink" Id="rId554" Target="https://github.com/oceanmetrics/atlas/blob/main/docs/performance.md" TargetMode="External" /><Relationship Type="http://schemas.openxmlformats.org/officeDocument/2006/relationships/hyperlink" Id="rId314" Target="https://guide.cloudnativegeo.org/" TargetMode="External" /><Relationship Type="http://schemas.openxmlformats.org/officeDocument/2006/relationships/hyperlink" Id="rId161" Target="https://maps.fisheries.noaa.gov/server/rest/services/All_NMFS_Critical_Habitat/MapServer" TargetMode="External" /><Relationship Type="http://schemas.openxmlformats.org/officeDocument/2006/relationships/hyperlink" Id="rId360" Target="https://marinesensitivity.org/" TargetMode="External" /><Relationship Type="http://schemas.openxmlformats.org/officeDocument/2006/relationships/hyperlink" Id="rId86" Target="https://marinesensitivity.org/atlas/?ver=v3" TargetMode="External" /><Relationship Type="http://schemas.openxmlformats.org/officeDocument/2006/relationships/hyperlink" Id="rId361"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647" Target="https://marinesensitivity.org/faq/" TargetMode="External" /><Relationship Type="http://schemas.openxmlformats.org/officeDocument/2006/relationships/hyperlink" Id="rId362" Target="https://marinesensitivity.org/msens" TargetMode="External" /><Relationship Type="http://schemas.openxmlformats.org/officeDocument/2006/relationships/hyperlink" Id="rId459" Target="https://marinesensitivity.org/msens/reference/cell_stats.html" TargetMode="External" /><Relationship Type="http://schemas.openxmlformats.org/officeDocument/2006/relationships/hyperlink" Id="rId458" Target="https://marinesensitivity.org/msens/reference/cell_tile_url.html" TargetMode="External" /><Relationship Type="http://schemas.openxmlformats.org/officeDocument/2006/relationships/hyperlink" Id="rId292" Target="https://marinesensitivity.org/workflows/" TargetMode="External" /><Relationship Type="http://schemas.openxmlformats.org/officeDocument/2006/relationships/hyperlink" Id="rId375" Target="https://medium.com/@srijaanaparthy/step-by-step-guide-to-install-docker-on-ubuntu-in-aws-a39746e5a63d" TargetMode="External" /><Relationship Type="http://schemas.openxmlformats.org/officeDocument/2006/relationships/hyperlink" Id="rId146" Target="https://noaa.maps.arcgis.com/home/item.html?id=f66c1e33f91d480db7d1b1c1336223c3" TargetMode="External" /><Relationship Type="http://schemas.openxmlformats.org/officeDocument/2006/relationships/hyperlink" Id="rId682" Target="https://noaa.maps.arcgis.com/home/search.html?searchTerm=turtle+dps" TargetMode="External" /><Relationship Type="http://schemas.openxmlformats.org/officeDocument/2006/relationships/hyperlink" Id="rId404" Target="https://posit.co/products/open-source/rstudio-server/" TargetMode="External" /><Relationship Type="http://schemas.openxmlformats.org/officeDocument/2006/relationships/hyperlink" Id="rId24" Target="https://preview.marinesensitivity.org/v9/atlas/" TargetMode="External" /><Relationship Type="http://schemas.openxmlformats.org/officeDocument/2006/relationships/hyperlink" Id="rId21" Target="https://preview.marinesensitivity.org/v9/atlas/?lens=scores" TargetMode="External" /><Relationship Type="http://schemas.openxmlformats.org/officeDocument/2006/relationships/hyperlink" Id="rId22" Target="https://preview.marinesensitivity.org/v9/atlas/?lens=species" TargetMode="External" /><Relationship Type="http://schemas.openxmlformats.org/officeDocument/2006/relationships/hyperlink" Id="rId628" Target="https://preview.marinesensitivity.org/v9/atlas/?lens=species&amp;ui=4.l.l.380.h.n" TargetMode="External" /><Relationship Type="http://schemas.openxmlformats.org/officeDocument/2006/relationships/hyperlink" Id="rId23" Target="https://preview.marinesensitivity.org/v9/atlas/?tool=report" TargetMode="External" /><Relationship Type="http://schemas.openxmlformats.org/officeDocument/2006/relationships/hyperlink" Id="rId599" Target="https://preview.marinesensitivity.org/v9/atlas/?ui=4.d.l.380.h.n" TargetMode="External" /><Relationship Type="http://schemas.openxmlformats.org/officeDocument/2006/relationships/hyperlink" Id="rId588" Target="https://preview.marinesensitivity.org/v9/atlas/?ui=4.l.l.380.h.n" TargetMode="External" /><Relationship Type="http://schemas.openxmlformats.org/officeDocument/2006/relationships/hyperlink" Id="rId611" Target="https://preview.marinesensitivity.org/v9/atlas/?ui=4.r.l.380.h.n" TargetMode="External" /><Relationship Type="http://schemas.openxmlformats.org/officeDocument/2006/relationships/hyperlink" Id="rId605" Target="https://preview.marinesensitivity.org/v9/atlas/?ui=4.t.l.380.h.n" TargetMode="External" /><Relationship Type="http://schemas.openxmlformats.org/officeDocument/2006/relationships/hyperlink" Id="rId306" Target="https://protomaps.com/docs/pmtiles/" TargetMode="External" /><Relationship Type="http://schemas.openxmlformats.org/officeDocument/2006/relationships/hyperlink" Id="rId444" Target="https://quarto.org" TargetMode="External" /><Relationship Type="http://schemas.openxmlformats.org/officeDocument/2006/relationships/hyperlink" Id="rId139" Target="https://raquamaps.github.io/aquamapsdata" TargetMode="External" /><Relationship Type="http://schemas.openxmlformats.org/officeDocument/2006/relationships/hyperlink" Id="rId140" Target="https://raquamaps.github.io/aquamapsdata/articles/intro.html#data-scope-and-content-1" TargetMode="External" /><Relationship Type="http://schemas.openxmlformats.org/officeDocument/2006/relationships/hyperlink" Id="rId313" Target="https://rstudio.github.io/leaflet/articles/raster.html#large-raster-warning" TargetMode="External" /><Relationship Type="http://schemas.openxmlformats.org/officeDocument/2006/relationships/hyperlink" Id="rId400" Target="https://rstudio.marinesensitivity.org" TargetMode="External" /><Relationship Type="http://schemas.openxmlformats.org/officeDocument/2006/relationships/hyperlink" Id="rId388" Target="https://shiny.marinesensitivity.org" TargetMode="External" /><Relationship Type="http://schemas.openxmlformats.org/officeDocument/2006/relationships/hyperlink" Id="rId820" Target="https://shiny.marinesensitivity.org/aoi/" TargetMode="External" /><Relationship Type="http://schemas.openxmlformats.org/officeDocument/2006/relationships/hyperlink" Id="rId826" Target="https://shiny.marinesensitivity.org/bird_hotspots/" TargetMode="External" /><Relationship Type="http://schemas.openxmlformats.org/officeDocument/2006/relationships/hyperlink" Id="rId832" Target="https://shiny.marinesensitivity.org/map/" TargetMode="External" /><Relationship Type="http://schemas.openxmlformats.org/officeDocument/2006/relationships/hyperlink" Id="rId838" Target="https://shiny.marinesensitivity.org/scores/" TargetMode="External" /><Relationship Type="http://schemas.openxmlformats.org/officeDocument/2006/relationships/hyperlink" Id="rId849" Target="https://shiny.marinesensitivity.org/sdm-cog/" TargetMode="External" /><Relationship Type="http://schemas.openxmlformats.org/officeDocument/2006/relationships/hyperlink" Id="rId843" Target="https://shiny.marinesensitivity.org/sdm/" TargetMode="External" /><Relationship Type="http://schemas.openxmlformats.org/officeDocument/2006/relationships/hyperlink" Id="rId855" Target="https://shiny.marinesensitivity.org/vmap/" TargetMode="External" /><Relationship Type="http://schemas.openxmlformats.org/officeDocument/2006/relationships/hyperlink" Id="rId311" Target="https://shiny.posit.co" TargetMode="External" /><Relationship Type="http://schemas.openxmlformats.org/officeDocument/2006/relationships/hyperlink" Id="rId392" Target="https://shiny.posit.co/" TargetMode="External" /><Relationship Type="http://schemas.openxmlformats.org/officeDocument/2006/relationships/hyperlink" Id="rId472" Target="https://stacspec.org" TargetMode="External" /><Relationship Type="http://schemas.openxmlformats.org/officeDocument/2006/relationships/hyperlink" Id="rId394" Target="https://titiler.marinesensitivity.org" TargetMode="External" /><Relationship Type="http://schemas.openxmlformats.org/officeDocument/2006/relationships/hyperlink" Id="rId367" Target="https://us-east-1.console.aws.amazon.com/ec2/home?region=us-east-1#Addresses:" TargetMode="External" /><Relationship Type="http://schemas.openxmlformats.org/officeDocument/2006/relationships/hyperlink" Id="rId461" Target="https://varnish-cache.org"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679" Target="https://www.boem.gov/sites/default/files/environmental-stewardship/Environmental-Studies/Pacific-Region/Studies/BOEM-2018-031-Vol1.pdf" TargetMode="External" /><Relationship Type="http://schemas.openxmlformats.org/officeDocument/2006/relationships/hyperlink" Id="rId363" Target="https://www.docker.com/" TargetMode="External" /><Relationship Type="http://schemas.openxmlformats.org/officeDocument/2006/relationships/hyperlink" Id="rId34" Target="https://www.fisheries.noaa.gov" TargetMode="External" /><Relationship Type="http://schemas.openxmlformats.org/officeDocument/2006/relationships/hyperlink" Id="rId147" Target="https://www.fisheries.noaa.gov/inport/item/65207" TargetMode="External" /><Relationship Type="http://schemas.openxmlformats.org/officeDocument/2006/relationships/hyperlink" Id="rId145" Target="https://www.fisheries.noaa.gov/resource/map/national-esa-critical-habitat-mapper" TargetMode="External" /><Relationship Type="http://schemas.openxmlformats.org/officeDocument/2006/relationships/hyperlink" Id="rId143" Target="https://www.fisheries.noaa.gov/s3/2021-09/shapefile_Rices_whale_core_distribution_area_Jun19_SERO.zip" TargetMode="External" /><Relationship Type="http://schemas.openxmlformats.org/officeDocument/2006/relationships/hyperlink" Id="rId142" Target="https://www.fisheries.noaa.gov/species/rices-whale" TargetMode="External" /><Relationship Type="http://schemas.openxmlformats.org/officeDocument/2006/relationships/hyperlink" Id="rId203"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201" Target="https://www.fws.gov/law/endangered-species-act" TargetMode="External" /><Relationship Type="http://schemas.openxmlformats.org/officeDocument/2006/relationships/hyperlink" Id="rId205" Target="https://www.fws.gov/law/migratory-bird-treaty-act-1918" TargetMode="External" /><Relationship Type="http://schemas.openxmlformats.org/officeDocument/2006/relationships/hyperlink" Id="rId183" Target="https://www.gbif.org" TargetMode="External" /><Relationship Type="http://schemas.openxmlformats.org/officeDocument/2006/relationships/hyperlink" Id="rId184" Target="https://www.itis.gov" TargetMode="External" /><Relationship Type="http://schemas.openxmlformats.org/officeDocument/2006/relationships/hyperlink" Id="rId33" Target="https://www.iucnredlist.org" TargetMode="External" /><Relationship Type="http://schemas.openxmlformats.org/officeDocument/2006/relationships/hyperlink" Id="rId157" Target="https://www.iucnredlist.org/resources/spatial-data-download" TargetMode="External" /><Relationship Type="http://schemas.openxmlformats.org/officeDocument/2006/relationships/hyperlink" Id="rId182" Target="https://www.marinespecies.org" TargetMode="External" /><Relationship Type="http://schemas.openxmlformats.org/officeDocument/2006/relationships/hyperlink" Id="rId303" Target="https://www.rplumber.io" TargetMode="External" /><Relationship Type="http://schemas.openxmlformats.org/officeDocument/2006/relationships/hyperlink" Id="rId453" Target="https://www.rplumber.io/" TargetMode="External" /><Relationship Type="http://schemas.openxmlformats.org/officeDocument/2006/relationships/hyperlink" Id="rId159" Target="https://www.seaturtlestatus.org/online-map-data"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488" Target="scores.qmd" TargetMode="External" /><Relationship Type="http://schemas.openxmlformats.org/officeDocument/2006/relationships/hyperlink" Id="rId25" Target="scoring-walkthrough.qmd" TargetMode="External" /><Relationship Type="http://schemas.openxmlformats.org/officeDocument/2006/relationships/hyperlink" Id="rId489" Target="speci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Sensitivity</dc:title>
  <dc:creator>Benjamin D. Best; Timothy P. White</dc:creator>
  <cp:keywords/>
  <dcterms:created xsi:type="dcterms:W3CDTF">2026-10-24T14:24:49Z</dcterms:created>
  <dcterms:modified xsi:type="dcterms:W3CDTF">2026-10-24T14:24:49Z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2026-10-24</vt:lpwstr>
  </property>
  <property fmtid="{D5CDD505-2E9C-101B-9397-08002B2CF9AE}" pid="11" name="date-format">
    <vt:lpwstr>YYYY-MM-DD</vt:lpwstr>
  </property>
  <property fmtid="{D5CDD505-2E9C-101B-9397-08002B2CF9AE}" pid="12" name="glossa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subtitle">
    <vt:lpwstr>Project Documentation</vt:lpwstr>
  </property>
  <property fmtid="{D5CDD505-2E9C-101B-9397-08002B2CF9AE}" pid="19" name="template-partials">
    <vt:lpwstr/>
  </property>
  <property fmtid="{D5CDD505-2E9C-101B-9397-08002B2CF9AE}" pid="20" name="toc-title">
    <vt:lpwstr>Table of contents</vt:lpwstr>
  </property>
</Properties>
</file>