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2.png" ContentType="image/png"/>
  <Override PartName="/word/media/rId424.png" ContentType="image/png"/>
  <Override PartName="/word/media/rId459.png" ContentType="image/png"/>
  <Override PartName="/word/media/rId482.png" ContentType="image/png"/>
  <Override PartName="/word/media/rId487.png" ContentType="image/png"/>
  <Override PartName="/word/media/rId492.png" ContentType="image/png"/>
  <Override PartName="/word/media/rId497.png" ContentType="image/png"/>
  <Override PartName="/word/media/rId502.png" ContentType="image/png"/>
  <Override PartName="/word/media/rId507.png" ContentType="image/png"/>
  <Override PartName="/word/media/rId512.png" ContentType="image/png"/>
  <Override PartName="/word/media/rId517.png" ContentType="image/png"/>
  <Override PartName="/word/media/rId522.png" ContentType="image/png"/>
  <Override PartName="/word/media/rId527.png" ContentType="image/png"/>
  <Override PartName="/word/media/rId532.png" ContentType="image/png"/>
  <Override PartName="/word/media/rId538.png" ContentType="image/png"/>
  <Override PartName="/word/media/rId543.png" ContentType="image/png"/>
  <Override PartName="/word/media/rId548.png" ContentType="image/png"/>
  <Override PartName="/word/media/rId553.png" ContentType="image/png"/>
  <Override PartName="/word/media/rId558.png" ContentType="image/png"/>
  <Override PartName="/word/media/rId727.png" ContentType="image/png"/>
  <Override PartName="/word/media/rId733.png" ContentType="image/png"/>
  <Override PartName="/word/media/rId739.png" ContentType="image/png"/>
  <Override PartName="/word/media/rId695.png" ContentType="image/png"/>
  <Override PartName="/word/media/rId691.png" ContentType="image/png"/>
  <Override PartName="/word/media/rId744.png" ContentType="image/png"/>
  <Override PartName="/word/media/rId756.png" ContentType="image/png"/>
  <Override PartName="/word/media/rId750.png" ContentType="image/png"/>
  <Override PartName="/word/media/rId711.png" ContentType="image/png"/>
  <Override PartName="/word/media/rId762.png" ContentType="image/png"/>
  <Override PartName="/word/media/rId264.png" ContentType="image/png"/>
  <Override PartName="/word/media/rId286.png" ContentType="image/png"/>
  <Override PartName="/word/media/rId345.png" ContentType="image/png"/>
  <Override PartName="/word/media/rId121.png" ContentType="image/png"/>
  <Override PartName="/word/media/rId16.svg" ContentType="image/svg+xml"/>
  <Override PartName="/word/media/rId388.png" ContentType="image/png"/>
  <Override PartName="/word/media/rId393.png" ContentType="image/png"/>
  <Override PartName="/word/media/rId381.png" ContentType="image/png"/>
  <Override PartName="/word/media/rId269.png" ContentType="image/png"/>
  <Override PartName="/word/media/rId273.png" ContentType="image/png"/>
  <Override PartName="/word/media/rId166.jpg" ContentType="image/jpeg"/>
  <Override PartName="/word/media/rId643.png" ContentType="image/png"/>
  <Override PartName="/word/media/rId659.png" ContentType="image/png"/>
  <Override PartName="/word/media/rId629.png" ContentType="image/png"/>
  <Override PartName="/word/media/rId614.png" ContentType="image/png"/>
  <Override PartName="/word/media/rId639.png" ContentType="image/png"/>
  <Override PartName="/word/media/rId672.png" ContentType="image/png"/>
  <Override PartName="/word/media/rId668.png" ContentType="image/png"/>
  <Override PartName="/word/media/rId650.png" ContentType="image/png"/>
  <Override PartName="/word/media/rId654.png" ContentType="image/png"/>
  <Override PartName="/word/media/rId634.png" ContentType="image/png"/>
  <Override PartName="/word/media/rId663.png" ContentType="image/png"/>
  <Override PartName="/word/media/rId681.png" ContentType="image/png"/>
  <Override PartName="/word/media/rId618.png" ContentType="image/png"/>
  <Override PartName="/word/media/rId622.png" ContentType="image/png"/>
  <Override PartName="/word/media/rId9.svg" ContentType="image/svg+xml"/>
  <Override PartName="/word/media/rId39.png" ContentType="image/png"/>
  <Override PartName="/word/media/rId12.png" ContentType="image/png"/>
  <Override PartName="/word/media/rId19.png" ContentType="image/png"/>
  <Override PartName="/word/media/rId45.png" ContentType="image/png"/>
  <Override PartName="/word/media/rId219.png" ContentType="image/png"/>
  <Override PartName="/word/media/rId306.png" ContentType="image/png"/>
  <Override PartName="/word/media/rId298.png" ContentType="image/png"/>
  <Override PartName="/word/media/rId323.png" ContentType="image/png"/>
  <Override PartName="/word/media/rId318.png" ContentType="image/png"/>
  <Override PartName="/word/media/rId3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(9,597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4"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FirstParagraph"/>
      </w:pPr>
      <w:r>
        <w:t xml:space="preserve">Both render</w:t>
      </w:r>
      <w:r>
        <w:t xml:space="preserve"> </w:t>
      </w:r>
      <w:r>
        <w:rPr>
          <w:b/>
          <w:bCs/>
        </w:rPr>
        <w:t xml:space="preserve">any published release</w:t>
      </w:r>
      <w:r>
        <w:t xml:space="preserve">: substitute the version in the URL path (e.g. </w:t>
      </w:r>
      <w:r>
        <w:rPr>
          <w:rStyle w:val="VerbatimChar"/>
        </w:rPr>
        <w:t xml:space="preserve">/v3/scores/</w:t>
      </w:r>
      <w:r>
        <w:t xml:space="preserve">) to view that one; an older</w:t>
      </w:r>
      <w:r>
        <w:t xml:space="preserve"> </w:t>
      </w:r>
      <w:r>
        <w:rPr>
          <w:rStyle w:val="VerbatimChar"/>
        </w:rPr>
        <w:t xml:space="preserve">?ver=v3</w:t>
      </w:r>
      <w:r>
        <w:t xml:space="preserve"> </w:t>
      </w:r>
      <w:r>
        <w:t xml:space="preserve">link still resolves, 301’d to the equivalent path.</w:t>
      </w:r>
    </w:p>
    <w:p>
      <w:pPr>
        <w:pStyle w:val="Compact"/>
        <w:numPr>
          <w:ilvl w:val="0"/>
          <w:numId w:val="1002"/>
        </w:numPr>
      </w:pPr>
      <w:hyperlink r:id="rId23">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4"/>
    <w:bookmarkStart w:id="25"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5"/>
    <w:bookmarkStart w:id="27"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6">
        <w:r>
          <w:rPr>
            <w:rStyle w:val="Hyperlink"/>
          </w:rPr>
          <w:t xml:space="preserve">https://marinesensitivity.org/docs/</w:t>
        </w:r>
      </w:hyperlink>
    </w:p>
    <w:bookmarkEnd w:id="27"/>
    <w:bookmarkStart w:id="34" w:name="acknowledgments"/>
    <w:p>
      <w:pPr>
        <w:pStyle w:val="Heading3"/>
      </w:pPr>
      <w:r>
        <w:t xml:space="preserve">Acknowledgments</w:t>
      </w:r>
    </w:p>
    <w:p>
      <w:pPr>
        <w:pStyle w:val="FirstParagraph"/>
      </w:pPr>
      <w:r>
        <w:t xml:space="preserve">This work is funded by the</w:t>
      </w:r>
      <w:r>
        <w:t xml:space="preserve"> </w:t>
      </w:r>
      <w:hyperlink r:id="rId28">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29">
        <w:r>
          <w:rPr>
            <w:rStyle w:val="Hyperlink"/>
          </w:rPr>
          <w:t xml:space="preserve">AquaMaps</w:t>
        </w:r>
      </w:hyperlink>
      <w:r>
        <w:t xml:space="preserve">,</w:t>
      </w:r>
      <w:r>
        <w:t xml:space="preserve"> </w:t>
      </w:r>
      <w:hyperlink r:id="rId30">
        <w:r>
          <w:rPr>
            <w:rStyle w:val="Hyperlink"/>
          </w:rPr>
          <w:t xml:space="preserve">BirdLife International</w:t>
        </w:r>
      </w:hyperlink>
      <w:r>
        <w:t xml:space="preserve">,</w:t>
      </w:r>
      <w:r>
        <w:t xml:space="preserve"> </w:t>
      </w:r>
      <w:hyperlink r:id="rId31">
        <w:r>
          <w:rPr>
            <w:rStyle w:val="Hyperlink"/>
          </w:rPr>
          <w:t xml:space="preserve">IUCN Red List</w:t>
        </w:r>
      </w:hyperlink>
      <w:r>
        <w:t xml:space="preserve">,</w:t>
      </w:r>
      <w:r>
        <w:t xml:space="preserve"> </w:t>
      </w:r>
      <w:hyperlink r:id="rId32">
        <w:r>
          <w:rPr>
            <w:rStyle w:val="Hyperlink"/>
          </w:rPr>
          <w:t xml:space="preserve">NOAA Fisheries</w:t>
        </w:r>
      </w:hyperlink>
      <w:r>
        <w:t xml:space="preserve">, and</w:t>
      </w:r>
      <w:r>
        <w:t xml:space="preserve"> </w:t>
      </w:r>
      <w:hyperlink r:id="rId33">
        <w:r>
          <w:rPr>
            <w:rStyle w:val="Hyperlink"/>
          </w:rPr>
          <w:t xml:space="preserve">U.S. Fish &amp; Wildlife Service</w:t>
        </w:r>
      </w:hyperlink>
      <w:r>
        <w:t xml:space="preserve">.</w:t>
      </w:r>
    </w:p>
    <w:bookmarkEnd w:id="34"/>
    <w:bookmarkEnd w:id="35"/>
    <w:bookmarkStart w:id="48"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6">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v4b</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7">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38">
        <w:r>
          <w:rPr>
            <w:rStyle w:val="Hyperlink"/>
          </w:rPr>
          <w:t xml:space="preserve">Executive Order 14303</w:t>
        </w:r>
      </w:hyperlink>
      <w:r>
        <w:t xml:space="preserve">, we aim to provide a transparent and reproducible process that can be regularly updated as new data and methods become available.</w:t>
      </w:r>
    </w:p>
    <w:bookmarkStart w:id="47"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2" w:name="fig-process"/>
          <w:p>
            <w:pPr>
              <w:jc w:val="center"/>
            </w:pPr>
            <w:r>
              <w:drawing>
                <wp:inline>
                  <wp:extent cx="5334000" cy="1315720"/>
                  <wp:effectExtent b="0" l="0" r="0" t="0"/>
                  <wp:docPr descr="" title="" id="40" name="Picture"/>
                  <a:graphic>
                    <a:graphicData uri="http://schemas.openxmlformats.org/drawingml/2006/picture">
                      <pic:pic>
                        <pic:nvPicPr>
                          <pic:cNvPr descr="intro_files/figure-docx/mermaid-figure-2.png" id="41" name="Picture"/>
                          <pic:cNvPicPr>
                            <a:picLocks noChangeArrowheads="1" noChangeAspect="1"/>
                          </pic:cNvPicPr>
                        </pic:nvPicPr>
                        <pic:blipFill>
                          <a:blip r:embed="rId39"/>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2"/>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6" w:name="fig-overview"/>
          <w:p>
            <w:pPr>
              <w:pStyle w:val="Compact"/>
              <w:jc w:val="center"/>
            </w:pPr>
            <w:r>
              <w:drawing>
                <wp:inline>
                  <wp:extent cx="5334000" cy="3030681"/>
                  <wp:effectExtent b="0" l="0" r="0" t="0"/>
                  <wp:docPr descr="" title="" id="43" name="Picture"/>
                  <a:graphic>
                    <a:graphicData uri="http://schemas.openxmlformats.org/drawingml/2006/picture">
                      <pic:pic>
                        <pic:nvPicPr>
                          <pic:cNvPr descr="figures/overview-methods.svg" id="44" name="Picture"/>
                          <pic:cNvPicPr>
                            <a:picLocks noChangeArrowheads="1" noChangeAspect="1"/>
                          </pic:cNvPicPr>
                        </pic:nvPicPr>
                        <pic:blipFill>
                          <a:blip r:embed="rId4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6"/>
        </w:tc>
      </w:tr>
    </w:tbl>
    <w:bookmarkEnd w:id="47"/>
    <w:bookmarkEnd w:id="48"/>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v4b</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v4b — Turtle multiplicative merge</w:t>
            </w:r>
          </w:p>
        </w:tc>
      </w:tr>
      <w:tr>
        <w:trPr>
          <w:cantSplit/>
        </w:trPr>
        <w:tc>
          <w:tcPr>
            <w:tcMar>
              <w:top w:w="108" w:type="dxa"/>
              <w:bottom w:w="108" w:type="dxa"/>
            </w:tcMar>
          </w:tcPr>
          <w:p>
            <w:pPr>
              <w:pStyle w:val="BodyText"/>
            </w:pPr>
            <w:pPr>
              <w:spacing w:before="16" w:after="16"/>
            </w:pPr>
            <w:r>
              <w:t xml:space="preserve">Released 2026-03-19. This is</w:t>
            </w:r>
            <w:r>
              <w:t xml:space="preserve"> </w:t>
            </w:r>
            <w:r>
              <w:rPr>
                <w:b/>
                <w:bCs/>
              </w:rPr>
              <w:t xml:space="preserve">retired</w:t>
            </w:r>
            <w:r>
              <w:t xml:space="preserve"> </w:t>
            </w:r>
            <w:r>
              <w:t xml:space="preserve">— superseded, but still published and still readable.</w:t>
            </w:r>
          </w:p>
          <w:p/>
        </w:tc>
      </w:tr>
    </w:tbl>
    <w:bookmarkStart w:id="56"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1"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1"/>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5"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5"/>
          <w:p/>
        </w:tc>
      </w:tr>
    </w:tbl>
    <w:bookmarkEnd w:id="56"/>
    <w:bookmarkStart w:id="83"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3"/>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w:t>
      </w:r>
      <w:r>
        <w:t xml:space="preserve"> </w:t>
      </w:r>
      <w:hyperlink r:id="rId84">
        <w:r>
          <w:rPr>
            <w:rStyle w:val="VerbatimChar"/>
          </w:rPr>
          <w:t xml:space="preserve">/v3/scores/</w:t>
        </w:r>
      </w:hyperlink>
      <w:r>
        <w:t xml:space="preserve"> </w:t>
      </w:r>
      <w:r>
        <w:t xml:space="preserve">and</w:t>
      </w:r>
      <w:r>
        <w:t xml:space="preserve"> </w:t>
      </w:r>
      <w:hyperlink r:id="rId85">
        <w:r>
          <w:rPr>
            <w:rStyle w:val="VerbatimChar"/>
          </w:rPr>
          <w:t xml:space="preserve">/v3/species/</w:t>
        </w:r>
      </w:hyperlink>
      <w:r>
        <w:t xml:space="preserve">, substituting any published version in the path. The per-version application forks are retired; their old URLs 301 to the equivalent path, so links printed in earlier reports — including an older</w:t>
      </w:r>
      <w:r>
        <w:t xml:space="preserve"> </w:t>
      </w:r>
      <w:r>
        <w:rPr>
          <w:rStyle w:val="VerbatimChar"/>
        </w:rPr>
        <w:t xml:space="preserve">?ver=v3</w:t>
      </w:r>
      <w:r>
        <w:t xml:space="preserve"> </w:t>
      </w:r>
      <w:r>
        <w:t xml:space="preserve">deep link —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3">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71"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v4b</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v4b,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60"/>
              <w:gridCol w:w="1760"/>
              <w:gridCol w:w="2960"/>
              <w:gridCol w:w="480"/>
              <w:gridCol w:w="480"/>
              <w:gridCol w:w="480"/>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v4b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3"/>
    <w:bookmarkStart w:id="156"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29">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Start w:id="155"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4">
        <w:r>
          <w:rPr>
            <w:rStyle w:val="Hyperlink"/>
          </w:rPr>
          <w:t xml:space="preserve">Source</w:t>
        </w:r>
      </w:hyperlink>
    </w:p>
    <w:bookmarkEnd w:id="155"/>
    <w:bookmarkEnd w:id="156"/>
    <w:bookmarkStart w:id="161" w:name="notes-on-individual-sources"/>
    <w:p>
      <w:pPr>
        <w:pStyle w:val="Heading2"/>
      </w:pPr>
      <w:r>
        <w:t xml:space="preserve">6.3 Notes on individual sources</w:t>
      </w:r>
    </w:p>
    <w:bookmarkStart w:id="157"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7"/>
    <w:bookmarkStart w:id="158"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8"/>
    <w:bookmarkStart w:id="159"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9"/>
    <w:bookmarkStart w:id="160"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0"/>
    <w:bookmarkEnd w:id="161"/>
    <w:bookmarkStart w:id="164"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Applications/quarto/share/formats/docx/warning.png" id="163"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4"/>
    <w:bookmarkStart w:id="170"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5">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vgpm"/>
          <w:p>
            <w:pPr>
              <w:pStyle w:val="Compact"/>
              <w:jc w:val="center"/>
            </w:pPr>
            <w:r>
              <w:drawing>
                <wp:inline>
                  <wp:extent cx="5334000" cy="3418702"/>
                  <wp:effectExtent b="0" l="0" r="0" t="0"/>
                  <wp:docPr descr="" title="" id="167" name="Picture"/>
                  <a:graphic>
                    <a:graphicData uri="http://schemas.openxmlformats.org/drawingml/2006/picture">
                      <pic:pic>
                        <pic:nvPicPr>
                          <pic:cNvPr descr="figures/vgpm2021_offhab.jpg" id="168" name="Picture"/>
                          <pic:cNvPicPr>
                            <a:picLocks noChangeArrowheads="1" noChangeAspect="1"/>
                          </pic:cNvPicPr>
                        </pic:nvPicPr>
                        <pic:blipFill>
                          <a:blip r:embed="rId166"/>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9"/>
        </w:tc>
      </w:tr>
    </w:tbl>
    <w:bookmarkEnd w:id="170"/>
    <w:bookmarkEnd w:id="171"/>
    <w:bookmarkStart w:id="191"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2"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2"/>
    <w:bookmarkStart w:id="177"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6"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3">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0">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4">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5">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1">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6"/>
          <w:p/>
        </w:tc>
      </w:tr>
    </w:tbl>
    <w:p>
      <w:pPr>
        <w:pStyle w:val="BodyText"/>
      </w:pPr>
      <w:r>
        <w:t xml:space="preserve">At each stage deprecated names resolve to their accepted synonyms, with the original source name kept alongside the accepted one.</w:t>
      </w:r>
    </w:p>
    <w:bookmarkEnd w:id="177"/>
    <w:bookmarkStart w:id="181"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8" w:name="tbl-species-categories"/>
          <w:p>
            <w:pPr>
              <w:jc w:val="center"/>
            </w:pPr>
            <w:pPr>
              <w:jc w:val="left"/>
              <w:spacing w:before="200"/>
              <w:pStyle w:val="ImageCaption"/>
            </w:pPr>
            <w:r>
              <w:t xml:space="preserve">Table 7.2: Species categories in v4b.</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8"/>
          <w:p/>
        </w:tc>
      </w:tr>
    </w:tbl>
    <w:p>
      <w:pPr>
        <w:pStyle w:val="BodyText"/>
      </w:pPr>
      <w:r>
        <w:t xml:space="preserve">Categories present in the taxonomy but</w:t>
      </w:r>
      <w:r>
        <w:t xml:space="preserve"> </w:t>
      </w:r>
      <w:r>
        <w:rPr>
          <w:b/>
          <w:bCs/>
        </w:rPr>
        <w:t xml:space="preserve">not scored</w:t>
      </w:r>
      <w:r>
        <w:t xml:space="preserve"> </w:t>
      </w:r>
      <w:r>
        <w:t xml:space="preserve">in v4b:</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Applications/quarto/share/formats/docx/note.png" id="1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1"/>
    <w:bookmarkStart w:id="182"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2"/>
    <w:bookmarkStart w:id="186"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3" w:name="tbl-filter-funnel"/>
          <w:p>
            <w:pPr>
              <w:jc w:val="center"/>
            </w:pPr>
            <w:pPr>
              <w:jc w:val="left"/>
              <w:spacing w:before="200"/>
              <w:pStyle w:val="ImageCaption"/>
            </w:pPr>
            <w:r>
              <w:t xml:space="preserve">Table 7.3: Validity gates applied cumulatively to v4b’s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3"/>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9,597</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important.png" id="18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6"/>
    <w:bookmarkStart w:id="189" w:name="data-quality"/>
    <w:p>
      <w:pPr>
        <w:pStyle w:val="Heading2"/>
      </w:pPr>
      <w:r>
        <w:t xml:space="preserve">7.6 Data quality</w:t>
      </w:r>
    </w:p>
    <w:bookmarkStart w:id="187"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7"/>
    <w:bookmarkStart w:id="188"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8"/>
    <w:bookmarkEnd w:id="189"/>
    <w:bookmarkStart w:id="190"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0"/>
    <w:bookmarkEnd w:id="191"/>
    <w:bookmarkStart w:id="215"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3" w:name="regulatory-framework"/>
    <w:p>
      <w:pPr>
        <w:pStyle w:val="Heading2"/>
      </w:pPr>
      <w:r>
        <w:t xml:space="preserve">8.1 Regulatory framework</w:t>
      </w:r>
    </w:p>
    <w:bookmarkStart w:id="193" w:name="endangered-species-act-esa"/>
    <w:p>
      <w:pPr>
        <w:pStyle w:val="Heading3"/>
      </w:pPr>
      <w:r>
        <w:t xml:space="preserve">8.1.1 Endangered Species Act (ESA)</w:t>
      </w:r>
    </w:p>
    <w:p>
      <w:pPr>
        <w:pStyle w:val="FirstParagraph"/>
      </w:pPr>
      <w:r>
        <w:t xml:space="preserve">The</w:t>
      </w:r>
      <w:r>
        <w:t xml:space="preserve"> </w:t>
      </w:r>
      <w:hyperlink r:id="rId192">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3"/>
    <w:bookmarkStart w:id="195"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4">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5"/>
    <w:bookmarkStart w:id="199"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6">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important.png" id="198"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9"/>
    <w:bookmarkStart w:id="202"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1">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Applications/quarto/share/formats/docx/note.png" id="20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2"/>
    <w:bookmarkEnd w:id="203"/>
    <w:bookmarkStart w:id="212"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6"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4"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4"/>
    </w:p>
    <w:tbl>
      <w:tblPr>
        <w:tblStyle w:val="Table"/>
        <w:tblW w:type="pct" w:w="5000"/>
        <w:tblLayout w:type="fixed"/>
        <w:tblLook w:firstRow="0" w:lastRow="0" w:firstColumn="0" w:lastColumn="0" w:noHBand="0" w:noVBand="0" w:val="0000"/>
      </w:tblPr>
      <w:tblGrid>
        <w:gridCol w:w="7920"/>
      </w:tblGrid>
      <w:tr>
        <w:tc>
          <w:tcPr/>
          <w:bookmarkStart w:id="205"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5"/>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6"/>
    <w:bookmarkStart w:id="208"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7"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7"/>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8"/>
    <w:bookmarkStart w:id="209"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9"/>
    <w:bookmarkStart w:id="211"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0"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v4b’s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10"/>
          <w:p/>
        </w:tc>
      </w:tr>
    </w:tbl>
    <w:p>
      <w:pPr>
        <w:pStyle w:val="BodyText"/>
      </w:pPr>
      <w:r>
        <w:t xml:space="preserve">Of v4b’s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11"/>
    <w:bookmarkEnd w:id="212"/>
    <w:bookmarkStart w:id="213"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3"/>
    <w:bookmarkStart w:id="214"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4"/>
    <w:bookmarkEnd w:id="215"/>
    <w:bookmarkStart w:id="241"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Applications/quarto/share/formats/docx/tip.png" id="2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8"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8"/>
    <w:bookmarkStart w:id="235"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2" w:name="fig-merge-pipeline"/>
          <w:p>
            <w:pPr>
              <w:jc w:val="center"/>
            </w:pPr>
            <w:r>
              <w:drawing>
                <wp:inline>
                  <wp:extent cx="5334000" cy="5351779"/>
                  <wp:effectExtent b="0" l="0" r="0" t="0"/>
                  <wp:docPr descr="" title="" id="220" name="Picture"/>
                  <a:graphic>
                    <a:graphicData uri="http://schemas.openxmlformats.org/drawingml/2006/picture">
                      <pic:pic>
                        <pic:nvPicPr>
                          <pic:cNvPr descr="model-merging_files/figure-docx/mermaid-figure-2.png" id="221" name="Picture"/>
                          <pic:cNvPicPr>
                            <a:picLocks noChangeArrowheads="1" noChangeAspect="1"/>
                          </pic:cNvPicPr>
                        </pic:nvPicPr>
                        <pic:blipFill>
                          <a:blip r:embed="rId219"/>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2"/>
        </w:tc>
      </w:tr>
    </w:tbl>
    <w:bookmarkStart w:id="223"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3"/>
    <w:bookmarkStart w:id="227"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4"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4"/>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Applications/quarto/share/formats/docx/important.png" id="22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7"/>
    <w:bookmarkStart w:id="228" w:name="step-3-two-surfaces-not-one"/>
    <w:p>
      <w:pPr>
        <w:pStyle w:val="Heading3"/>
      </w:pPr>
      <w:r>
        <w:t xml:space="preserve">9.2.3 Step 3 — two surfaces, not one</w:t>
      </w:r>
    </w:p>
    <w:bookmarkEnd w:id="228"/>
    <w:bookmarkStart w:id="230"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9"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9"/>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0"/>
    <w:bookmarkStart w:id="234"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1"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1"/>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Applications/quarto/share/formats/docx/note.png" id="2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4"/>
    <w:bookmarkEnd w:id="235"/>
    <w:bookmarkStart w:id="236"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6"/>
    <w:bookmarkStart w:id="237"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7"/>
    <w:bookmarkStart w:id="238"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8"/>
    <w:bookmarkStart w:id="239"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v4b this yields</w:t>
      </w:r>
      <w:r>
        <w:t xml:space="preserve"> </w:t>
      </w:r>
      <w:r>
        <w:rPr>
          <w:b/>
          <w:bCs/>
        </w:rPr>
        <w:t xml:space="preserve">9,795 valid species</w:t>
      </w:r>
      <w:r>
        <w:t xml:space="preserve"> </w:t>
      </w:r>
      <w:r>
        <w:t xml:space="preserve">across the study area, of which</w:t>
      </w:r>
      <w:r>
        <w:t xml:space="preserve"> </w:t>
      </w:r>
      <w:r>
        <w:rPr>
          <w:b/>
          <w:bCs/>
        </w:rPr>
        <w:t xml:space="preserve">9,597</w:t>
      </w:r>
      <w:r>
        <w:t xml:space="preserve"> </w:t>
      </w:r>
      <w:r>
        <w:t xml:space="preserve">contribute to scores within the 20 BOEM Program Areas of the current program cycle.</w:t>
      </w:r>
    </w:p>
    <w:bookmarkEnd w:id="239"/>
    <w:bookmarkStart w:id="240"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0"/>
    <w:bookmarkEnd w:id="241"/>
    <w:bookmarkStart w:id="282"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Applications/quarto/share/formats/docx/tip.png" id="24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3">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8"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4"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4"/>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7"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5"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5"/>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6"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6"/>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7"/>
    <w:bookmarkEnd w:id="248"/>
    <w:bookmarkStart w:id="250"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9" w:name="tbl-metrics"/>
          <w:p>
            <w:pPr>
              <w:jc w:val="center"/>
            </w:pPr>
            <w:pPr>
              <w:jc w:val="left"/>
              <w:spacing w:before="200"/>
              <w:pStyle w:val="ImageCaption"/>
            </w:pPr>
            <w:r>
              <w:t xml:space="preserve">Table 10.1: Cell-level metrics published by v4b.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9"/>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0"/>
    <w:bookmarkStart w:id="254"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1"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1"/>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Applications/quarto/share/formats/docx/important.png" id="25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4"/>
    <w:bookmarkStart w:id="260"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5" w:name="tbl-zones"/>
          <w:p>
            <w:pPr>
              <w:jc w:val="center"/>
            </w:pPr>
            <w:pPr>
              <w:jc w:val="left"/>
              <w:spacing w:before="200"/>
              <w:pStyle w:val="ImageCaption"/>
            </w:pPr>
            <w:r>
              <w:t xml:space="preserve">Table 10.2: Spatial units v4b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5"/>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9"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8" w:name="fig-map-ecoregions-scoring"/>
          <w:p>
            <w:pPr>
              <w:pStyle w:val="Compact"/>
              <w:jc w:val="center"/>
            </w:pPr>
            <w:r>
              <w:drawing>
                <wp:inline>
                  <wp:extent cx="5334000" cy="3182620"/>
                  <wp:effectExtent b="0" l="0" r="0" t="0"/>
                  <wp:docPr descr="" title="" id="256" name="Picture"/>
                  <a:graphic>
                    <a:graphicData uri="http://schemas.openxmlformats.org/drawingml/2006/picture">
                      <pic:pic>
                        <pic:nvPicPr>
                          <pic:cNvPr descr="figures/map-ecoregions-static.png" id="257"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8"/>
        </w:tc>
      </w:tr>
    </w:tbl>
    <w:bookmarkEnd w:id="259"/>
    <w:bookmarkEnd w:id="260"/>
    <w:bookmarkStart w:id="261"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1"/>
    <w:bookmarkStart w:id="263"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2"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2"/>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3"/>
    <w:bookmarkStart w:id="280" w:name="visualization"/>
    <w:p>
      <w:pPr>
        <w:pStyle w:val="Heading2"/>
      </w:pPr>
      <w:r>
        <w:t xml:space="preserve">10.7 Visualization</w:t>
      </w:r>
    </w:p>
    <w:bookmarkStart w:id="268"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7" w:name="fig-flower-programareas"/>
          <w:p>
            <w:pPr>
              <w:pStyle w:val="Compact"/>
              <w:jc w:val="center"/>
            </w:pPr>
            <w:r>
              <w:drawing>
                <wp:inline>
                  <wp:extent cx="5334000" cy="3556000"/>
                  <wp:effectExtent b="0" l="0" r="0" t="0"/>
                  <wp:docPr descr="" title="" id="265" name="Picture"/>
                  <a:graphic>
                    <a:graphicData uri="http://schemas.openxmlformats.org/drawingml/2006/picture">
                      <pic:pic>
                        <pic:nvPicPr>
                          <pic:cNvPr descr="figures/flower-plot_programareas.png" id="266" name="Picture"/>
                          <pic:cNvPicPr>
                            <a:picLocks noChangeArrowheads="1" noChangeAspect="1"/>
                          </pic:cNvPicPr>
                        </pic:nvPicPr>
                        <pic:blipFill>
                          <a:blip r:embed="rId26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7"/>
        </w:tc>
      </w:tr>
    </w:tbl>
    <w:p>
      <w:pPr>
        <w:pStyle w:val="BodyText"/>
      </w:pPr>
      <w:r>
        <w:t xml:space="preserve">It lets a reader see at a glance which ecological elements drive sensitivity in an area. The scores app implements an interactive version.</w:t>
      </w:r>
    </w:p>
    <w:bookmarkEnd w:id="268"/>
    <w:bookmarkStart w:id="277"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2" w:name="fig-treemap"/>
          <w:p>
            <w:pPr>
              <w:pStyle w:val="Compact"/>
              <w:jc w:val="center"/>
            </w:pPr>
            <w:r>
              <w:drawing>
                <wp:inline>
                  <wp:extent cx="5118100" cy="4572000"/>
                  <wp:effectExtent b="0" l="0" r="0" t="0"/>
                  <wp:docPr descr="" title="" id="270" name="Picture"/>
                  <a:graphic>
                    <a:graphicData uri="http://schemas.openxmlformats.org/drawingml/2006/picture">
                      <pic:pic>
                        <pic:nvPicPr>
                          <pic:cNvPr descr="figures/treeamap_extrisk-taxa.png" id="271" name="Picture"/>
                          <pic:cNvPicPr>
                            <a:picLocks noChangeArrowheads="1" noChangeAspect="1"/>
                          </pic:cNvPicPr>
                        </pic:nvPicPr>
                        <pic:blipFill>
                          <a:blip r:embed="rId269"/>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6" w:name="fig-treemap-zoom"/>
          <w:p>
            <w:pPr>
              <w:pStyle w:val="Compact"/>
              <w:jc w:val="center"/>
            </w:pPr>
            <w:r>
              <w:drawing>
                <wp:inline>
                  <wp:extent cx="5334000" cy="3673186"/>
                  <wp:effectExtent b="0" l="0" r="0" t="0"/>
                  <wp:docPr descr="" title="" id="274" name="Picture"/>
                  <a:graphic>
                    <a:graphicData uri="http://schemas.openxmlformats.org/drawingml/2006/picture">
                      <pic:pic>
                        <pic:nvPicPr>
                          <pic:cNvPr descr="figures/treeamap_extrisk-taxa_zoom.png" id="275" name="Picture"/>
                          <pic:cNvPicPr>
                            <a:picLocks noChangeArrowheads="1" noChangeAspect="1"/>
                          </pic:cNvPicPr>
                        </pic:nvPicPr>
                        <pic:blipFill>
                          <a:blip r:embed="rId273"/>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6"/>
        </w:tc>
      </w:tr>
    </w:tbl>
    <w:bookmarkEnd w:id="277"/>
    <w:bookmarkStart w:id="278"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8"/>
    <w:bookmarkStart w:id="279" w:name="interactive-maps"/>
    <w:p>
      <w:pPr>
        <w:pStyle w:val="Heading3"/>
      </w:pPr>
      <w:r>
        <w:t xml:space="preserve">10.7.4 Interactive maps</w:t>
      </w:r>
    </w:p>
    <w:p>
      <w:pPr>
        <w:pStyle w:val="FirstParagraph"/>
      </w:pPr>
      <w:r>
        <w:t xml:space="preserve">Two Shiny applications present the results, each rendering</w:t>
      </w:r>
      <w:r>
        <w:t xml:space="preserve"> </w:t>
      </w:r>
      <w:r>
        <w:rPr>
          <w:b/>
          <w:bCs/>
        </w:rPr>
        <w:t xml:space="preserve">any published release</w:t>
      </w:r>
      <w:r>
        <w:t xml:space="preserve"> </w:t>
      </w:r>
      <w:r>
        <w:t xml:space="preserve">from the URL path rather than being frozen to one:</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treemaps (see</w:t>
      </w:r>
      <w:r>
        <w:t xml:space="preserve"> </w:t>
      </w:r>
      <w:hyperlink w:anchor="sec-app-scores">
        <w:r>
          <w:rPr>
            <w:rStyle w:val="Hyperlink"/>
          </w:rPr>
          <w:t xml:space="preserve">Appendix D</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species">
        <w:r>
          <w:rPr>
            <w:rStyle w:val="Hyperlink"/>
          </w:rPr>
          <w:t xml:space="preserve">Appendix F</w:t>
        </w:r>
      </w:hyperlink>
      <w:r>
        <w:t xml:space="preserve">)</w:t>
      </w:r>
    </w:p>
    <w:p>
      <w:pPr>
        <w:pStyle w:val="FirstParagraph"/>
      </w:pPr>
      <w:r>
        <w:t xml:space="preserve">Substitute the version in the path (e.g. </w:t>
      </w:r>
      <w:r>
        <w:rPr>
          <w:rStyle w:val="VerbatimChar"/>
        </w:rPr>
        <w:t xml:space="preserve">/v3/scores/</w:t>
      </w:r>
      <w:r>
        <w:t xml:space="preserve">) to view that release; an older</w:t>
      </w:r>
      <w:r>
        <w:t xml:space="preserve"> </w:t>
      </w:r>
      <w:r>
        <w:rPr>
          <w:rStyle w:val="VerbatimChar"/>
        </w:rPr>
        <w:t xml:space="preserve">?ver=v3</w:t>
      </w:r>
      <w:r>
        <w:t xml:space="preserve"> </w:t>
      </w:r>
      <w:r>
        <w:t xml:space="preserve">deep link still resolves, 301’d to the equivalent path. See</w:t>
      </w:r>
      <w:r>
        <w:t xml:space="preserve"> </w:t>
      </w:r>
      <w:hyperlink w:anchor="sec-apps">
        <w:r>
          <w:rPr>
            <w:rStyle w:val="Hyperlink"/>
          </w:rPr>
          <w:t xml:space="preserve">Chapter 19</w:t>
        </w:r>
      </w:hyperlink>
      <w:r>
        <w:t xml:space="preserve">.</w:t>
      </w:r>
    </w:p>
    <w:bookmarkEnd w:id="279"/>
    <w:bookmarkEnd w:id="280"/>
    <w:bookmarkStart w:id="281"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1"/>
    <w:bookmarkEnd w:id="282"/>
    <w:bookmarkStart w:id="285"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3">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4" w:name="mst-walkthrough-root"/>
    <w:bookmarkEnd w:id="284"/>
    <w:bookmarkEnd w:id="285"/>
    <w:bookmarkStart w:id="292"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0"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9" w:name="fig-cum-effects"/>
          <w:p>
            <w:pPr>
              <w:pStyle w:val="Compact"/>
              <w:jc w:val="center"/>
            </w:pPr>
            <w:r>
              <w:drawing>
                <wp:inline>
                  <wp:extent cx="5334000" cy="3953635"/>
                  <wp:effectExtent b="0" l="0" r="0" t="0"/>
                  <wp:docPr descr="" title="" id="287" name="Picture"/>
                  <a:graphic>
                    <a:graphicData uri="http://schemas.openxmlformats.org/drawingml/2006/picture">
                      <pic:pic>
                        <pic:nvPicPr>
                          <pic:cNvPr descr="figures/goodale2016_cumulative-effects.png" id="288" name="Picture"/>
                          <pic:cNvPicPr>
                            <a:picLocks noChangeArrowheads="1" noChangeAspect="1"/>
                          </pic:cNvPicPr>
                        </pic:nvPicPr>
                        <pic:blipFill>
                          <a:blip r:embed="rId286"/>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9"/>
        </w:tc>
      </w:tr>
    </w:tbl>
    <w:bookmarkEnd w:id="290"/>
    <w:bookmarkStart w:id="291" w:name="oil-gas"/>
    <w:p>
      <w:pPr>
        <w:pStyle w:val="Heading2"/>
      </w:pPr>
      <w:r>
        <w:t xml:space="preserve">12.2 Oil &amp; Gas</w:t>
      </w:r>
    </w:p>
    <w:bookmarkEnd w:id="291"/>
    <w:bookmarkEnd w:id="292"/>
    <w:bookmarkStart w:id="350" w:name="sec-software"/>
    <w:p>
      <w:pPr>
        <w:pStyle w:val="Heading1"/>
      </w:pPr>
      <w:r>
        <w:t xml:space="preserve">13. Software</w:t>
      </w:r>
    </w:p>
    <w:bookmarkStart w:id="34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3">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4">
        <w:r>
          <w:rPr>
            <w:rStyle w:val="VerbatimChar"/>
          </w:rPr>
          <w:t xml:space="preserve">plumber</w:t>
        </w:r>
      </w:hyperlink>
      <w:r>
        <w:t xml:space="preserve"> </w:t>
      </w:r>
      <w:r>
        <w:t xml:space="preserve">API for data requests,</w:t>
      </w:r>
      <w:r>
        <w:t xml:space="preserve"> </w:t>
      </w:r>
      <w:hyperlink r:id="rId295">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6">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two Shiny apps (</w:t>
      </w:r>
      <w:r>
        <w:rPr>
          <w:rStyle w:val="VerbatimChar"/>
        </w:rPr>
        <w:t xml:space="preserve">scores</w:t>
      </w:r>
      <w:r>
        <w:t xml:space="preserve">,</w:t>
      </w:r>
      <w:r>
        <w:t xml:space="preserve"> </w:t>
      </w:r>
      <w:r>
        <w:rPr>
          <w:rStyle w:val="VerbatimChar"/>
        </w:rPr>
        <w:t xml:space="preserve">species</w:t>
      </w:r>
      <w:r>
        <w:t xml:space="preserve">) that combine COG raster layers with static</w:t>
      </w:r>
      <w:r>
        <w:t xml:space="preserve"> </w:t>
      </w:r>
      <w:hyperlink r:id="rId297">
        <w:r>
          <w:rPr>
            <w:rStyle w:val="Hyperlink"/>
          </w:rPr>
          <w:t xml:space="preserve">PMTiles</w:t>
        </w:r>
      </w:hyperlink>
      <w:r>
        <w:t xml:space="preserve"> </w:t>
      </w:r>
      <w:r>
        <w:t xml:space="preserve">vector layers and live-pushed choropleth paint rules, each rendering</w:t>
      </w:r>
      <w:r>
        <w:t xml:space="preserve"> </w:t>
      </w:r>
      <w:r>
        <w:rPr>
          <w:b/>
          <w:bCs/>
        </w:rPr>
        <w:t xml:space="preserve">any published release</w:t>
      </w:r>
      <w:r>
        <w:t xml:space="preserve"> </w:t>
      </w:r>
      <w:r>
        <w:t xml:space="preserve">from the URL path;</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1" w:name="fig-architecture"/>
          <w:p>
            <w:pPr>
              <w:jc w:val="center"/>
            </w:pPr>
            <w:r>
              <w:drawing>
                <wp:inline>
                  <wp:extent cx="5334000" cy="2087880"/>
                  <wp:effectExtent b="0" l="0" r="0" t="0"/>
                  <wp:docPr descr="" title="" id="299" name="Picture"/>
                  <a:graphic>
                    <a:graphicData uri="http://schemas.openxmlformats.org/drawingml/2006/picture">
                      <pic:pic>
                        <pic:nvPicPr>
                          <pic:cNvPr descr="software_files/figure-docx/mermaid-figure-6.png" id="300" name="Picture"/>
                          <pic:cNvPicPr>
                            <a:picLocks noChangeArrowheads="1" noChangeAspect="1"/>
                          </pic:cNvPicPr>
                        </pic:nvPicPr>
                        <pic:blipFill>
                          <a:blip r:embed="rId298"/>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1"/>
        </w:tc>
      </w:tr>
    </w:tbl>
    <w:bookmarkStart w:id="303" w:name="interactive-applications"/>
    <w:p>
      <w:pPr>
        <w:pStyle w:val="Heading3"/>
      </w:pPr>
      <w:r>
        <w:t xml:space="preserve">13.1.1 Interactive Applications</w:t>
      </w:r>
    </w:p>
    <w:p>
      <w:pPr>
        <w:pStyle w:val="FirstParagraph"/>
      </w:pPr>
      <w:r>
        <w:t xml:space="preserve">We have developed a series of interactive applications to explore the data and results of the MST project. These applications allow users to visualize the data, explore the results, and interact with the data in a more intuitive way. The applications are built using the</w:t>
      </w:r>
      <w:r>
        <w:t xml:space="preserve"> </w:t>
      </w:r>
      <w:hyperlink r:id="rId302">
        <w:r>
          <w:rPr>
            <w:rStyle w:val="VerbatimChar"/>
          </w:rPr>
          <w:t xml:space="preserve">shiny</w:t>
        </w:r>
      </w:hyperlink>
      <w:r>
        <w:t xml:space="preserve"> </w:t>
      </w:r>
      <w:r>
        <w:t xml:space="preserve">package in R</w:t>
      </w:r>
      <w:r>
        <w:t xml:space="preserve"> </w:t>
      </w:r>
      <w:r>
        <w:t xml:space="preserve">(Chang et al. 2024)</w:t>
      </w:r>
      <w:r>
        <w:t xml:space="preserve">, which allows us to easily create a user interface with complex reactivity for an interactive web application easily accessed through a web browser. The applications are designed to be user-friendly and intuitive, with interactive maps, charts, and tables that allow users to explore the data in a more dynamic way.</w:t>
      </w:r>
    </w:p>
    <w:bookmarkEnd w:id="303"/>
    <w:bookmarkStart w:id="328"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4">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5">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297">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0"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9" w:name="fig-raster"/>
          <w:p>
            <w:pPr>
              <w:jc w:val="center"/>
            </w:pPr>
            <w:r>
              <w:drawing>
                <wp:inline>
                  <wp:extent cx="5334000" cy="2895599"/>
                  <wp:effectExtent b="0" l="0" r="0" t="0"/>
                  <wp:docPr descr="" title="" id="307" name="Picture"/>
                  <a:graphic>
                    <a:graphicData uri="http://schemas.openxmlformats.org/drawingml/2006/picture">
                      <pic:pic>
                        <pic:nvPicPr>
                          <pic:cNvPr descr="software_files/figure-docx/mermaid-figure-10.png" id="308" name="Picture"/>
                          <pic:cNvPicPr>
                            <a:picLocks noChangeArrowheads="1" noChangeAspect="1"/>
                          </pic:cNvPicPr>
                        </pic:nvPicPr>
                        <pic:blipFill>
                          <a:blip r:embed="rId306"/>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9"/>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0"/>
    <w:bookmarkStart w:id="317"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7">
        <w:r>
          <w:rPr>
            <w:rStyle w:val="Hyperlink"/>
          </w:rPr>
          <w:t xml:space="preserve">PMTiles</w:t>
        </w:r>
      </w:hyperlink>
      <w:r>
        <w:t xml:space="preserve"> </w:t>
      </w:r>
      <w:r>
        <w:t xml:space="preserve">archives offline via</w:t>
      </w:r>
      <w:r>
        <w:t xml:space="preserve"> </w:t>
      </w:r>
      <w:hyperlink r:id="rId311">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5" w:name="fig-pmtiles"/>
          <w:p>
            <w:pPr>
              <w:jc w:val="center"/>
            </w:pPr>
            <w:r>
              <w:drawing>
                <wp:inline>
                  <wp:extent cx="5334000" cy="1866900"/>
                  <wp:effectExtent b="0" l="0" r="0" t="0"/>
                  <wp:docPr descr="" title="" id="313" name="Picture"/>
                  <a:graphic>
                    <a:graphicData uri="http://schemas.openxmlformats.org/drawingml/2006/picture">
                      <pic:pic>
                        <pic:nvPicPr>
                          <pic:cNvPr descr="software_files/figure-docx/mermaid-figure-9.png" id="314" name="Picture"/>
                          <pic:cNvPicPr>
                            <a:picLocks noChangeArrowheads="1" noChangeAspect="1"/>
                          </pic:cNvPicPr>
                        </pic:nvPicPr>
                        <pic:blipFill>
                          <a:blip r:embed="rId312"/>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5"/>
        </w:tc>
      </w:tr>
    </w:tbl>
    <w:p>
      <w:pPr>
        <w:pStyle w:val="BodyText"/>
      </w:pPr>
      <w:r>
        <w:t xml:space="preserve">This is a deliberate simplification from the prior architecture which used PostgreSQL + PostGIS +</w:t>
      </w:r>
      <w:r>
        <w:t xml:space="preserve"> </w:t>
      </w:r>
      <w:hyperlink r:id="rId316">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7"/>
    <w:bookmarkStart w:id="322"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The Shiny server handles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maps</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1" w:name="fig-choropleth"/>
          <w:p>
            <w:pPr>
              <w:jc w:val="center"/>
            </w:pPr>
            <w:r>
              <w:drawing>
                <wp:inline>
                  <wp:extent cx="5334000" cy="2339340"/>
                  <wp:effectExtent b="0" l="0" r="0" t="0"/>
                  <wp:docPr descr="" title="" id="319" name="Picture"/>
                  <a:graphic>
                    <a:graphicData uri="http://schemas.openxmlformats.org/drawingml/2006/picture">
                      <pic:pic>
                        <pic:nvPicPr>
                          <pic:cNvPr descr="software_files/figure-docx/mermaid-figure-8.png" id="320" name="Picture"/>
                          <pic:cNvPicPr>
                            <a:picLocks noChangeArrowheads="1" noChangeAspect="1"/>
                          </pic:cNvPicPr>
                        </pic:nvPicPr>
                        <pic:blipFill>
                          <a:blip r:embed="rId318"/>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1"/>
        </w:tc>
      </w:tr>
    </w:tbl>
    <w:bookmarkEnd w:id="322"/>
    <w:bookmarkStart w:id="327"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6" w:name="fig-data-pipeline"/>
          <w:p>
            <w:pPr>
              <w:jc w:val="center"/>
            </w:pPr>
            <w:r>
              <w:drawing>
                <wp:inline>
                  <wp:extent cx="5334000" cy="3055619"/>
                  <wp:effectExtent b="0" l="0" r="0" t="0"/>
                  <wp:docPr descr="" title="" id="324" name="Picture"/>
                  <a:graphic>
                    <a:graphicData uri="http://schemas.openxmlformats.org/drawingml/2006/picture">
                      <pic:pic>
                        <pic:nvPicPr>
                          <pic:cNvPr descr="software_files/figure-docx/mermaid-figure-7.png" id="325" name="Picture"/>
                          <pic:cNvPicPr>
                            <a:picLocks noChangeArrowheads="1" noChangeAspect="1"/>
                          </pic:cNvPicPr>
                        </pic:nvPicPr>
                        <pic:blipFill>
                          <a:blip r:embed="rId323"/>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6"/>
        </w:tc>
      </w:tr>
    </w:tbl>
    <w:bookmarkEnd w:id="327"/>
    <w:bookmarkEnd w:id="328"/>
    <w:bookmarkStart w:id="343"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9">
              <w:r>
                <w:rPr>
                  <w:rStyle w:val="Hyperlink"/>
                </w:rPr>
                <w:t xml:space="preserve">.github</w:t>
              </w:r>
            </w:hyperlink>
          </w:p>
        </w:tc>
        <w:tc>
          <w:tcPr/>
          <w:p>
            <w:pPr>
              <w:pStyle w:val="Compact"/>
              <w:jc w:val="left"/>
            </w:pPr>
            <w:r>
              <w:t xml:space="preserve">organization README</w:t>
            </w:r>
          </w:p>
        </w:tc>
      </w:tr>
      <w:tr>
        <w:tc>
          <w:tcPr/>
          <w:p>
            <w:pPr>
              <w:pStyle w:val="Compact"/>
              <w:jc w:val="left"/>
            </w:pPr>
            <w:hyperlink r:id="rId330">
              <w:r>
                <w:rPr>
                  <w:rStyle w:val="Hyperlink"/>
                </w:rPr>
                <w:t xml:space="preserve">analytics</w:t>
              </w:r>
            </w:hyperlink>
          </w:p>
        </w:tc>
        <w:tc>
          <w:tcPr/>
          <w:p>
            <w:pPr>
              <w:pStyle w:val="Compact"/>
              <w:jc w:val="left"/>
            </w:pPr>
            <w:r>
              <w:t xml:space="preserve">NA</w:t>
            </w:r>
          </w:p>
        </w:tc>
      </w:tr>
      <w:tr>
        <w:tc>
          <w:tcPr/>
          <w:p>
            <w:pPr>
              <w:pStyle w:val="Compact"/>
              <w:jc w:val="left"/>
            </w:pPr>
            <w:hyperlink r:id="rId331">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2">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3">
              <w:r>
                <w:rPr>
                  <w:rStyle w:val="Hyperlink"/>
                </w:rPr>
                <w:t xml:space="preserve">apps</w:t>
              </w:r>
            </w:hyperlink>
          </w:p>
        </w:tc>
        <w:tc>
          <w:tcPr/>
          <w:p>
            <w:pPr>
              <w:pStyle w:val="Compact"/>
              <w:jc w:val="left"/>
            </w:pPr>
            <w:r>
              <w:t xml:space="preserve">Shiny applications</w:t>
            </w:r>
          </w:p>
        </w:tc>
      </w:tr>
      <w:tr>
        <w:tc>
          <w:tcPr/>
          <w:p>
            <w:pPr>
              <w:pStyle w:val="Compact"/>
              <w:jc w:val="left"/>
            </w:pPr>
            <w:hyperlink r:id="rId334">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5">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6">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7">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8">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9">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0">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1">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2">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3"/>
    <w:bookmarkStart w:id="348" w:name="software-components"/>
    <w:p>
      <w:pPr>
        <w:pStyle w:val="Heading3"/>
      </w:pPr>
      <w:r>
        <w:t xml:space="preserve">13.1.4 Software Components</w:t>
      </w:r>
    </w:p>
    <w:bookmarkStart w:id="344" w:name="list-components"/>
    <w:bookmarkEnd w:id="344"/>
    <w:p>
      <w:pPr>
        <w:pStyle w:val="FirstParagraph"/>
      </w:pPr>
      <w:r>
        <w:drawing>
          <wp:inline>
            <wp:extent cx="5334000" cy="5215816"/>
            <wp:effectExtent b="0" l="0" r="0" t="0"/>
            <wp:docPr descr="" title="" id="346" name="Picture"/>
            <a:graphic>
              <a:graphicData uri="http://schemas.openxmlformats.org/drawingml/2006/picture">
                <pic:pic>
                  <pic:nvPicPr>
                    <pic:cNvPr descr="figures/listing-software.png" id="347" name="Picture"/>
                    <pic:cNvPicPr>
                      <a:picLocks noChangeArrowheads="1" noChangeAspect="1"/>
                    </pic:cNvPicPr>
                  </pic:nvPicPr>
                  <pic:blipFill>
                    <a:blip r:embed="rId345"/>
                    <a:stretch>
                      <a:fillRect/>
                    </a:stretch>
                  </pic:blipFill>
                  <pic:spPr bwMode="auto">
                    <a:xfrm>
                      <a:off x="0" y="0"/>
                      <a:ext cx="5334000" cy="5215816"/>
                    </a:xfrm>
                    <a:prstGeom prst="rect">
                      <a:avLst/>
                    </a:prstGeom>
                    <a:noFill/>
                    <a:ln w="9525">
                      <a:noFill/>
                      <a:headEnd/>
                      <a:tailEnd/>
                    </a:ln>
                  </pic:spPr>
                </pic:pic>
              </a:graphicData>
            </a:graphic>
          </wp:inline>
        </w:drawing>
      </w:r>
    </w:p>
    <w:bookmarkEnd w:id="348"/>
    <w:bookmarkEnd w:id="349"/>
    <w:bookmarkEnd w:id="350"/>
    <w:bookmarkStart w:id="400" w:name="sec-server"/>
    <w:p>
      <w:pPr>
        <w:pStyle w:val="Heading1"/>
      </w:pPr>
      <w:r>
        <w:t xml:space="preserve">14. Server</w:t>
      </w:r>
    </w:p>
    <w:p>
      <w:pPr>
        <w:pStyle w:val="FirstParagraph"/>
      </w:pPr>
      <w:r>
        <w:t xml:space="preserve">The server is for serving up any web services outside those of Github (e.g.,</w:t>
      </w:r>
      <w:r>
        <w:t xml:space="preserve"> </w:t>
      </w:r>
      <w:hyperlink r:id="rId351">
        <w:r>
          <w:rPr>
            <w:rStyle w:val="Hyperlink"/>
          </w:rPr>
          <w:t xml:space="preserve">website</w:t>
        </w:r>
      </w:hyperlink>
      <w:r>
        <w:t xml:space="preserve">,</w:t>
      </w:r>
      <w:r>
        <w:t xml:space="preserve"> </w:t>
      </w:r>
      <w:hyperlink r:id="rId352">
        <w:r>
          <w:rPr>
            <w:rStyle w:val="Hyperlink"/>
          </w:rPr>
          <w:t xml:space="preserve">docs</w:t>
        </w:r>
      </w:hyperlink>
      <w:r>
        <w:t xml:space="preserve"> </w:t>
      </w:r>
      <w:r>
        <w:t xml:space="preserve">and R package</w:t>
      </w:r>
      <w:r>
        <w:t xml:space="preserve"> </w:t>
      </w:r>
      <w:hyperlink r:id="rId353">
        <w:r>
          <w:rPr>
            <w:rStyle w:val="Hyperlink"/>
          </w:rPr>
          <w:t xml:space="preserve">msens</w:t>
        </w:r>
      </w:hyperlink>
      <w:r>
        <w:t xml:space="preserve">) using</w:t>
      </w:r>
      <w:r>
        <w:t xml:space="preserve"> </w:t>
      </w:r>
      <w:hyperlink r:id="rId354">
        <w:r>
          <w:rPr>
            <w:rStyle w:val="Hyperlink"/>
          </w:rPr>
          <w:t xml:space="preserve">Docker</w:t>
        </w:r>
      </w:hyperlink>
      <w:r>
        <w:t xml:space="preserve"> </w:t>
      </w:r>
      <w:r>
        <w:t xml:space="preserve">(see the</w:t>
      </w:r>
      <w:r>
        <w:t xml:space="preserve"> </w:t>
      </w:r>
      <w:hyperlink r:id="rId355">
        <w:r>
          <w:rPr>
            <w:rStyle w:val="Hyperlink"/>
          </w:rPr>
          <w:t xml:space="preserve">docker-compose.yml</w:t>
        </w:r>
      </w:hyperlink>
      <w:r>
        <w:t xml:space="preserve">; with reverse proxying from subdomains to ports by</w:t>
      </w:r>
      <w:r>
        <w:t xml:space="preserve"> </w:t>
      </w:r>
      <w:hyperlink r:id="rId35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59" w:name="allocate-ip-address"/>
    <w:p>
      <w:pPr>
        <w:pStyle w:val="Heading4"/>
      </w:pPr>
      <w:r>
        <w:t xml:space="preserve">14.1.1.1 allocate IP address</w:t>
      </w:r>
    </w:p>
    <w:p>
      <w:pPr>
        <w:numPr>
          <w:ilvl w:val="0"/>
          <w:numId w:val="1031"/>
        </w:numPr>
      </w:pPr>
      <w:hyperlink r:id="rId358">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59"/>
    <w:bookmarkEnd w:id="360"/>
    <w:bookmarkStart w:id="36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2" w:name="set-hostname"/>
    <w:p>
      <w:pPr>
        <w:pStyle w:val="Heading4"/>
      </w:pPr>
      <w:r>
        <w:t xml:space="preserve">14.1.2.1 set hostname</w:t>
      </w:r>
    </w:p>
    <w:p>
      <w:pPr>
        <w:pStyle w:val="Compact"/>
        <w:numPr>
          <w:ilvl w:val="0"/>
          <w:numId w:val="1032"/>
        </w:numPr>
      </w:pPr>
      <w:hyperlink r:id="rId36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2"/>
    <w:bookmarkStart w:id="36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4"/>
    <w:bookmarkEnd w:id="365"/>
    <w:bookmarkStart w:id="369" w:name="install-docker"/>
    <w:p>
      <w:pPr>
        <w:pStyle w:val="Heading3"/>
      </w:pPr>
      <w:r>
        <w:t xml:space="preserve">14.1.3 install docker</w:t>
      </w:r>
    </w:p>
    <w:p>
      <w:pPr>
        <w:pStyle w:val="FirstParagraph"/>
      </w:pPr>
      <w:r>
        <w:t xml:space="preserve">Following:</w:t>
      </w:r>
    </w:p>
    <w:p>
      <w:pPr>
        <w:pStyle w:val="Compact"/>
        <w:numPr>
          <w:ilvl w:val="0"/>
          <w:numId w:val="1034"/>
        </w:numPr>
      </w:pPr>
      <w:hyperlink r:id="rId36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8" w:name="run-docker-compose"/>
    <w:p>
      <w:pPr>
        <w:pStyle w:val="Heading4"/>
      </w:pPr>
      <w:r>
        <w:t xml:space="preserve">14.1.3.1 run docker compose</w:t>
      </w:r>
    </w:p>
    <w:p>
      <w:pPr>
        <w:pStyle w:val="Compact"/>
        <w:numPr>
          <w:ilvl w:val="0"/>
          <w:numId w:val="1035"/>
        </w:numPr>
      </w:pPr>
      <w:r>
        <w:t xml:space="preserve">/Users/bbest/My Drive/private/</w:t>
      </w:r>
      <w:hyperlink r:id="rId36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8"/>
    <w:bookmarkEnd w:id="369"/>
    <w:bookmarkStart w:id="37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0">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1"/>
    <w:bookmarkEnd w:id="372"/>
    <w:bookmarkStart w:id="37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for these to the review host</w:t>
      </w:r>
      <w:r>
        <w:br/>
      </w:r>
      <w:r>
        <w:rPr>
          <w:rStyle w:val="CommentTok"/>
        </w:rPr>
        <w:t xml:space="preserve">      # instead of silently rendering the promoted release (or, for atlas, a</w:t>
      </w:r>
      <w:r>
        <w:br/>
      </w:r>
      <w:r>
        <w:rPr>
          <w:rStyle w:val="CommentTok"/>
        </w:rPr>
        <w:t xml:space="preserve">      # bare 404 -- this host has no other route for /{ver}/atlas/ at all).</w:t>
      </w:r>
      <w:r>
        <w:br/>
      </w:r>
      <w:r>
        <w:rPr>
          <w:rStyle w:val="CommentTok"/>
        </w:rPr>
        <w:t xml:space="preserve">      # Kept in the server .env beside PREVIEW_REVIEWERS_&lt;VER&gt;; DEPLOY_CADDY</w:t>
      </w:r>
      <w:r>
        <w:br/>
      </w:r>
      <w:r>
        <w:rPr>
          <w:rStyle w:val="CommentTok"/>
        </w:rPr>
        <w:t xml:space="preserve">      # asserts it against versions.json. Unset, nothing matches and the old</w:t>
      </w:r>
      <w:r>
        <w:br/>
      </w:r>
      <w:r>
        <w:rPr>
          <w:rStyle w:val="CommentTok"/>
        </w:rPr>
        <w:t xml:space="preserve">      # fallback behaviour stands.</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3"/>
    <w:bookmarkStart w:id="376" w:name="dns"/>
    <w:p>
      <w:pPr>
        <w:pStyle w:val="Heading2"/>
      </w:pPr>
      <w:r>
        <w:t xml:space="preserve">14.3 DNS</w:t>
      </w:r>
    </w:p>
    <w:p>
      <w:pPr>
        <w:pStyle w:val="FirstParagraph"/>
      </w:pPr>
      <w:r>
        <w:t xml:space="preserve">The domain name server (DNS) records are managed by</w:t>
      </w:r>
      <w:r>
        <w:t xml:space="preserve"> </w:t>
      </w:r>
      <w:hyperlink r:id="rId37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6"/>
    <w:bookmarkStart w:id="37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/scores and /species are now ONE app that renders any published release</w:t>
      </w:r>
      <w:r>
        <w:br/>
      </w:r>
      <w:r>
        <w:rPr>
          <w:rStyle w:val="VerbatimChar"/>
        </w:rPr>
        <w:t xml:space="preserve">    # from ?ver=. Every former per-version instance redirects to it rather than</w:t>
      </w:r>
      <w:r>
        <w:br/>
      </w:r>
      <w:r>
        <w:rPr>
          <w:rStyle w:val="VerbatimChar"/>
        </w:rPr>
        <w:t xml:space="preserve">    # 404ing, so old links, bookmarks and anything in a published report keep</w:t>
      </w:r>
      <w:r>
        <w:br/>
      </w:r>
      <w:r>
        <w:rPr>
          <w:rStyle w:val="VerbatimChar"/>
        </w:rPr>
        <w:t xml:space="preserve">    # resolving — to the SAME release they always showed.</w:t>
      </w:r>
      <w:r>
        <w:br/>
      </w:r>
      <w:r>
        <w:rPr>
          <w:rStyle w:val="VerbatimChar"/>
        </w:rPr>
        <w:t xml:space="preserve">    #</w:t>
      </w:r>
      <w:r>
        <w:br/>
      </w:r>
      <w:r>
        <w:rPr>
          <w:rStyle w:val="VerbatimChar"/>
        </w:rPr>
        <w:t xml:space="preserve">    # The v7 apps were `mapgl` (scores) and `mapsp` (species); v1-v6 were</w:t>
      </w:r>
      <w:r>
        <w:br/>
      </w:r>
      <w:r>
        <w:rPr>
          <w:rStyle w:val="VerbatimChar"/>
        </w:rPr>
        <w:t xml:space="preserve">    # `mapgl_v{n}` / `mapsp_v{n}`; v6 and v8 also had `scores_v{n}` /</w:t>
      </w:r>
      <w:r>
        <w:br/>
      </w:r>
      <w:r>
        <w:rPr>
          <w:rStyle w:val="VerbatimChar"/>
        </w:rPr>
        <w:t xml:space="preserve">    # `species_v{n}` aliases. All of them land on /scores or /species with the</w:t>
      </w:r>
      <w:r>
        <w:br/>
      </w:r>
      <w:r>
        <w:rPr>
          <w:rStyle w:val="VerbatimChar"/>
        </w:rPr>
        <w:t xml:space="preserve">    # version they represent.</w:t>
      </w:r>
      <w:r>
        <w:br/>
      </w:r>
      <w:r>
        <w:rPr>
          <w:rStyle w:val="VerbatimChar"/>
        </w:rPr>
        <w:t xml:space="preserve">    #</w:t>
      </w:r>
      <w:r>
        <w:br/>
      </w:r>
      <w:r>
        <w:rPr>
          <w:rStyle w:val="VerbatimChar"/>
        </w:rPr>
        <w:t xml:space="preserve">    # 301 (permanent): these instances are not coming back, and a permanent</w:t>
      </w:r>
      <w:r>
        <w:br/>
      </w:r>
      <w:r>
        <w:rPr>
          <w:rStyle w:val="VerbatimChar"/>
        </w:rPr>
        <w:t xml:space="preserve">    # redirect lets browsers and crawlers stop asking.</w:t>
      </w:r>
      <w:r>
        <w:br/>
      </w:r>
      <w:r>
        <w:rPr>
          <w:rStyle w:val="VerbatimChar"/>
        </w:rPr>
        <w:t xml:space="preserve">    #</w:t>
      </w:r>
      <w:r>
        <w:br/>
      </w:r>
      <w:r>
        <w:rPr>
          <w:rStyle w:val="VerbatimChar"/>
        </w:rPr>
        <w:t xml:space="preserve">    # `&amp;{query}` IS THE POINT OF THE REDIRECT. A redir target that carries its own</w:t>
      </w:r>
      <w:r>
        <w:br/>
      </w:r>
      <w:r>
        <w:rPr>
          <w:rStyle w:val="VerbatimChar"/>
        </w:rPr>
        <w:t xml:space="preserve">    # query string REPLACES the incoming one, so these rules used to answer</w:t>
      </w:r>
      <w:r>
        <w:br/>
      </w:r>
      <w:r>
        <w:rPr>
          <w:rStyle w:val="VerbatimChar"/>
        </w:rPr>
        <w:t xml:space="preserve">    # /mapsp/?mdl_seq=1434 with /species/?ver=v7 -- dropping the very thing the</w:t>
      </w:r>
      <w:r>
        <w:br/>
      </w:r>
      <w:r>
        <w:rPr>
          <w:rStyle w:val="VerbatimChar"/>
        </w:rPr>
        <w:t xml:space="preserve">    # link was about. The app then opened on its default taxon, which is why every</w:t>
      </w:r>
      <w:r>
        <w:br/>
      </w:r>
      <w:r>
        <w:rPr>
          <w:rStyle w:val="VerbatimChar"/>
        </w:rPr>
        <w:t xml:space="preserve">    # deep link in the final report, and the ones in issue #5, silently showed the</w:t>
      </w:r>
      <w:r>
        <w:br/>
      </w:r>
      <w:r>
        <w:rPr>
          <w:rStyle w:val="VerbatimChar"/>
        </w:rPr>
        <w:t xml:space="preserve">    # leatherback turtle. Every published per-species link is of this form, so a</w:t>
      </w:r>
      <w:r>
        <w:br/>
      </w:r>
      <w:r>
        <w:rPr>
          <w:rStyle w:val="VerbatimChar"/>
        </w:rPr>
        <w:t xml:space="preserve">    # redirect that keeps the path and loses the id is worse than a 404: it looks</w:t>
      </w:r>
      <w:r>
        <w:br/>
      </w:r>
      <w:r>
        <w:rPr>
          <w:rStyle w:val="VerbatimChar"/>
        </w:rPr>
        <w:t xml:space="preserve">    # like it worked (MarineSensitivity/apps#6).</w:t>
      </w:r>
      <w:r>
        <w:br/>
      </w:r>
      <w:r>
        <w:rPr>
          <w:rStyle w:val="VerbatimChar"/>
        </w:rPr>
        <w:t xml:space="preserve">    #</w:t>
      </w:r>
      <w:r>
        <w:br/>
      </w:r>
      <w:r>
        <w:rPr>
          <w:rStyle w:val="VerbatimChar"/>
        </w:rPr>
        <w:t xml:space="preserve">    # An empty {query} leaves a harmless trailing "&amp;", which parses to nothing.</w:t>
      </w:r>
      <w:r>
        <w:br/>
      </w:r>
      <w:r>
        <w:rPr>
          <w:rStyle w:val="VerbatimChar"/>
        </w:rPr>
        <w:t xml:space="preserve">    @scores_ver path_regexp scv ^/(?:mapgl|scores)_(v[0-9]+[a-z]?)(?:/(.*))?$</w:t>
      </w:r>
      <w:r>
        <w:br/>
      </w:r>
      <w:r>
        <w:rPr>
          <w:rStyle w:val="VerbatimChar"/>
        </w:rPr>
        <w:t xml:space="preserve">    redir @scores_ver /{re.scv.1}/scores/?{query} 301</w:t>
      </w:r>
      <w:r>
        <w:br/>
      </w:r>
      <w:r>
        <w:br/>
      </w:r>
      <w:r>
        <w:rPr>
          <w:rStyle w:val="VerbatimChar"/>
        </w:rPr>
        <w:t xml:space="preserve">    @species_ver path_regexp spv ^/(?:mapsp|species)_(v[0-9]+[a-z]?)(?:/(.*))?$</w:t>
      </w:r>
      <w:r>
        <w:br/>
      </w:r>
      <w:r>
        <w:rPr>
          <w:rStyle w:val="VerbatimChar"/>
        </w:rPr>
        <w:t xml:space="preserve">    redir @species_ver /{re.spv.1}/species/?{query} 301</w:t>
      </w:r>
      <w:r>
        <w:br/>
      </w:r>
      <w:r>
        <w:br/>
      </w:r>
      <w:r>
        <w:rPr>
          <w:rStyle w:val="VerbatimChar"/>
        </w:rPr>
        <w:t xml:space="preserve">    # the unsuffixed v7 instances: `mapgl`/`mapsp` were what /scores and</w:t>
      </w:r>
      <w:r>
        <w:br/>
      </w:r>
      <w:r>
        <w:rPr>
          <w:rStyle w:val="VerbatimChar"/>
        </w:rPr>
        <w:t xml:space="preserve">    # /species pointed at, so they carry v7 explicitly</w:t>
      </w:r>
      <w:r>
        <w:br/>
      </w:r>
      <w:r>
        <w:rPr>
          <w:rStyle w:val="VerbatimChar"/>
        </w:rPr>
        <w:t xml:space="preserve">    @scores_v7 path_regexp sc7 ^/mapgl(?:/(.*))?$</w:t>
      </w:r>
      <w:r>
        <w:br/>
      </w:r>
      <w:r>
        <w:rPr>
          <w:rStyle w:val="VerbatimChar"/>
        </w:rPr>
        <w:t xml:space="preserve">    redir @scores_v7 /v7/scores/?{query} 301</w:t>
      </w:r>
      <w:r>
        <w:br/>
      </w:r>
      <w:r>
        <w:br/>
      </w:r>
      <w:r>
        <w:rPr>
          <w:rStyle w:val="VerbatimChar"/>
        </w:rPr>
        <w:t xml:space="preserve">    @species_v7 path_regexp sp7 ^/mapsp(?:/(.*))?$</w:t>
      </w:r>
      <w:r>
        <w:br/>
      </w:r>
      <w:r>
        <w:rPr>
          <w:rStyle w:val="VerbatimChar"/>
        </w:rPr>
        <w:t xml:space="preserve">    redir @species_v7 /v7/species/?{query} 301</w:t>
      </w:r>
      <w:r>
        <w:br/>
      </w:r>
      <w:r>
        <w:br/>
      </w:r>
      <w:r>
        <w:rPr>
          <w:rStyle w:val="VerbatimChar"/>
        </w:rPr>
        <w:t xml:space="preserve">    # A RESTRICTED release asked for on the PUBLIC host goes to the review host</w:t>
      </w:r>
      <w:r>
        <w:br/>
      </w:r>
      <w:r>
        <w:rPr>
          <w:rStyle w:val="VerbatimChar"/>
        </w:rPr>
        <w:t xml:space="preserve">    # (2026-08-28). The app process here cannot resolve a restricted version</w:t>
      </w:r>
      <w:r>
        <w:br/>
      </w:r>
      <w:r>
        <w:rPr>
          <w:rStyle w:val="VerbatimChar"/>
        </w:rPr>
        <w:t xml:space="preserve">    # (msens::atlas_allow_access), so /v8/scores/ used to render the promoted</w:t>
      </w:r>
      <w:r>
        <w:br/>
      </w:r>
      <w:r>
        <w:rPr>
          <w:rStyle w:val="VerbatimChar"/>
        </w:rPr>
        <w:t xml:space="preserve">    # release with no hint -- fail-closed, but from a published link it simply</w:t>
      </w:r>
      <w:r>
        <w:br/>
      </w:r>
      <w:r>
        <w:rPr>
          <w:rStyle w:val="VerbatimChar"/>
        </w:rPr>
        <w:t xml:space="preserve">    # looked like the wrong version (the homepage's v8 links "oddly ended up on</w:t>
      </w:r>
      <w:r>
        <w:br/>
      </w:r>
      <w:r>
        <w:rPr>
          <w:rStyle w:val="VerbatimChar"/>
        </w:rPr>
        <w:t xml:space="preserve">    # v7"). Every spelling funnels through the path form first -- the retirement</w:t>
      </w:r>
      <w:r>
        <w:br/>
      </w:r>
      <w:r>
        <w:rPr>
          <w:rStyle w:val="VerbatimChar"/>
        </w:rPr>
        <w:t xml:space="preserve">    # 301s above, the ?ver= 301s in app_version_routes.caddy -- so this ONE</w:t>
      </w:r>
      <w:r>
        <w:br/>
      </w:r>
      <w:r>
        <w:rPr>
          <w:rStyle w:val="VerbatimChar"/>
        </w:rPr>
        <w:t xml:space="preserve">    # matcher catches them all and {uri} carries the query (deep links keep</w:t>
      </w:r>
      <w:r>
        <w:br/>
      </w:r>
      <w:r>
        <w:rPr>
          <w:rStyle w:val="VerbatimChar"/>
        </w:rPr>
        <w:t xml:space="preserve">    # their mdl_key). 302, not 301: a version stops being restricted when it is</w:t>
      </w:r>
      <w:r>
        <w:br/>
      </w:r>
      <w:r>
        <w:rPr>
          <w:rStyle w:val="VerbatimChar"/>
        </w:rPr>
        <w:t xml:space="preserve">    # released, and a cached 301 would keep sending visitors to the review host.</w:t>
      </w:r>
      <w:r>
        <w:br/>
      </w:r>
      <w:r>
        <w:rPr>
          <w:rStyle w:val="VerbatimChar"/>
        </w:rPr>
        <w:t xml:space="preserve">    #</w:t>
      </w:r>
      <w:r>
        <w:br/>
      </w:r>
      <w:r>
        <w:rPr>
          <w:rStyle w:val="VerbatimChar"/>
        </w:rPr>
        <w:t xml:space="preserve">    # `atlas` joined this matcher 2026-09-24 (atlas-9): the static atlas app has</w:t>
      </w:r>
      <w:r>
        <w:br/>
      </w:r>
      <w:r>
        <w:rPr>
          <w:rStyle w:val="VerbatimChar"/>
        </w:rPr>
        <w:t xml:space="preserve">    # no canonical URL on THIS host (its public home is marinesensitivity.org/</w:t>
      </w:r>
      <w:r>
        <w:br/>
      </w:r>
      <w:r>
        <w:rPr>
          <w:rStyle w:val="VerbatimChar"/>
        </w:rPr>
        <w:t xml:space="preserve">    # atlas/?ver=, GitHub Pages -- a different origin this Caddyfile does not</w:t>
      </w:r>
      <w:r>
        <w:br/>
      </w:r>
      <w:r>
        <w:rPr>
          <w:rStyle w:val="VerbatimChar"/>
        </w:rPr>
        <w:t xml:space="preserve">    # serve at all), so nothing here would otherwise answer /{ver}/atlas/ except</w:t>
      </w:r>
      <w:r>
        <w:br/>
      </w:r>
      <w:r>
        <w:rPr>
          <w:rStyle w:val="VerbatimChar"/>
        </w:rPr>
        <w:t xml:space="preserve">    # falling through to `reverse_proxy rstudio:3838`, which does not know that</w:t>
      </w:r>
      <w:r>
        <w:br/>
      </w:r>
      <w:r>
        <w:rPr>
          <w:rStyle w:val="VerbatimChar"/>
        </w:rPr>
        <w:t xml:space="preserve">    # path. Covering it keeps the same guarantee scores/species already have --</w:t>
      </w:r>
      <w:r>
        <w:br/>
      </w:r>
      <w:r>
        <w:rPr>
          <w:rStyle w:val="VerbatimChar"/>
        </w:rPr>
        <w:t xml:space="preserve">    # a reviewer who guesses the /v9/atlas/ shape by analogy lands on the review</w:t>
      </w:r>
      <w:r>
        <w:br/>
      </w:r>
      <w:r>
        <w:rPr>
          <w:rStyle w:val="VerbatimChar"/>
        </w:rPr>
        <w:t xml:space="preserve">    # host, never a 404 that looks like "this version doesn't have an atlas" --</w:t>
      </w:r>
      <w:r>
        <w:br/>
      </w:r>
      <w:r>
        <w:rPr>
          <w:rStyle w:val="VerbatimChar"/>
        </w:rPr>
        <w:t xml:space="preserve">    # and it is what sends a restricted version's atlas request to the ONE place</w:t>
      </w:r>
      <w:r>
        <w:br/>
      </w:r>
      <w:r>
        <w:rPr>
          <w:rStyle w:val="VerbatimChar"/>
        </w:rPr>
        <w:t xml:space="preserve">    # that can actually serve it (preview_routes.caddy's atlas import).</w:t>
      </w:r>
      <w:r>
        <w:br/>
      </w:r>
      <w:r>
        <w:rPr>
          <w:rStyle w:val="VerbatimChar"/>
        </w:rPr>
        <w:t xml:space="preserve">    #</w:t>
      </w:r>
      <w:r>
        <w:br/>
      </w:r>
      <w:r>
        <w:rPr>
          <w:rStyle w:val="VerbatimChar"/>
        </w:rPr>
        <w:t xml:space="preserve">    # PREVIEW_RESTRICTED_VERSIONS is a regex alternation of the restricted</w:t>
      </w:r>
      <w:r>
        <w:br/>
      </w:r>
      <w:r>
        <w:rPr>
          <w:rStyle w:val="VerbatimChar"/>
        </w:rPr>
        <w:t xml:space="preserve">    # versions ("v8|v9") from the server .env -- the same manual step as</w:t>
      </w:r>
      <w:r>
        <w:br/>
      </w:r>
      <w:r>
        <w:rPr>
          <w:rStyle w:val="VerbatimChar"/>
        </w:rPr>
        <w:t xml:space="preserve">    # PREVIEW_REVIEWERS_&lt;VER&gt; and CF_ACCESS_AUD -- and DEPLOY_CADDY asserts it</w:t>
      </w:r>
      <w:r>
        <w:br/>
      </w:r>
      <w:r>
        <w:rPr>
          <w:rStyle w:val="VerbatimChar"/>
        </w:rPr>
        <w:t xml:space="preserve">    # against versions.json before restarting. Unset, it matches nothing and the</w:t>
      </w:r>
      <w:r>
        <w:br/>
      </w:r>
      <w:r>
        <w:rPr>
          <w:rStyle w:val="VerbatimChar"/>
        </w:rPr>
        <w:t xml:space="preserve">    # prior behaviour (fall back to the promoted release) stands.</w:t>
      </w:r>
      <w:r>
        <w:br/>
      </w:r>
      <w:r>
        <w:rPr>
          <w:rStyle w:val="VerbatimChar"/>
        </w:rPr>
        <w:t xml:space="preserve">    @restricted_app path_regexp rapp ^/(?:{$PREVIEW_RESTRICTED_VERSIONS:__none__})/(?:scores|species|atlas)(?:/.*)?$</w:t>
      </w:r>
      <w:r>
        <w:br/>
      </w:r>
      <w:r>
        <w:rPr>
          <w:rStyle w:val="VerbatimChar"/>
        </w:rPr>
        <w:t xml:space="preserve">    redir @restricted_app https://preview.marinesensitivity.org{uri} 302</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href="https://app.marinesensitivity.org/scores/"&gt;Scores&lt;/a&gt; ·</w:t>
      </w:r>
      <w:r>
        <w:br/>
      </w:r>
      <w:r>
        <w:rPr>
          <w:rStyle w:val="VerbatimChar"/>
        </w:rPr>
        <w:t xml:space="preserve">                &lt;a href="https://app.marinesensitivity.org/species/"&gt;Species&lt;/a&gt;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8"/>
    <w:bookmarkStart w:id="399"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1" w:name="app-data-plane"/>
    <w:p>
      <w:pPr>
        <w:pStyle w:val="Heading3"/>
      </w:pPr>
      <w:r>
        <w:t xml:space="preserve">14.5.1 App + data plane</w:t>
      </w:r>
    </w:p>
    <w:p>
      <w:pPr>
        <w:numPr>
          <w:ilvl w:val="0"/>
          <w:numId w:val="1037"/>
        </w:numPr>
      </w:pPr>
      <w:hyperlink r:id="rId379">
        <w:r>
          <w:rPr>
            <w:rStyle w:val="Hyperlink"/>
            <w:b/>
            <w:bCs/>
          </w:rPr>
          <w:t xml:space="preserve">app</w:t>
        </w:r>
      </w:hyperlink>
      <w:r>
        <w:t xml:space="preserve"> </w:t>
      </w:r>
      <w:r>
        <w:t xml:space="preserve">/</w:t>
      </w:r>
      <w:r>
        <w:t xml:space="preserve"> </w:t>
      </w:r>
      <w:hyperlink r:id="rId380">
        <w:r>
          <w:rPr>
            <w:rStyle w:val="Hyperlink"/>
            <w:b/>
            <w:bCs/>
          </w:rPr>
          <w:t xml:space="preserve">shiny</w:t>
        </w:r>
      </w:hyperlink>
      <w:r>
        <w:br/>
      </w:r>
      <w:r>
        <w:rPr>
          <w:i/>
          <w:iCs/>
        </w:rPr>
        <w:t xml:space="preserve">interactive Shiny applications</w:t>
      </w:r>
      <w:r>
        <w:t xml:space="preserve"> </w:t>
      </w:r>
      <w:r>
        <w:t xml:space="preserve">— proxied to the</w:t>
      </w:r>
      <w:r>
        <w:t xml:space="preserve"> </w:t>
      </w:r>
      <w:r>
        <w:rPr>
          <w:rStyle w:val="VerbatimChar"/>
        </w:rPr>
        <w:t xml:space="preserve">rstudio</w:t>
      </w:r>
      <w:r>
        <w:t xml:space="preserve"> </w:t>
      </w:r>
      <w:r>
        <w:t xml:space="preserve">container’s Shiny Server on internal port 3838. There are now</w:t>
      </w:r>
      <w:r>
        <w:t xml:space="preserve"> </w:t>
      </w:r>
      <w:r>
        <w:rPr>
          <w:b/>
          <w:bCs/>
        </w:rPr>
        <w:t xml:space="preserve">two</w:t>
      </w:r>
      <w:r>
        <w:t xml:space="preserve"> </w:t>
      </w:r>
      <w:r>
        <w:t xml:space="preserve">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each rendering any published release from the URL path (e.g. </w:t>
      </w:r>
      <w:r>
        <w:rPr>
          <w:rStyle w:val="VerbatimChar"/>
        </w:rPr>
        <w:t xml:space="preserve">/v8/scores/</w:t>
      </w:r>
      <w:r>
        <w:t xml:space="preserve">). The former per-version instances (</w:t>
      </w:r>
      <w:r>
        <w:rPr>
          <w:rStyle w:val="VerbatimChar"/>
        </w:rPr>
        <w:t xml:space="preserve">mapgl</w:t>
      </w:r>
      <w:r>
        <w:t xml:space="preserve">,</w:t>
      </w:r>
      <w:r>
        <w:t xml:space="preserve"> </w:t>
      </w:r>
      <w:r>
        <w:rPr>
          <w:rStyle w:val="VerbatimChar"/>
        </w:rPr>
        <w:t xml:space="preserve">mapsp</w:t>
      </w:r>
      <w:r>
        <w:t xml:space="preserve">,</w:t>
      </w:r>
      <w:r>
        <w:t xml:space="preserve"> </w:t>
      </w:r>
      <w:r>
        <w:rPr>
          <w:rStyle w:val="VerbatimChar"/>
        </w:rPr>
        <w:t xml:space="preserve">mapgl_v1</w:t>
      </w:r>
      <w:r>
        <w:t xml:space="preserve">…</w:t>
      </w:r>
      <w:r>
        <w:rPr>
          <w:rStyle w:val="VerbatimChar"/>
        </w:rPr>
        <w:t xml:space="preserve">mapsp_v6</w:t>
      </w:r>
      <w:r>
        <w:t xml:space="preserve">,</w:t>
      </w:r>
      <w:r>
        <w:t xml:space="preserve"> </w:t>
      </w:r>
      <w:r>
        <w:rPr>
          <w:rStyle w:val="VerbatimChar"/>
        </w:rPr>
        <w:t xml:space="preserve">scores_v6</w:t>
      </w:r>
      <w:r>
        <w:t xml:space="preserve">/</w:t>
      </w:r>
      <w:r>
        <w:rPr>
          <w:rStyle w:val="VerbatimChar"/>
        </w:rPr>
        <w:t xml:space="preserve">v8</w:t>
      </w:r>
      <w:r>
        <w:t xml:space="preserve">,</w:t>
      </w:r>
      <w:r>
        <w:t xml:space="preserve"> </w:t>
      </w:r>
      <w:r>
        <w:rPr>
          <w:rStyle w:val="VerbatimChar"/>
        </w:rPr>
        <w:t xml:space="preserve">species_v6</w:t>
      </w:r>
      <w:r>
        <w:t xml:space="preserve">/</w:t>
      </w:r>
      <w:r>
        <w:rPr>
          <w:rStyle w:val="VerbatimChar"/>
        </w:rPr>
        <w:t xml:space="preserve">v8</w:t>
      </w:r>
      <w:r>
        <w:t xml:space="preserve">) are retired, with Caddy issuing a</w:t>
      </w:r>
      <w:r>
        <w:t xml:space="preserve"> </w:t>
      </w:r>
      <w:r>
        <w:rPr>
          <w:b/>
          <w:bCs/>
        </w:rPr>
        <w:t xml:space="preserve">301 to the equivalent path</w:t>
      </w:r>
      <w:r>
        <w:t xml:space="preserve"> </w:t>
      </w:r>
      <w:r>
        <w:t xml:space="preserve">so every existing link — including any printed in a published report or an older</w:t>
      </w:r>
      <w:r>
        <w:t xml:space="preserve"> </w:t>
      </w:r>
      <w:r>
        <w:rPr>
          <w:rStyle w:val="VerbatimChar"/>
        </w:rPr>
        <w:t xml:space="preserve">?ver=</w:t>
      </w:r>
      <w:r>
        <w:t xml:space="preserve"> </w:t>
      </w:r>
      <w:r>
        <w:t xml:space="preserve">deep link — still resolves to the release it always showed.</w:t>
      </w:r>
      <w:r>
        <w:br/>
      </w:r>
      <w:r>
        <w:drawing>
          <wp:inline>
            <wp:extent cx="2857500" cy="1428750"/>
            <wp:effectExtent b="0" l="0" r="0" t="0"/>
            <wp:docPr descr="" title="" id="382" name="Picture"/>
            <a:graphic>
              <a:graphicData uri="http://schemas.openxmlformats.org/drawingml/2006/picture">
                <pic:pic>
                  <pic:nvPicPr>
                    <pic:cNvPr descr="figures/server/shiny.png" id="383" name="Picture"/>
                    <pic:cNvPicPr>
                      <a:picLocks noChangeArrowheads="1" noChangeAspect="1"/>
                    </pic:cNvPicPr>
                  </pic:nvPicPr>
                  <pic:blipFill>
                    <a:blip r:embed="rId381"/>
                    <a:stretch>
                      <a:fillRect/>
                    </a:stretch>
                  </pic:blipFill>
                  <pic:spPr bwMode="auto">
                    <a:xfrm>
                      <a:off x="0" y="0"/>
                      <a:ext cx="2857500" cy="1428750"/>
                    </a:xfrm>
                    <a:prstGeom prst="rect">
                      <a:avLst/>
                    </a:prstGeom>
                    <a:noFill/>
                    <a:ln w="9525">
                      <a:noFill/>
                      <a:headEnd/>
                      <a:tailEnd/>
                    </a:ln>
                  </pic:spPr>
                </pic:pic>
              </a:graphicData>
            </a:graphic>
          </wp:inline>
        </w:drawing>
      </w:r>
      <w:r>
        <w:br/>
      </w:r>
      <w:hyperlink r:id="rId384">
        <w:r>
          <w:rPr>
            <w:rStyle w:val="Hyperlink"/>
          </w:rPr>
          <w:t xml:space="preserve">Shiny Server docs</w:t>
        </w:r>
      </w:hyperlink>
    </w:p>
    <w:p>
      <w:pPr>
        <w:numPr>
          <w:ilvl w:val="0"/>
          <w:numId w:val="1037"/>
        </w:numPr>
      </w:pPr>
      <w:hyperlink r:id="rId385">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6">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5">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7">
        <w:r>
          <w:rPr>
            <w:rStyle w:val="Hyperlink"/>
            <w:b/>
            <w:bCs/>
          </w:rPr>
          <w:t xml:space="preserve">api</w:t>
        </w:r>
      </w:hyperlink>
      <w:r>
        <w:br/>
      </w:r>
      <w:r>
        <w:rPr>
          <w:i/>
          <w:iCs/>
        </w:rPr>
        <w:t xml:space="preserve">custom R</w:t>
      </w:r>
      <w:r>
        <w:rPr>
          <w:i/>
          <w:iCs/>
        </w:rPr>
        <w:t xml:space="preserve"> </w:t>
      </w:r>
      <w:hyperlink r:id="rId294">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9" name="Picture"/>
            <a:graphic>
              <a:graphicData uri="http://schemas.openxmlformats.org/drawingml/2006/picture">
                <pic:pic>
                  <pic:nvPicPr>
                    <pic:cNvPr descr="figures/server/api.png" id="390" name="Picture"/>
                    <pic:cNvPicPr>
                      <a:picLocks noChangeArrowheads="1" noChangeAspect="1"/>
                    </pic:cNvPicPr>
                  </pic:nvPicPr>
                  <pic:blipFill>
                    <a:blip r:embed="rId388"/>
                    <a:stretch>
                      <a:fillRect/>
                    </a:stretch>
                  </pic:blipFill>
                  <pic:spPr bwMode="auto">
                    <a:xfrm>
                      <a:off x="0" y="0"/>
                      <a:ext cx="2857500" cy="2046839"/>
                    </a:xfrm>
                    <a:prstGeom prst="rect">
                      <a:avLst/>
                    </a:prstGeom>
                    <a:noFill/>
                    <a:ln w="9525">
                      <a:noFill/>
                      <a:headEnd/>
                      <a:tailEnd/>
                    </a:ln>
                  </pic:spPr>
                </pic:pic>
              </a:graphicData>
            </a:graphic>
          </wp:inline>
        </w:drawing>
      </w:r>
    </w:p>
    <w:bookmarkEnd w:id="391"/>
    <w:bookmarkStart w:id="397" w:name="admin"/>
    <w:p>
      <w:pPr>
        <w:pStyle w:val="Heading3"/>
      </w:pPr>
      <w:r>
        <w:t xml:space="preserve">14.5.2 Admin</w:t>
      </w:r>
    </w:p>
    <w:p>
      <w:pPr>
        <w:numPr>
          <w:ilvl w:val="0"/>
          <w:numId w:val="1038"/>
        </w:numPr>
      </w:pPr>
      <w:hyperlink r:id="rId392">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4" name="Picture"/>
            <a:graphic>
              <a:graphicData uri="http://schemas.openxmlformats.org/drawingml/2006/picture">
                <pic:pic>
                  <pic:nvPicPr>
                    <pic:cNvPr descr="figures/server/rstudio.png" id="395" name="Picture"/>
                    <pic:cNvPicPr>
                      <a:picLocks noChangeArrowheads="1" noChangeAspect="1"/>
                    </pic:cNvPicPr>
                  </pic:nvPicPr>
                  <pic:blipFill>
                    <a:blip r:embed="rId393"/>
                    <a:stretch>
                      <a:fillRect/>
                    </a:stretch>
                  </pic:blipFill>
                  <pic:spPr bwMode="auto">
                    <a:xfrm>
                      <a:off x="0" y="0"/>
                      <a:ext cx="2857500" cy="1926878"/>
                    </a:xfrm>
                    <a:prstGeom prst="rect">
                      <a:avLst/>
                    </a:prstGeom>
                    <a:noFill/>
                    <a:ln w="9525">
                      <a:noFill/>
                      <a:headEnd/>
                      <a:tailEnd/>
                    </a:ln>
                  </pic:spPr>
                </pic:pic>
              </a:graphicData>
            </a:graphic>
          </wp:inline>
        </w:drawing>
      </w:r>
      <w:r>
        <w:br/>
      </w:r>
      <w:hyperlink r:id="rId396">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7"/>
    <w:bookmarkStart w:id="398"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8"/>
    <w:bookmarkEnd w:id="399"/>
    <w:bookmarkEnd w:id="400"/>
    <w:bookmarkStart w:id="43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v4b</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note.png" id="4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8"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important.png" id="40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5" w:name="tbl-db-tables"/>
          <w:p>
            <w:pPr>
              <w:jc w:val="center"/>
            </w:pPr>
            <w:pPr>
              <w:jc w:val="left"/>
              <w:spacing w:before="200"/>
              <w:pStyle w:val="ImageCaption"/>
            </w:pPr>
            <w:r>
              <w:t xml:space="preserve">Table 15.1: Tables published by v4b,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30,436</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21,961,501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72</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4,552,747</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770</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61,063</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29,811</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5"/>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Applications/quarto/share/formats/docx/note.png" id="40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v4b</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8"/>
    <w:bookmarkStart w:id="421" w:name="schema"/>
    <w:p>
      <w:pPr>
        <w:pStyle w:val="Heading2"/>
      </w:pPr>
      <w:r>
        <w:t xml:space="preserve">15.2 Schema</w:t>
      </w:r>
    </w:p>
    <w:p>
      <w:pPr>
        <w:pStyle w:val="FirstParagraph"/>
      </w:pPr>
      <w:r>
        <w:t xml:space="preserve">The columns of each published table, read from the release:</w:t>
      </w:r>
    </w:p>
    <w:bookmarkStart w:id="409"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9"/>
    <w:bookmarkStart w:id="410"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0"/>
    <w:bookmarkStart w:id="411"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2"/>
    <w:bookmarkStart w:id="413"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4"/>
    <w:bookmarkStart w:id="415"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5"/>
    <w:bookmarkStart w:id="416"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6"/>
    <w:bookmarkStart w:id="417"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7"/>
    <w:bookmarkStart w:id="418"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18"/>
    <w:bookmarkStart w:id="419"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9"/>
    <w:bookmarkStart w:id="420"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0"/>
    <w:bookmarkEnd w:id="421"/>
    <w:bookmarkStart w:id="43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Applications/quarto/share/formats/docx/note.png" id="42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7" w:name="fig-asset-store"/>
          <w:p>
            <w:pPr>
              <w:jc w:val="center"/>
            </w:pPr>
            <w:r>
              <w:drawing>
                <wp:inline>
                  <wp:extent cx="4517136" cy="3639312"/>
                  <wp:effectExtent b="0" l="0" r="0" t="0"/>
                  <wp:docPr descr="" title="" id="425" name="Picture"/>
                  <a:graphic>
                    <a:graphicData uri="http://schemas.openxmlformats.org/drawingml/2006/picture">
                      <pic:pic>
                        <pic:nvPicPr>
                          <pic:cNvPr descr="db_files/figure-docx/mermaid-figure-2.png" id="426" name="Picture"/>
                          <pic:cNvPicPr>
                            <a:picLocks noChangeArrowheads="1" noChangeAspect="1"/>
                          </pic:cNvPicPr>
                        </pic:nvPicPr>
                        <pic:blipFill>
                          <a:blip r:embed="rId42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7"/>
        </w:tc>
      </w:tr>
    </w:tbl>
    <w:bookmarkEnd w:id="428"/>
    <w:bookmarkStart w:id="429"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29"/>
    <w:bookmarkStart w:id="43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0"/>
    <w:bookmarkStart w:id="43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1"/>
    <w:bookmarkEnd w:id="432"/>
    <w:bookmarkStart w:id="433"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3"/>
    <w:bookmarkEnd w:id="434"/>
    <w:bookmarkStart w:id="443" w:name="sec-workflows"/>
    <w:p>
      <w:pPr>
        <w:pStyle w:val="Heading1"/>
      </w:pPr>
      <w:r>
        <w:t xml:space="preserve">16. Workflows</w:t>
      </w:r>
    </w:p>
    <w:p>
      <w:pPr>
        <w:pStyle w:val="FirstParagraph"/>
      </w:pPr>
      <w:r>
        <w:t xml:space="preserve">Workflows are</w:t>
      </w:r>
      <w:r>
        <w:t xml:space="preserve"> </w:t>
      </w:r>
      <w:hyperlink r:id="rId43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3">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2">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7"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6">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7"/>
    <w:bookmarkStart w:id="438"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8"/>
    <w:bookmarkStart w:id="439"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9"/>
    <w:bookmarkStart w:id="440"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0"/>
    <w:bookmarkStart w:id="441"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1"/>
    <w:bookmarkStart w:id="442"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2"/>
    <w:bookmarkEnd w:id="443"/>
    <w:bookmarkStart w:id="466"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6">
        <w:r>
          <w:rPr>
            <w:rStyle w:val="Hyperlink"/>
            <w:b/>
            <w:bCs/>
          </w:rPr>
          <w:t xml:space="preserve">titiler.marinesensitivity.org</w:t>
        </w:r>
      </w:hyperlink>
      <w:r>
        <w:t xml:space="preserve"> </w:t>
      </w:r>
      <w:r>
        <w:t xml:space="preserve">—</w:t>
      </w:r>
      <w:r>
        <w:t xml:space="preserve"> </w:t>
      </w:r>
      <w:hyperlink r:id="rId295">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7">
        <w:r>
          <w:rPr>
            <w:rStyle w:val="Hyperlink"/>
            <w:b/>
            <w:bCs/>
          </w:rPr>
          <w:t xml:space="preserve">api.marinesensitivity.org</w:t>
        </w:r>
      </w:hyperlink>
      <w:r>
        <w:t xml:space="preserve"> </w:t>
      </w:r>
      <w:r>
        <w:t xml:space="preserve">— a custom R</w:t>
      </w:r>
      <w:r>
        <w:t xml:space="preserve"> </w:t>
      </w:r>
      <w:hyperlink r:id="rId444">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5"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5"/>
    <w:bookmarkStart w:id="457"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6" name="Picture"/>
                  <a:graphic>
                    <a:graphicData uri="http://schemas.openxmlformats.org/drawingml/2006/picture">
                      <pic:pic>
                        <pic:nvPicPr>
                          <pic:cNvPr descr="/Applications/quarto/share/formats/docx/important.png" id="447"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8">
        <w:r>
          <w:rPr>
            <w:rStyle w:val="Hyperlink"/>
          </w:rPr>
          <w:t xml:space="preserve">server/titiler/factory.py</w:t>
        </w:r>
      </w:hyperlink>
      <w:r>
        <w:t xml:space="preserve">.</w:t>
      </w:r>
    </w:p>
    <w:bookmarkStart w:id="451"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9">
        <w:r>
          <w:rPr>
            <w:rStyle w:val="VerbatimChar"/>
          </w:rPr>
          <w:t xml:space="preserve">msens::cell_tile_url()</w:t>
        </w:r>
      </w:hyperlink>
      <w:r>
        <w:t xml:space="preserve"> </w:t>
      </w:r>
      <w:r>
        <w:t xml:space="preserve">with stats from</w:t>
      </w:r>
      <w:r>
        <w:t xml:space="preserve"> </w:t>
      </w:r>
      <w:hyperlink r:id="rId450">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1"/>
    <w:bookmarkStart w:id="453" w:name="caching-v7-factory-only"/>
    <w:p>
      <w:pPr>
        <w:pStyle w:val="Heading3"/>
      </w:pPr>
      <w:r>
        <w:t xml:space="preserve">17.2.2 Caching (v7 factory only)</w:t>
      </w:r>
    </w:p>
    <w:p>
      <w:pPr>
        <w:pStyle w:val="FirstParagraph"/>
      </w:pPr>
      <w:hyperlink r:id="rId452">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Shiny app bumps the</w:t>
      </w:r>
      <w:r>
        <w:t xml:space="preserve"> </w:t>
      </w:r>
      <w:r>
        <w:rPr>
          <w:rStyle w:val="VerbatimChar"/>
        </w:rPr>
        <w:t xml:space="preserve">mtime</w:t>
      </w:r>
      <w:r>
        <w:t xml:space="preserve"> </w:t>
      </w:r>
      <w:r>
        <w:t xml:space="preserve">query parameter to invalidate all cached tiles at once.</w:t>
      </w:r>
    </w:p>
    <w:bookmarkEnd w:id="453"/>
    <w:bookmarkStart w:id="456"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Applications/quarto/share/formats/docx/warning.png" id="455"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6"/>
    <w:bookmarkEnd w:id="457"/>
    <w:bookmarkStart w:id="462" w:name="custom-plumber-api"/>
    <w:p>
      <w:pPr>
        <w:pStyle w:val="Heading2"/>
      </w:pPr>
      <w:r>
        <w:t xml:space="preserve">17.3 Custom plumber API</w:t>
      </w:r>
    </w:p>
    <w:p>
      <w:pPr>
        <w:pStyle w:val="FirstParagraph"/>
      </w:pPr>
      <w:r>
        <w:t xml:space="preserve">The plumber API at</w:t>
      </w:r>
      <w:r>
        <w:t xml:space="preserve"> </w:t>
      </w:r>
      <w:hyperlink r:id="rId387">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8">
        <w:r>
          <w:rPr>
            <w:rStyle w:val="Hyperlink"/>
          </w:rPr>
          <w:t xml:space="preserve">MarineSensitivity/api</w:t>
        </w:r>
      </w:hyperlink>
      <w:r>
        <w:t xml:space="preserve">.</w:t>
      </w:r>
    </w:p>
    <w:p>
      <w:pPr>
        <w:pStyle w:val="BodyText"/>
      </w:pPr>
      <w:r>
        <w:drawing>
          <wp:inline>
            <wp:extent cx="2857500" cy="2046839"/>
            <wp:effectExtent b="0" l="0" r="0" t="0"/>
            <wp:docPr descr="" title="" id="460" name="Picture"/>
            <a:graphic>
              <a:graphicData uri="http://schemas.openxmlformats.org/drawingml/2006/picture">
                <pic:pic>
                  <pic:nvPicPr>
                    <pic:cNvPr descr="figures/apis/api.marinesensitivity.org.png" id="461" name="Picture"/>
                    <pic:cNvPicPr>
                      <a:picLocks noChangeArrowheads="1" noChangeAspect="1"/>
                    </pic:cNvPicPr>
                  </pic:nvPicPr>
                  <pic:blipFill>
                    <a:blip r:embed="rId459"/>
                    <a:stretch>
                      <a:fillRect/>
                    </a:stretch>
                  </pic:blipFill>
                  <pic:spPr bwMode="auto">
                    <a:xfrm>
                      <a:off x="0" y="0"/>
                      <a:ext cx="2857500" cy="2046839"/>
                    </a:xfrm>
                    <a:prstGeom prst="rect">
                      <a:avLst/>
                    </a:prstGeom>
                    <a:noFill/>
                    <a:ln w="9525">
                      <a:noFill/>
                      <a:headEnd/>
                      <a:tailEnd/>
                    </a:ln>
                  </pic:spPr>
                </pic:pic>
              </a:graphicData>
            </a:graphic>
          </wp:inline>
        </w:drawing>
      </w:r>
    </w:p>
    <w:bookmarkEnd w:id="462"/>
    <w:bookmarkStart w:id="464" w:name="stac"/>
    <w:p>
      <w:pPr>
        <w:pStyle w:val="Heading2"/>
      </w:pPr>
      <w:r>
        <w:t xml:space="preserve">17.4 STAC</w:t>
      </w:r>
    </w:p>
    <w:p>
      <w:pPr>
        <w:pStyle w:val="FirstParagraph"/>
      </w:pPr>
      <w:r>
        <w:t xml:space="preserve">Each release publishes a</w:t>
      </w:r>
      <w:r>
        <w:t xml:space="preserve"> </w:t>
      </w:r>
      <w:hyperlink r:id="rId463">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4"/>
    <w:bookmarkStart w:id="465"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5"/>
    <w:bookmarkEnd w:id="466"/>
    <w:bookmarkStart w:id="468"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3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Shiny apps in</w:t>
      </w:r>
      <w:r>
        <w:t xml:space="preserve"> </w:t>
      </w:r>
      <w:hyperlink w:anchor="sec-apps">
        <w:r>
          <w:rPr>
            <w:rStyle w:val="Hyperlink"/>
          </w:rPr>
          <w:t xml:space="preserve">Chapter 19</w:t>
        </w:r>
      </w:hyperlink>
      <w:r>
        <w:t xml:space="preserve"> </w:t>
      </w:r>
      <w:r>
        <w:t xml:space="preserve">consume</w:t>
      </w:r>
      <w:r>
        <w:t xml:space="preserve"> </w:t>
      </w:r>
      <w:r>
        <w:rPr>
          <w:rStyle w:val="VerbatimChar"/>
        </w:rPr>
        <w:t xml:space="preserve">msens::*</w:t>
      </w:r>
      <w:r>
        <w:t xml:space="preserve"> </w:t>
      </w:r>
      <w:r>
        <w:t xml:space="preserve">helpers exclusively — app code never talks to the tile factory or PMTiles URL templates directly.</w:t>
      </w:r>
    </w:p>
    <w:bookmarkStart w:id="467" w:name="map-tile-helpers-as-of-0.3.4"/>
    <w:p>
      <w:pPr>
        <w:pStyle w:val="Heading2"/>
      </w:pPr>
      <w:r>
        <w:t xml:space="preserve">18.1 Map-tile helpers (as of 0.3.4)</w:t>
      </w:r>
    </w:p>
    <w:p>
      <w:pPr>
        <w:pStyle w:val="FirstParagraph"/>
      </w:pPr>
      <w:r>
        <w:t xml:space="preserve">The following helpers bridge the Shiny app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Shiny app adds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7"/>
    <w:bookmarkEnd w:id="468"/>
    <w:bookmarkStart w:id="477" w:name="sec-apps"/>
    <w:p>
      <w:pPr>
        <w:pStyle w:val="Heading1"/>
      </w:pPr>
      <w:r>
        <w:t xml:space="preserve">19. Apps</w:t>
      </w:r>
    </w:p>
    <w:p>
      <w:pPr>
        <w:pStyle w:val="FirstParagraph"/>
      </w:pPr>
      <w:r>
        <w:t xml:space="preserve">The MST provides three interactive web applications — two Shiny apps (Scores, Species) plus a newer, static, in-browser Atlas — along with several legacy applications from earlier development phases.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note.png" id="4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Every one of the three current apps renders</w:t>
            </w:r>
            <w:r>
              <w:t xml:space="preserve"> </w:t>
            </w:r>
            <w:r>
              <w:rPr>
                <w:b/>
                <w:bCs/>
              </w:rPr>
              <w:t xml:space="preserve">any published release</w:t>
            </w:r>
            <w:r>
              <w:t xml:space="preserve"> </w:t>
            </w:r>
            <w:r>
              <w:t xml:space="preserve">rather than shipping a per-version fork. Scores and Species do this from the URL (</w:t>
            </w:r>
            <w:r>
              <w:rPr>
                <w:rStyle w:val="VerbatimChar"/>
              </w:rPr>
              <w:t xml:space="preserve">/v3/scores/</w:t>
            </w:r>
            <w:r>
              <w:t xml:space="preserve">; older</w:t>
            </w:r>
            <w:r>
              <w:t xml:space="preserve"> </w:t>
            </w:r>
            <w:r>
              <w:rPr>
                <w:rStyle w:val="VerbatimChar"/>
              </w:rPr>
              <w:t xml:space="preserve">?ver=v3</w:t>
            </w:r>
            <w:r>
              <w:t xml:space="preserve"> </w:t>
            </w:r>
            <w:r>
              <w:t xml:space="preserve">links redirect there) — the version is data, settled by the release’s published manifest, so a fix reaches every version at once, and the 18 former per-version Shiny instances are retired with their URLs redirecting permanently to the equivalent path. The Atlas follows the same rule with a different mechanism (</w:t>
            </w:r>
            <w:hyperlink w:anchor="sec-app-atlas">
              <w:r>
                <w:rPr>
                  <w:rStyle w:val="Hyperlink"/>
                </w:rPr>
                <w:t xml:space="preserve">Appendix B</w:t>
              </w:r>
            </w:hyperlink>
            <w:r>
              <w:t xml:space="preserve">): one static build reads the same published</w:t>
            </w:r>
            <w:r>
              <w:t xml:space="preserve"> </w:t>
            </w:r>
            <w:r>
              <w:rPr>
                <w:rStyle w:val="VerbatimChar"/>
              </w:rPr>
              <w:t xml:space="preserve">versions.json</w:t>
            </w:r>
            <w:r>
              <w:t xml:space="preserve">, resolving the release from</w:t>
            </w:r>
            <w:r>
              <w:t xml:space="preserve"> </w:t>
            </w:r>
            <w:r>
              <w:rPr>
                <w:rStyle w:val="VerbatimChar"/>
              </w:rPr>
              <w:t xml:space="preserve">?ver=</w:t>
            </w:r>
            <w:r>
              <w:t xml:space="preserve"> </w:t>
            </w:r>
            <w:r>
              <w:t xml:space="preserve">on its public host, and — its preview route shipping with 0.10.59 — from the URL path on its signed-in preview host.</w:t>
            </w:r>
          </w:p>
          <w:p/>
        </w:tc>
      </w:tr>
    </w:tbl>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bookmarkStart w:id="475" w:name="current-applications"/>
    <w:p>
      <w:pPr>
        <w:pStyle w:val="Heading2"/>
      </w:pPr>
      <w:r>
        <w:t xml:space="preserve">19.1 Current Applications</w:t>
      </w:r>
    </w:p>
    <w:bookmarkStart w:id="472" w:name="Xa3ded3a79f73f8a36aae85cc7da684dd724eb9f"/>
    <w:p>
      <w:pPr>
        <w:pStyle w:val="Heading3"/>
      </w:pPr>
      <w:r>
        <w:t xml:space="preserve">19.1.1 Atlas (beta) — static, in-browser scores, species and places</w:t>
      </w:r>
    </w:p>
    <w:p>
      <w:pPr>
        <w:pStyle w:val="FirstParagraph"/>
      </w:pPr>
      <w:r>
        <w:t xml:space="preserve">The</w:t>
      </w:r>
      <w:r>
        <w:t xml:space="preserve"> </w:t>
      </w:r>
      <w:hyperlink r:id="rId471">
        <w:r>
          <w:rPr>
            <w:rStyle w:val="Hyperlink"/>
          </w:rPr>
          <w:t xml:space="preserve">Atlas</w:t>
        </w:r>
      </w:hyperlink>
      <w:r>
        <w:t xml:space="preserve"> </w:t>
      </w:r>
      <w:r>
        <w:t xml:space="preserve">is a newer, third way to explore the MST, currently labelled</w:t>
      </w:r>
      <w:r>
        <w:t xml:space="preserve"> </w:t>
      </w:r>
      <w:r>
        <w:rPr>
          <w:b/>
          <w:bCs/>
        </w:rPr>
        <w:t xml:space="preserve">beta</w:t>
      </w:r>
      <w:r>
        <w:t xml:space="preserve">: one static Svelte/MapLibre app with</w:t>
      </w:r>
      <w:r>
        <w:t xml:space="preserve"> </w:t>
      </w:r>
      <w:r>
        <w:rPr>
          <w:b/>
          <w:bCs/>
        </w:rPr>
        <w:t xml:space="preserve">no application server of its own</w:t>
      </w:r>
      <w:r>
        <w:t xml:space="preserve"> </w:t>
      </w:r>
      <w:r>
        <w:t xml:space="preserve">— scores,</w:t>
      </w:r>
      <w:r>
        <w:t xml:space="preserve"> </w:t>
      </w:r>
      <w:r>
        <w:t xml:space="preserve">clicks, flowers and reports are computed in your browser by a DuckDB-WASM instance, though score</w:t>
      </w:r>
      <w:r>
        <w:t xml:space="preserve"> </w:t>
      </w:r>
      <w:r>
        <w:t xml:space="preserve">tiles, zone outlines and the basemap still come from the project’s titiler, PMTiles and CARTO.</w:t>
      </w:r>
      <w:r>
        <w:t xml:space="preserve"> </w:t>
      </w:r>
      <w:r>
        <w:t xml:space="preserve">It combines what Scores and Species do separately — mapping composite scores and mapping</w:t>
      </w:r>
      <w:r>
        <w:t xml:space="preserve"> </w:t>
      </w:r>
      <w:r>
        <w:t xml:space="preserve">individual species — with a capability neither Shiny app has,</w:t>
      </w:r>
      <w:r>
        <w:t xml:space="preserve"> </w:t>
      </w:r>
      <w:r>
        <w:rPr>
          <w:b/>
          <w:bCs/>
        </w:rPr>
        <w:t xml:space="preserve">Places</w:t>
      </w:r>
      <w:r>
        <w:t xml:space="preserve">: drawing, typing or</w:t>
      </w:r>
      <w:r>
        <w:t xml:space="preserve"> </w:t>
      </w:r>
      <w:r>
        <w:t xml:space="preserve">uploading any area of interest (not only the built-in Program Areas) and getting the same scores,</w:t>
      </w:r>
      <w:r>
        <w:t xml:space="preserve"> </w:t>
      </w:r>
      <w:r>
        <w:t xml:space="preserve">species tables and an exportable report for it, shareable entirely through the URL.</w:t>
      </w:r>
    </w:p>
    <w:p>
      <w:pPr>
        <w:pStyle w:val="BodyText"/>
      </w:pPr>
      <w:r>
        <w:t xml:space="preserve">See</w:t>
      </w:r>
      <w:r>
        <w:t xml:space="preserve"> </w:t>
      </w:r>
      <w:hyperlink w:anchor="sec-app-atlas">
        <w:r>
          <w:rPr>
            <w:rStyle w:val="Hyperlink"/>
          </w:rPr>
          <w:t xml:space="preserve">Appendix B</w:t>
        </w:r>
      </w:hyperlink>
      <w:r>
        <w:t xml:space="preserve"> </w:t>
      </w:r>
      <w:r>
        <w:t xml:space="preserve">for the full walkthrough, including how a drawn place is encoded into a shareable link.</w:t>
      </w:r>
    </w:p>
    <w:bookmarkEnd w:id="472"/>
    <w:bookmarkStart w:id="473" w:name="X0866deb9de13c5a949683d88efa8b94747e10df"/>
    <w:p>
      <w:pPr>
        <w:pStyle w:val="Heading3"/>
      </w:pPr>
      <w:r>
        <w:t xml:space="preserve">19.1.2 Scores — mapper of aggregate sensitivity scores</w:t>
      </w:r>
    </w:p>
    <w:p>
      <w:pPr>
        <w:pStyle w:val="FirstParagraph"/>
      </w:pPr>
      <w:r>
        <w:t xml:space="preserve">The</w:t>
      </w:r>
      <w:r>
        <w:t xml:space="preserve"> </w:t>
      </w:r>
      <w:hyperlink r:id="rId21">
        <w:r>
          <w:rPr>
            <w:rStyle w:val="Hyperlink"/>
          </w:rPr>
          <w:t xml:space="preserve">Scores</w:t>
        </w:r>
      </w:hyperlink>
      <w:r>
        <w:t xml:space="preserve"> </w:t>
      </w:r>
      <w:r>
        <w:t xml:space="preserve">application is the primary tool for exploring composite sensitivity scores across BOEM Program Areas. Key features include:</w:t>
      </w:r>
    </w:p>
    <w:p>
      <w:pPr>
        <w:pStyle w:val="Compact"/>
        <w:numPr>
          <w:ilvl w:val="0"/>
          <w:numId w:val="1051"/>
        </w:numPr>
      </w:pPr>
      <w:r>
        <w:rPr>
          <w:b/>
          <w:bCs/>
        </w:rPr>
        <w:t xml:space="preserve">Multi-resolution viewing</w:t>
      </w:r>
      <w:r>
        <w:t xml:space="preserve">: toggle between cell-level (0.05° grid) and Program Area aggregations</w:t>
      </w:r>
    </w:p>
    <w:p>
      <w:pPr>
        <w:pStyle w:val="Compact"/>
        <w:numPr>
          <w:ilvl w:val="0"/>
          <w:numId w:val="1051"/>
        </w:numPr>
      </w:pPr>
      <w:r>
        <w:rPr>
          <w:b/>
          <w:bCs/>
        </w:rPr>
        <w:t xml:space="preserve">Study area selection</w:t>
      </w:r>
      <w:r>
        <w:t xml:space="preserve">: focus on specific Program Areas or subregions</w:t>
      </w:r>
    </w:p>
    <w:p>
      <w:pPr>
        <w:pStyle w:val="Compact"/>
        <w:numPr>
          <w:ilvl w:val="0"/>
          <w:numId w:val="1051"/>
        </w:numPr>
      </w:pPr>
      <w:r>
        <w:rPr>
          <w:b/>
          <w:bCs/>
        </w:rPr>
        <w:t xml:space="preserve">Layer selection</w:t>
      </w:r>
      <w:r>
        <w:t xml:space="preserve">: view individual species category scores or composite metrics</w:t>
      </w:r>
    </w:p>
    <w:p>
      <w:pPr>
        <w:pStyle w:val="Compact"/>
        <w:numPr>
          <w:ilvl w:val="0"/>
          <w:numId w:val="1051"/>
        </w:numPr>
      </w:pPr>
      <w:r>
        <w:rPr>
          <w:b/>
          <w:bCs/>
        </w:rPr>
        <w:t xml:space="preserve">Flower plot</w:t>
      </w:r>
      <w:r>
        <w:t xml:space="preserve">: interactive summary showing scores by species category with weighted center value</w:t>
      </w:r>
    </w:p>
    <w:p>
      <w:pPr>
        <w:pStyle w:val="Compact"/>
        <w:numPr>
          <w:ilvl w:val="0"/>
          <w:numId w:val="1051"/>
        </w:numPr>
      </w:pPr>
      <w:r>
        <w:rPr>
          <w:b/>
          <w:bCs/>
        </w:rPr>
        <w:t xml:space="preserve">Species table</w:t>
      </w:r>
      <w:r>
        <w:t xml:space="preserve">: sortable table of species present in selected area with extinction risk details</w:t>
      </w:r>
    </w:p>
    <w:p>
      <w:pPr>
        <w:pStyle w:val="Compact"/>
        <w:numPr>
          <w:ilvl w:val="0"/>
          <w:numId w:val="1051"/>
        </w:numPr>
      </w:pPr>
      <w:r>
        <w:rPr>
          <w:b/>
          <w:bCs/>
        </w:rPr>
        <w:t xml:space="preserve">Treemap</w:t>
      </w:r>
      <w:r>
        <w:t xml:space="preserve">: hierarchical view of species contributions to sensitivity</w:t>
      </w:r>
    </w:p>
    <w:p>
      <w:pPr>
        <w:pStyle w:val="Compact"/>
        <w:numPr>
          <w:ilvl w:val="0"/>
          <w:numId w:val="1051"/>
        </w:numPr>
      </w:pPr>
      <w:r>
        <w:rPr>
          <w:b/>
          <w:bCs/>
        </w:rPr>
        <w:t xml:space="preserve">CSV export</w:t>
      </w:r>
      <w:r>
        <w:t xml:space="preserve">: download data for selected area or species</w:t>
      </w:r>
    </w:p>
    <w:p>
      <w:pPr>
        <w:pStyle w:val="FirstParagraph"/>
      </w:pPr>
      <w:r>
        <w:t xml:space="preserve">Under the hood the Scores app composes three kinds of map layer (</w:t>
      </w:r>
      <w:hyperlink w:anchor="fig-architecture">
        <w:r>
          <w:rPr>
            <w:rStyle w:val="Hyperlink"/>
          </w:rPr>
          <w:t xml:space="preserve">Figure 13.1</w:t>
        </w:r>
      </w:hyperlink>
      <w:r>
        <w:t xml:space="preserve">):</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The browser fetches only the tiles intersecting its viewport; no full-raster transfer on load (see</w:t>
      </w:r>
      <w:r>
        <w:t xml:space="preserve"> </w:t>
      </w:r>
      <w:hyperlink w:anchor="fig-raster">
        <w:r>
          <w:rPr>
            <w:rStyle w:val="Hyperlink"/>
          </w:rPr>
          <w:t xml:space="preserve">Figure 13.2</w:t>
        </w:r>
      </w:hyperlink>
      <w:r>
        <w:t xml:space="preserve">).</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per-zone fill colors pushed live into the paint spec from the release’s</w:t>
      </w:r>
      <w:r>
        <w:t xml:space="preserve"> </w:t>
      </w:r>
      <w:r>
        <w:rPr>
          <w:rStyle w:val="VerbatimChar"/>
        </w:rPr>
        <w:t xml:space="preserve">zone_metric</w:t>
      </w:r>
      <w:r>
        <w:t xml:space="preserve"> </w:t>
      </w:r>
      <w:r>
        <w:t xml:space="preserve">(see</w:t>
      </w:r>
      <w:r>
        <w:t xml:space="preserve"> </w:t>
      </w:r>
      <w:hyperlink w:anchor="fig-choropleth">
        <w:r>
          <w:rPr>
            <w:rStyle w:val="Hyperlink"/>
          </w:rPr>
          <w:t xml:space="preserve">Figure 13.4</w:t>
        </w:r>
      </w:hyperlink>
      <w:r>
        <w:t xml:space="preserve">).</w:t>
      </w:r>
    </w:p>
    <w:p>
      <w:pPr>
        <w:pStyle w:val="FirstParagraph"/>
      </w:pPr>
      <w:r>
        <w:t xml:space="preserve">Because every one of those is resolved from the manifest rather than hardcoded, switching the URL’s version segment (e.g. </w:t>
      </w:r>
      <w:r>
        <w:rPr>
          <w:rStyle w:val="VerbatimChar"/>
        </w:rPr>
        <w:t xml:space="preserve">/v3/</w:t>
      </w:r>
      <w:r>
        <w:t xml:space="preserve"> </w:t>
      </w:r>
      <w:r>
        <w:t xml:space="preserve">→</w:t>
      </w:r>
      <w:r>
        <w:t xml:space="preserve"> </w:t>
      </w:r>
      <w:r>
        <w:rPr>
          <w:rStyle w:val="VerbatimChar"/>
        </w:rPr>
        <w:t xml:space="preserve">/v4/</w:t>
      </w:r>
      <w:r>
        <w:t xml:space="preserve">) switches all three together — including drawing the boundary vintage that release actually used.</w:t>
      </w:r>
    </w:p>
    <w:p>
      <w:pPr>
        <w:pStyle w:val="BodyText"/>
      </w:pPr>
      <w:r>
        <w:t xml:space="preserve">See</w:t>
      </w:r>
      <w:r>
        <w:t xml:space="preserve"> </w:t>
      </w:r>
      <w:hyperlink w:anchor="sec-app-scores">
        <w:r>
          <w:rPr>
            <w:rStyle w:val="Hyperlink"/>
          </w:rPr>
          <w:t xml:space="preserve">Appendix D</w:t>
        </w:r>
      </w:hyperlink>
      <w:r>
        <w:t xml:space="preserve"> </w:t>
      </w:r>
      <w:r>
        <w:t xml:space="preserve">for details.</w:t>
      </w:r>
    </w:p>
    <w:bookmarkEnd w:id="473"/>
    <w:bookmarkStart w:id="474" w:name="X3680c5fb3e20b6a91c613e2235f302b13356ea8"/>
    <w:p>
      <w:pPr>
        <w:pStyle w:val="Heading3"/>
      </w:pPr>
      <w:r>
        <w:t xml:space="preserve">19.1.3 Species — mapper of individual species distributions</w:t>
      </w:r>
    </w:p>
    <w:p>
      <w:pPr>
        <w:pStyle w:val="FirstParagraph"/>
      </w:pPr>
      <w:r>
        <w:t xml:space="preserve">The</w:t>
      </w:r>
      <w:r>
        <w:t xml:space="preserve"> </w:t>
      </w:r>
      <w:hyperlink r:id="rId22">
        <w:r>
          <w:rPr>
            <w:rStyle w:val="Hyperlink"/>
          </w:rPr>
          <w:t xml:space="preserve">Species</w:t>
        </w:r>
      </w:hyperlink>
      <w:r>
        <w:t xml:space="preserve"> </w:t>
      </w:r>
      <w:r>
        <w:t xml:space="preserve">application enables exploration of individual species distribution models. Key features include:</w:t>
      </w:r>
    </w:p>
    <w:p>
      <w:pPr>
        <w:pStyle w:val="Compact"/>
        <w:numPr>
          <w:ilvl w:val="0"/>
          <w:numId w:val="1053"/>
        </w:numPr>
      </w:pPr>
      <w:r>
        <w:rPr>
          <w:b/>
          <w:bCs/>
        </w:rPr>
        <w:t xml:space="preserve">Species selection</w:t>
      </w:r>
      <w:r>
        <w:t xml:space="preserve">: search by common or scientific name, filter by species category</w:t>
      </w:r>
    </w:p>
    <w:p>
      <w:pPr>
        <w:pStyle w:val="Compact"/>
        <w:numPr>
          <w:ilvl w:val="0"/>
          <w:numId w:val="1053"/>
        </w:numPr>
      </w:pPr>
      <w:r>
        <w:rPr>
          <w:b/>
          <w:bCs/>
        </w:rPr>
        <w:t xml:space="preserve">Model display</w:t>
      </w:r>
      <w:r>
        <w:t xml:space="preserve">: view merged models or individual source dataset layers</w:t>
      </w:r>
    </w:p>
    <w:p>
      <w:pPr>
        <w:pStyle w:val="Compact"/>
        <w:numPr>
          <w:ilvl w:val="0"/>
          <w:numId w:val="1053"/>
        </w:numPr>
      </w:pPr>
      <w:r>
        <w:rPr>
          <w:b/>
          <w:bCs/>
        </w:rPr>
        <w:t xml:space="preserve">Representation toggle</w:t>
      </w:r>
      <w:r>
        <w:t xml:space="preserve">: compare the native-resolution original with the interpolated surface used in scoring</w:t>
      </w:r>
    </w:p>
    <w:p>
      <w:pPr>
        <w:pStyle w:val="Compact"/>
        <w:numPr>
          <w:ilvl w:val="0"/>
          <w:numId w:val="1053"/>
        </w:numPr>
      </w:pPr>
      <w:r>
        <w:rPr>
          <w:b/>
          <w:bCs/>
        </w:rPr>
        <w:t xml:space="preserve">Masking toggle</w:t>
      </w:r>
      <w:r>
        <w:t xml:space="preserve">: compare the expert-range-constrained merged model with the unconstrained suitability</w:t>
      </w:r>
    </w:p>
    <w:p>
      <w:pPr>
        <w:pStyle w:val="Compact"/>
        <w:numPr>
          <w:ilvl w:val="0"/>
          <w:numId w:val="1053"/>
        </w:numPr>
      </w:pPr>
      <w:r>
        <w:rPr>
          <w:b/>
          <w:bCs/>
        </w:rPr>
        <w:t xml:space="preserve">Species info panel</w:t>
      </w:r>
      <w:r>
        <w:t xml:space="preserve">: ESA listing, IUCN Red List category, MMPA/MBTA protection flags, extinction risk score</w:t>
      </w:r>
    </w:p>
    <w:p>
      <w:pPr>
        <w:pStyle w:val="Compact"/>
        <w:numPr>
          <w:ilvl w:val="0"/>
          <w:numId w:val="1053"/>
        </w:numPr>
      </w:pPr>
      <w:r>
        <w:rPr>
          <w:b/>
          <w:bCs/>
        </w:rPr>
        <w:t xml:space="preserve">Deep-linking</w:t>
      </w:r>
      <w:r>
        <w:t xml:space="preserve">: URL parameters support direct links to specific species</w:t>
      </w:r>
    </w:p>
    <w:p>
      <w:pPr>
        <w:pStyle w:val="FirstParagraph"/>
      </w:pPr>
      <w:r>
        <w:t xml:space="preserve">See</w:t>
      </w:r>
      <w:r>
        <w:t xml:space="preserve"> </w:t>
      </w:r>
      <w:hyperlink w:anchor="sec-app-species">
        <w:r>
          <w:rPr>
            <w:rStyle w:val="Hyperlink"/>
          </w:rPr>
          <w:t xml:space="preserve">Appendix F</w:t>
        </w:r>
      </w:hyperlink>
      <w:r>
        <w:t xml:space="preserve"> </w:t>
      </w:r>
      <w:r>
        <w:t xml:space="preserve">for details.</w:t>
      </w:r>
    </w:p>
    <w:bookmarkEnd w:id="474"/>
    <w:bookmarkEnd w:id="475"/>
    <w:bookmarkStart w:id="476" w:name="legacy-applications"/>
    <w:p>
      <w:pPr>
        <w:pStyle w:val="Heading2"/>
      </w:pPr>
      <w:r>
        <w:t xml:space="preserve">19.2 Legacy Applications</w:t>
      </w:r>
    </w:p>
    <w:p>
      <w:pPr>
        <w:pStyle w:val="FirstParagraph"/>
      </w:pPr>
      <w:r>
        <w:t xml:space="preserve">Earlier prototype applications from the research phase are kept in the Appendix under Applications (Legacy) for reference. They are not part of the current serving path.</w:t>
      </w:r>
    </w:p>
    <w:bookmarkEnd w:id="476"/>
    <w:bookmarkEnd w:id="477"/>
    <w:bookmarkStart w:id="564" w:name="apps-user-guide"/>
    <w:p>
      <w:pPr>
        <w:pStyle w:val="Heading1"/>
      </w:pPr>
      <w:r>
        <w:t xml:space="preserve">20. Apps User Guide</w:t>
      </w:r>
    </w:p>
    <w:p>
      <w:pPr>
        <w:pStyle w:val="FirstParagraph"/>
      </w:pPr>
      <w:r>
        <w:t xml:space="preserve">Step-by-step walkthrough of the Scores and Species applications</w:t>
      </w:r>
    </w:p>
    <w:p>
      <w:pPr>
        <w:pStyle w:val="BodyText"/>
      </w:pPr>
      <w:r>
        <w:br/>
      </w:r>
    </w:p>
    <w:p>
      <w:pPr>
        <w:pStyle w:val="BodyText"/>
      </w:pPr>
      <w:r>
        <w:t xml:space="preserve">This guide walks through the two interactive applications —</w:t>
      </w:r>
      <w:r>
        <w:t xml:space="preserve"> </w:t>
      </w:r>
      <w:r>
        <w:rPr>
          <w:b/>
          <w:bCs/>
        </w:rPr>
        <w:t xml:space="preserve">Scores</w:t>
      </w:r>
      <w:r>
        <w:t xml:space="preserve"> </w:t>
      </w:r>
      <w:r>
        <w:t xml:space="preserve">(</w:t>
      </w:r>
      <w:hyperlink r:id="rId21">
        <w:r>
          <w:rPr>
            <w:rStyle w:val="Hyperlink"/>
          </w:rPr>
          <w:t xml:space="preserve">app.marinesensitivity.org/v4b/scores/</w:t>
        </w:r>
      </w:hyperlink>
      <w:r>
        <w:t xml:space="preserve">)</w:t>
      </w:r>
      <w:r>
        <w:t xml:space="preserve"> </w:t>
      </w:r>
      <w:r>
        <w:t xml:space="preserve">and</w:t>
      </w:r>
      <w:r>
        <w:t xml:space="preserve"> </w:t>
      </w:r>
      <w:r>
        <w:rPr>
          <w:b/>
          <w:bCs/>
        </w:rPr>
        <w:t xml:space="preserve">Species</w:t>
      </w:r>
      <w:r>
        <w:t xml:space="preserve"> </w:t>
      </w:r>
      <w:r>
        <w:t xml:space="preserve">(</w:t>
      </w:r>
      <w:hyperlink r:id="rId22">
        <w:r>
          <w:rPr>
            <w:rStyle w:val="Hyperlink"/>
          </w:rPr>
          <w:t xml:space="preserve">app.marinesensitivity.org/v4b/species/</w:t>
        </w:r>
      </w:hyperlink>
      <w:r>
        <w:t xml:space="preserve">)</w:t>
      </w:r>
      <w:r>
        <w:t xml:space="preserve"> </w:t>
      </w:r>
      <w:r>
        <w:t xml:space="preserve">— one control at a time. Each numbered step below mirrors a step in that app’s</w:t>
      </w:r>
      <w:r>
        <w:t xml:space="preserve"> </w:t>
      </w:r>
      <w:r>
        <w:t xml:space="preserve">built-in</w:t>
      </w:r>
      <w:r>
        <w:t xml:space="preserve"> </w:t>
      </w:r>
      <w:r>
        <w:rPr>
          <w:b/>
          <w:bCs/>
        </w:rPr>
        <w:t xml:space="preserve">Take a Tour</w:t>
      </w:r>
      <w:r>
        <w:t xml:space="preserve"> </w:t>
      </w:r>
      <w:r>
        <w:t xml:space="preserve">(click</w:t>
      </w:r>
      <w:r>
        <w:t xml:space="preserve"> </w:t>
      </w:r>
      <w:r>
        <w:rPr>
          <w:i/>
          <w:iCs/>
        </w:rPr>
        <w:t xml:space="preserve">About → Take a Tour</w:t>
      </w:r>
      <w:r>
        <w:t xml:space="preserve"> </w:t>
      </w:r>
      <w:r>
        <w:t xml:space="preserve">in either app to walk the</w:t>
      </w:r>
      <w:r>
        <w:t xml:space="preserve"> </w:t>
      </w:r>
      <w:r>
        <w:t xml:space="preserve">same path live), with the relevant control highlighted on the screenshot.</w:t>
      </w:r>
    </w:p>
    <w:p>
      <w:pPr>
        <w:pStyle w:val="BodyText"/>
      </w:pPr>
      <w:r>
        <w:t xml:space="preserve">For a feature-by-feature reference instead, see the</w:t>
      </w:r>
      <w:r>
        <w:t xml:space="preserve"> </w:t>
      </w:r>
      <w:hyperlink r:id="rId478">
        <w:r>
          <w:rPr>
            <w:rStyle w:val="Hyperlink"/>
          </w:rPr>
          <w:t xml:space="preserve">Scores</w:t>
        </w:r>
      </w:hyperlink>
      <w:r>
        <w:t xml:space="preserve"> </w:t>
      </w:r>
      <w:r>
        <w:t xml:space="preserve">and</w:t>
      </w:r>
      <w:r>
        <w:t xml:space="preserve"> </w:t>
      </w:r>
      <w:hyperlink r:id="rId479">
        <w:r>
          <w:rPr>
            <w:rStyle w:val="Hyperlink"/>
          </w:rPr>
          <w:t xml:space="preserve">Species</w:t>
        </w:r>
      </w:hyperlink>
      <w:r>
        <w:t xml:space="preserve"> </w:t>
      </w:r>
      <w:r>
        <w:t xml:space="preserve">appendix 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Applications/quarto/share/formats/docx/tip.png" id="48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Running</w:t>
            </w:r>
            <w:r>
              <w:t xml:space="preserve"> </w:t>
            </w:r>
            <w:r>
              <w:rPr>
                <w:rStyle w:val="VerbatimChar"/>
              </w:rPr>
              <w:t xml:space="preserve">libs/apps-guide-regenerate.R</w:t>
            </w:r>
            <w:r>
              <w:t xml:space="preserve"> </w:t>
            </w:r>
            <w:r>
              <w:t xml:space="preserve">re-parses both tours,</w:t>
            </w:r>
            <w:r>
              <w:t xml:space="preserve"> </w:t>
            </w:r>
            <w:r>
              <w:t xml:space="preserve">re-highlights the same CSS element each tour points at, and re-captures the</w:t>
            </w:r>
            <w:r>
              <w:t xml:space="preserve"> </w:t>
            </w:r>
            <w:r>
              <w:t xml:space="preserve">screenshots, writing</w:t>
            </w:r>
            <w:r>
              <w:t xml:space="preserve"> </w:t>
            </w:r>
            <w:r>
              <w:rPr>
                <w:rStyle w:val="VerbatimChar"/>
              </w:rPr>
              <w:t xml:space="preserve">figures/apps-guide/steps.json</w:t>
            </w:r>
            <w:r>
              <w:t xml:space="preserve">. So whenever a tour</w:t>
            </w:r>
            <w:r>
              <w:t xml:space="preserve"> </w:t>
            </w:r>
            <w:r>
              <w:t xml:space="preserve">changes, re-running that one script refreshes this whole page.</w:t>
            </w:r>
          </w:p>
          <w:p/>
        </w:tc>
      </w:tr>
    </w:tbl>
    <w:bookmarkStart w:id="537" w:name="scores-app"/>
    <w:p>
      <w:pPr>
        <w:pStyle w:val="Heading2"/>
      </w:pPr>
      <w:r>
        <w:t xml:space="preserve">20.1 Scores app</w:t>
      </w:r>
    </w:p>
    <w:bookmarkStart w:id="486" w:name="study-area"/>
    <w:p>
      <w:pPr>
        <w:pStyle w:val="Heading3"/>
      </w:pPr>
      <w:r>
        <w:t xml:space="preserve">20.1.1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485" w:name="fig-scores-01"/>
          <w:p>
            <w:pPr>
              <w:pStyle w:val="Compact"/>
              <w:jc w:val="center"/>
            </w:pPr>
            <w:r>
              <w:drawing>
                <wp:inline>
                  <wp:extent cx="5334000" cy="3583781"/>
                  <wp:effectExtent b="0" l="0" r="0" t="0"/>
                  <wp:docPr descr="" title="" id="483" name="Picture"/>
                  <a:graphic>
                    <a:graphicData uri="http://schemas.openxmlformats.org/drawingml/2006/picture">
                      <pic:pic>
                        <pic:nvPicPr>
                          <pic:cNvPr descr="figures/apps-guide/scores-01.png" id="484" name="Picture"/>
                          <pic:cNvPicPr>
                            <a:picLocks noChangeArrowheads="1" noChangeAspect="1"/>
                          </pic:cNvPicPr>
                        </pic:nvPicPr>
                        <pic:blipFill>
                          <a:blip r:embed="rId48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Study Area</w:t>
            </w:r>
          </w:p>
          <w:bookmarkEnd w:id="485"/>
        </w:tc>
      </w:tr>
    </w:tbl>
    <w:bookmarkEnd w:id="486"/>
    <w:bookmarkStart w:id="491" w:name="spatial-units-1"/>
    <w:p>
      <w:pPr>
        <w:pStyle w:val="Heading3"/>
      </w:pPr>
      <w:r>
        <w:t xml:space="preserve">20.1.2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490" w:name="fig-scores-02"/>
          <w:p>
            <w:pPr>
              <w:pStyle w:val="Compact"/>
              <w:jc w:val="center"/>
            </w:pPr>
            <w:r>
              <w:drawing>
                <wp:inline>
                  <wp:extent cx="5334000" cy="3583781"/>
                  <wp:effectExtent b="0" l="0" r="0" t="0"/>
                  <wp:docPr descr="" title="" id="488" name="Picture"/>
                  <a:graphic>
                    <a:graphicData uri="http://schemas.openxmlformats.org/drawingml/2006/picture">
                      <pic:pic>
                        <pic:nvPicPr>
                          <pic:cNvPr descr="figures/apps-guide/scores-02.png" id="489" name="Picture"/>
                          <pic:cNvPicPr>
                            <a:picLocks noChangeArrowheads="1" noChangeAspect="1"/>
                          </pic:cNvPicPr>
                        </pic:nvPicPr>
                        <pic:blipFill>
                          <a:blip r:embed="rId48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Spatial Units</w:t>
            </w:r>
          </w:p>
          <w:bookmarkEnd w:id="490"/>
        </w:tc>
      </w:tr>
    </w:tbl>
    <w:bookmarkEnd w:id="491"/>
    <w:bookmarkStart w:id="496" w:name="layer-selection"/>
    <w:p>
      <w:pPr>
        <w:pStyle w:val="Heading3"/>
      </w:pPr>
      <w:r>
        <w:t xml:space="preserve">20.1.3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495" w:name="fig-scores-03"/>
          <w:p>
            <w:pPr>
              <w:pStyle w:val="Compact"/>
              <w:jc w:val="center"/>
            </w:pPr>
            <w:r>
              <w:drawing>
                <wp:inline>
                  <wp:extent cx="5334000" cy="3583781"/>
                  <wp:effectExtent b="0" l="0" r="0" t="0"/>
                  <wp:docPr descr="" title="" id="493" name="Picture"/>
                  <a:graphic>
                    <a:graphicData uri="http://schemas.openxmlformats.org/drawingml/2006/picture">
                      <pic:pic>
                        <pic:nvPicPr>
                          <pic:cNvPr descr="figures/apps-guide/scores-03.png" id="494" name="Picture"/>
                          <pic:cNvPicPr>
                            <a:picLocks noChangeArrowheads="1" noChangeAspect="1"/>
                          </pic:cNvPicPr>
                        </pic:nvPicPr>
                        <pic:blipFill>
                          <a:blip r:embed="rId49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Layer Selection</w:t>
            </w:r>
          </w:p>
          <w:bookmarkEnd w:id="495"/>
        </w:tc>
      </w:tr>
    </w:tbl>
    <w:bookmarkEnd w:id="496"/>
    <w:bookmarkStart w:id="501" w:name="map-tab"/>
    <w:p>
      <w:pPr>
        <w:pStyle w:val="Heading3"/>
      </w:pPr>
      <w:r>
        <w:t xml:space="preserve">20.1.4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500" w:name="fig-scores-04"/>
          <w:p>
            <w:pPr>
              <w:pStyle w:val="Compact"/>
              <w:jc w:val="center"/>
            </w:pPr>
            <w:r>
              <w:drawing>
                <wp:inline>
                  <wp:extent cx="5334000" cy="3583781"/>
                  <wp:effectExtent b="0" l="0" r="0" t="0"/>
                  <wp:docPr descr="" title="" id="498" name="Picture"/>
                  <a:graphic>
                    <a:graphicData uri="http://schemas.openxmlformats.org/drawingml/2006/picture">
                      <pic:pic>
                        <pic:nvPicPr>
                          <pic:cNvPr descr="figures/apps-guide/scores-04.png" id="499" name="Picture"/>
                          <pic:cNvPicPr>
                            <a:picLocks noChangeArrowheads="1" noChangeAspect="1"/>
                          </pic:cNvPicPr>
                        </pic:nvPicPr>
                        <pic:blipFill>
                          <a:blip r:embed="rId49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20.4: Map tab</w:t>
            </w:r>
          </w:p>
          <w:bookmarkEnd w:id="500"/>
        </w:tc>
      </w:tr>
    </w:tbl>
    <w:bookmarkEnd w:id="501"/>
    <w:bookmarkStart w:id="506" w:name="layers-control"/>
    <w:p>
      <w:pPr>
        <w:pStyle w:val="Heading3"/>
      </w:pPr>
      <w:r>
        <w:t xml:space="preserve">20.1.5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505" w:name="fig-scores-05"/>
          <w:p>
            <w:pPr>
              <w:pStyle w:val="Compact"/>
              <w:jc w:val="center"/>
            </w:pPr>
            <w:r>
              <w:drawing>
                <wp:inline>
                  <wp:extent cx="5334000" cy="3583781"/>
                  <wp:effectExtent b="0" l="0" r="0" t="0"/>
                  <wp:docPr descr="" title="" id="503" name="Picture"/>
                  <a:graphic>
                    <a:graphicData uri="http://schemas.openxmlformats.org/drawingml/2006/picture">
                      <pic:pic>
                        <pic:nvPicPr>
                          <pic:cNvPr descr="figures/apps-guide/scores-05.png" id="504" name="Picture"/>
                          <pic:cNvPicPr>
                            <a:picLocks noChangeArrowheads="1" noChangeAspect="1"/>
                          </pic:cNvPicPr>
                        </pic:nvPicPr>
                        <pic:blipFill>
                          <a:blip r:embed="rId50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20.5: Layers control</w:t>
            </w:r>
          </w:p>
          <w:bookmarkEnd w:id="505"/>
        </w:tc>
      </w:tr>
    </w:tbl>
    <w:bookmarkEnd w:id="506"/>
    <w:bookmarkStart w:id="511" w:name="go-to-location"/>
    <w:p>
      <w:pPr>
        <w:pStyle w:val="Heading3"/>
      </w:pPr>
      <w:r>
        <w:t xml:space="preserve">20.1.6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510" w:name="fig-scores-06"/>
          <w:p>
            <w:pPr>
              <w:pStyle w:val="Compact"/>
              <w:jc w:val="center"/>
            </w:pPr>
            <w:r>
              <w:drawing>
                <wp:inline>
                  <wp:extent cx="5334000" cy="3583781"/>
                  <wp:effectExtent b="0" l="0" r="0" t="0"/>
                  <wp:docPr descr="" title="" id="508" name="Picture"/>
                  <a:graphic>
                    <a:graphicData uri="http://schemas.openxmlformats.org/drawingml/2006/picture">
                      <pic:pic>
                        <pic:nvPicPr>
                          <pic:cNvPr descr="figures/apps-guide/scores-06.png" id="509" name="Picture"/>
                          <pic:cNvPicPr>
                            <a:picLocks noChangeArrowheads="1" noChangeAspect="1"/>
                          </pic:cNvPicPr>
                        </pic:nvPicPr>
                        <pic:blipFill>
                          <a:blip r:embed="rId50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20.6: Go to location</w:t>
            </w:r>
          </w:p>
          <w:bookmarkEnd w:id="510"/>
        </w:tc>
      </w:tr>
    </w:tbl>
    <w:bookmarkEnd w:id="511"/>
    <w:bookmarkStart w:id="516" w:name="full-screen"/>
    <w:p>
      <w:pPr>
        <w:pStyle w:val="Heading3"/>
      </w:pPr>
      <w:r>
        <w:t xml:space="preserve">20.1.7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515" w:name="fig-scores-07"/>
          <w:p>
            <w:pPr>
              <w:pStyle w:val="Compact"/>
              <w:jc w:val="center"/>
            </w:pPr>
            <w:r>
              <w:drawing>
                <wp:inline>
                  <wp:extent cx="5334000" cy="3583781"/>
                  <wp:effectExtent b="0" l="0" r="0" t="0"/>
                  <wp:docPr descr="" title="" id="513" name="Picture"/>
                  <a:graphic>
                    <a:graphicData uri="http://schemas.openxmlformats.org/drawingml/2006/picture">
                      <pic:pic>
                        <pic:nvPicPr>
                          <pic:cNvPr descr="figures/apps-guide/scores-07.png" id="514" name="Picture"/>
                          <pic:cNvPicPr>
                            <a:picLocks noChangeArrowheads="1" noChangeAspect="1"/>
                          </pic:cNvPicPr>
                        </pic:nvPicPr>
                        <pic:blipFill>
                          <a:blip r:embed="rId51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20.7: Full screen</w:t>
            </w:r>
          </w:p>
          <w:bookmarkEnd w:id="515"/>
        </w:tc>
      </w:tr>
    </w:tbl>
    <w:bookmarkEnd w:id="516"/>
    <w:bookmarkStart w:id="521" w:name="zoom-in-out"/>
    <w:p>
      <w:pPr>
        <w:pStyle w:val="Heading3"/>
      </w:pPr>
      <w:r>
        <w:t xml:space="preserve">20.1.8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520" w:name="fig-scores-08"/>
          <w:p>
            <w:pPr>
              <w:pStyle w:val="Compact"/>
              <w:jc w:val="center"/>
            </w:pPr>
            <w:r>
              <w:drawing>
                <wp:inline>
                  <wp:extent cx="5334000" cy="3583781"/>
                  <wp:effectExtent b="0" l="0" r="0" t="0"/>
                  <wp:docPr descr="" title="" id="518" name="Picture"/>
                  <a:graphic>
                    <a:graphicData uri="http://schemas.openxmlformats.org/drawingml/2006/picture">
                      <pic:pic>
                        <pic:nvPicPr>
                          <pic:cNvPr descr="figures/apps-guide/scores-08.png" id="519" name="Picture"/>
                          <pic:cNvPicPr>
                            <a:picLocks noChangeArrowheads="1" noChangeAspect="1"/>
                          </pic:cNvPicPr>
                        </pic:nvPicPr>
                        <pic:blipFill>
                          <a:blip r:embed="rId51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20.8: Zoom in / out</w:t>
            </w:r>
          </w:p>
          <w:bookmarkEnd w:id="520"/>
        </w:tc>
      </w:tr>
    </w:tbl>
    <w:bookmarkEnd w:id="521"/>
    <w:bookmarkStart w:id="526" w:name="plot-of-scores-tab"/>
    <w:p>
      <w:pPr>
        <w:pStyle w:val="Heading3"/>
      </w:pPr>
      <w:r>
        <w:t xml:space="preserve">20.1.9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525" w:name="fig-scores-09"/>
          <w:p>
            <w:pPr>
              <w:pStyle w:val="Compact"/>
              <w:jc w:val="center"/>
            </w:pPr>
            <w:r>
              <w:drawing>
                <wp:inline>
                  <wp:extent cx="5334000" cy="3583781"/>
                  <wp:effectExtent b="0" l="0" r="0" t="0"/>
                  <wp:docPr descr="" title="" id="523" name="Picture"/>
                  <a:graphic>
                    <a:graphicData uri="http://schemas.openxmlformats.org/drawingml/2006/picture">
                      <pic:pic>
                        <pic:nvPicPr>
                          <pic:cNvPr descr="figures/apps-guide/scores-09.png" id="524" name="Picture"/>
                          <pic:cNvPicPr>
                            <a:picLocks noChangeArrowheads="1" noChangeAspect="1"/>
                          </pic:cNvPicPr>
                        </pic:nvPicPr>
                        <pic:blipFill>
                          <a:blip r:embed="rId52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20.9: Plot of Scores tab</w:t>
            </w:r>
          </w:p>
          <w:bookmarkEnd w:id="525"/>
        </w:tc>
      </w:tr>
    </w:tbl>
    <w:bookmarkEnd w:id="526"/>
    <w:bookmarkStart w:id="531" w:name="table-of-species-tab"/>
    <w:p>
      <w:pPr>
        <w:pStyle w:val="Heading3"/>
      </w:pPr>
      <w:r>
        <w:t xml:space="preserve">20.1.10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530" w:name="fig-scores-10"/>
          <w:p>
            <w:pPr>
              <w:pStyle w:val="Compact"/>
              <w:jc w:val="center"/>
            </w:pPr>
            <w:r>
              <w:drawing>
                <wp:inline>
                  <wp:extent cx="5334000" cy="3583781"/>
                  <wp:effectExtent b="0" l="0" r="0" t="0"/>
                  <wp:docPr descr="" title="" id="528" name="Picture"/>
                  <a:graphic>
                    <a:graphicData uri="http://schemas.openxmlformats.org/drawingml/2006/picture">
                      <pic:pic>
                        <pic:nvPicPr>
                          <pic:cNvPr descr="figures/apps-guide/scores-10.png" id="529" name="Picture"/>
                          <pic:cNvPicPr>
                            <a:picLocks noChangeArrowheads="1" noChangeAspect="1"/>
                          </pic:cNvPicPr>
                        </pic:nvPicPr>
                        <pic:blipFill>
                          <a:blip r:embed="rId52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20.10: Table of Species tab</w:t>
            </w:r>
          </w:p>
          <w:bookmarkEnd w:id="530"/>
        </w:tc>
      </w:tr>
    </w:tbl>
    <w:bookmarkEnd w:id="531"/>
    <w:bookmarkStart w:id="536" w:name="report-tab"/>
    <w:p>
      <w:pPr>
        <w:pStyle w:val="Heading3"/>
      </w:pPr>
      <w:r>
        <w:t xml:space="preserve">20.1.11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535" w:name="fig-scores-11"/>
          <w:p>
            <w:pPr>
              <w:pStyle w:val="Compact"/>
              <w:jc w:val="center"/>
            </w:pPr>
            <w:r>
              <w:drawing>
                <wp:inline>
                  <wp:extent cx="5334000" cy="3583781"/>
                  <wp:effectExtent b="0" l="0" r="0" t="0"/>
                  <wp:docPr descr="" title="" id="533" name="Picture"/>
                  <a:graphic>
                    <a:graphicData uri="http://schemas.openxmlformats.org/drawingml/2006/picture">
                      <pic:pic>
                        <pic:nvPicPr>
                          <pic:cNvPr descr="figures/apps-guide/scores-11.png" id="534" name="Picture"/>
                          <pic:cNvPicPr>
                            <a:picLocks noChangeArrowheads="1" noChangeAspect="1"/>
                          </pic:cNvPicPr>
                        </pic:nvPicPr>
                        <pic:blipFill>
                          <a:blip r:embed="rId53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20.11: Report tab</w:t>
            </w:r>
          </w:p>
          <w:bookmarkEnd w:id="535"/>
        </w:tc>
      </w:tr>
    </w:tbl>
    <w:bookmarkEnd w:id="536"/>
    <w:bookmarkEnd w:id="537"/>
    <w:bookmarkStart w:id="563" w:name="species-app"/>
    <w:p>
      <w:pPr>
        <w:pStyle w:val="Heading2"/>
      </w:pPr>
      <w:r>
        <w:t xml:space="preserve">20.2 Species app</w:t>
      </w:r>
    </w:p>
    <w:bookmarkStart w:id="542" w:name="select-a-species"/>
    <w:p>
      <w:pPr>
        <w:pStyle w:val="Heading3"/>
      </w:pPr>
      <w:r>
        <w:t xml:space="preserve">20.2.1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541" w:name="fig-species-01"/>
          <w:p>
            <w:pPr>
              <w:pStyle w:val="Compact"/>
              <w:jc w:val="center"/>
            </w:pPr>
            <w:r>
              <w:drawing>
                <wp:inline>
                  <wp:extent cx="5334000" cy="3583781"/>
                  <wp:effectExtent b="0" l="0" r="0" t="0"/>
                  <wp:docPr descr="" title="" id="539" name="Picture"/>
                  <a:graphic>
                    <a:graphicData uri="http://schemas.openxmlformats.org/drawingml/2006/picture">
                      <pic:pic>
                        <pic:nvPicPr>
                          <pic:cNvPr descr="figures/apps-guide/species-01.png" id="540" name="Picture"/>
                          <pic:cNvPicPr>
                            <a:picLocks noChangeArrowheads="1" noChangeAspect="1"/>
                          </pic:cNvPicPr>
                        </pic:nvPicPr>
                        <pic:blipFill>
                          <a:blip r:embed="rId53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20.12: Select a Species</w:t>
            </w:r>
          </w:p>
          <w:bookmarkEnd w:id="541"/>
        </w:tc>
      </w:tr>
    </w:tbl>
    <w:bookmarkEnd w:id="542"/>
    <w:bookmarkStart w:id="547" w:name="mask-selection"/>
    <w:p>
      <w:pPr>
        <w:pStyle w:val="Heading3"/>
      </w:pPr>
      <w:r>
        <w:t xml:space="preserve">20.2.2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546" w:name="fig-species-02"/>
          <w:p>
            <w:pPr>
              <w:pStyle w:val="Compact"/>
              <w:jc w:val="center"/>
            </w:pPr>
            <w:r>
              <w:drawing>
                <wp:inline>
                  <wp:extent cx="5334000" cy="3583781"/>
                  <wp:effectExtent b="0" l="0" r="0" t="0"/>
                  <wp:docPr descr="" title="" id="544" name="Picture"/>
                  <a:graphic>
                    <a:graphicData uri="http://schemas.openxmlformats.org/drawingml/2006/picture">
                      <pic:pic>
                        <pic:nvPicPr>
                          <pic:cNvPr descr="figures/apps-guide/species-02.png" id="545" name="Picture"/>
                          <pic:cNvPicPr>
                            <a:picLocks noChangeArrowheads="1" noChangeAspect="1"/>
                          </pic:cNvPicPr>
                        </pic:nvPicPr>
                        <pic:blipFill>
                          <a:blip r:embed="rId54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20.13: Mask Selection</w:t>
            </w:r>
          </w:p>
          <w:bookmarkEnd w:id="546"/>
        </w:tc>
      </w:tr>
    </w:tbl>
    <w:bookmarkEnd w:id="547"/>
    <w:bookmarkStart w:id="552" w:name="layer-selector"/>
    <w:p>
      <w:pPr>
        <w:pStyle w:val="Heading3"/>
      </w:pPr>
      <w:r>
        <w:t xml:space="preserve">20.2.3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551" w:name="fig-species-03"/>
          <w:p>
            <w:pPr>
              <w:pStyle w:val="Compact"/>
              <w:jc w:val="center"/>
            </w:pPr>
            <w:r>
              <w:drawing>
                <wp:inline>
                  <wp:extent cx="5334000" cy="3583781"/>
                  <wp:effectExtent b="0" l="0" r="0" t="0"/>
                  <wp:docPr descr="" title="" id="549" name="Picture"/>
                  <a:graphic>
                    <a:graphicData uri="http://schemas.openxmlformats.org/drawingml/2006/picture">
                      <pic:pic>
                        <pic:nvPicPr>
                          <pic:cNvPr descr="figures/apps-guide/species-03.png" id="550" name="Picture"/>
                          <pic:cNvPicPr>
                            <a:picLocks noChangeArrowheads="1" noChangeAspect="1"/>
                          </pic:cNvPicPr>
                        </pic:nvPicPr>
                        <pic:blipFill>
                          <a:blip r:embed="rId54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20.14: Layer Selector</w:t>
            </w:r>
          </w:p>
          <w:bookmarkEnd w:id="551"/>
        </w:tc>
      </w:tr>
    </w:tbl>
    <w:bookmarkEnd w:id="552"/>
    <w:bookmarkStart w:id="557" w:name="species-map"/>
    <w:p>
      <w:pPr>
        <w:pStyle w:val="Heading3"/>
      </w:pPr>
      <w:r>
        <w:t xml:space="preserve">20.2.4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556" w:name="fig-species-04"/>
          <w:p>
            <w:pPr>
              <w:pStyle w:val="Compact"/>
              <w:jc w:val="center"/>
            </w:pPr>
            <w:r>
              <w:drawing>
                <wp:inline>
                  <wp:extent cx="5334000" cy="3583781"/>
                  <wp:effectExtent b="0" l="0" r="0" t="0"/>
                  <wp:docPr descr="" title="" id="554" name="Picture"/>
                  <a:graphic>
                    <a:graphicData uri="http://schemas.openxmlformats.org/drawingml/2006/picture">
                      <pic:pic>
                        <pic:nvPicPr>
                          <pic:cNvPr descr="figures/apps-guide/species-04.png" id="555" name="Picture"/>
                          <pic:cNvPicPr>
                            <a:picLocks noChangeArrowheads="1" noChangeAspect="1"/>
                          </pic:cNvPicPr>
                        </pic:nvPicPr>
                        <pic:blipFill>
                          <a:blip r:embed="rId553"/>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20.15: Species Map</w:t>
            </w:r>
          </w:p>
          <w:bookmarkEnd w:id="556"/>
        </w:tc>
      </w:tr>
    </w:tbl>
    <w:bookmarkEnd w:id="557"/>
    <w:bookmarkStart w:id="562" w:name="species-info"/>
    <w:p>
      <w:pPr>
        <w:pStyle w:val="Heading3"/>
      </w:pPr>
      <w:r>
        <w:t xml:space="preserve">20.2.5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561" w:name="fig-species-05"/>
          <w:p>
            <w:pPr>
              <w:pStyle w:val="Compact"/>
              <w:jc w:val="center"/>
            </w:pPr>
            <w:r>
              <w:drawing>
                <wp:inline>
                  <wp:extent cx="5334000" cy="3583781"/>
                  <wp:effectExtent b="0" l="0" r="0" t="0"/>
                  <wp:docPr descr="" title="" id="559" name="Picture"/>
                  <a:graphic>
                    <a:graphicData uri="http://schemas.openxmlformats.org/drawingml/2006/picture">
                      <pic:pic>
                        <pic:nvPicPr>
                          <pic:cNvPr descr="figures/apps-guide/species-05.png" id="560" name="Picture"/>
                          <pic:cNvPicPr>
                            <a:picLocks noChangeArrowheads="1" noChangeAspect="1"/>
                          </pic:cNvPicPr>
                        </pic:nvPicPr>
                        <pic:blipFill>
                          <a:blip r:embed="rId558"/>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20.16: Species Info</w:t>
            </w:r>
          </w:p>
          <w:bookmarkEnd w:id="561"/>
        </w:tc>
      </w:tr>
    </w:tbl>
    <w:bookmarkEnd w:id="562"/>
    <w:bookmarkEnd w:id="563"/>
    <w:bookmarkEnd w:id="564"/>
    <w:bookmarkStart w:id="566" w:name="docs"/>
    <w:p>
      <w:pPr>
        <w:pStyle w:val="Heading1"/>
      </w:pPr>
      <w:r>
        <w:t xml:space="preserve">21. Docs</w:t>
      </w:r>
    </w:p>
    <w:p>
      <w:pPr>
        <w:pStyle w:val="FirstParagraph"/>
      </w:pPr>
      <w:r>
        <w:t xml:space="preserve">Technical documentation is principally in this book:</w:t>
      </w:r>
    </w:p>
    <w:p>
      <w:pPr>
        <w:numPr>
          <w:ilvl w:val="0"/>
          <w:numId w:val="1054"/>
        </w:numPr>
      </w:pPr>
      <w:hyperlink r:id="rId283">
        <w:r>
          <w:rPr>
            <w:rStyle w:val="Hyperlink"/>
          </w:rPr>
          <w:t xml:space="preserve">marinesensitivity.org/docs</w:t>
        </w:r>
      </w:hyperlink>
      <w:r>
        <w:br/>
      </w:r>
      <w:r>
        <w:t xml:space="preserve">the main documentation site</w:t>
      </w:r>
    </w:p>
    <w:p>
      <w:pPr>
        <w:numPr>
          <w:ilvl w:val="0"/>
          <w:numId w:val="1054"/>
        </w:numPr>
      </w:pPr>
      <w:hyperlink r:id="rId342">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5"/>
        </w:numPr>
      </w:pPr>
      <w:hyperlink r:id="rId565">
        <w:r>
          <w:rPr>
            <w:rStyle w:val="Hyperlink"/>
          </w:rPr>
          <w:t xml:space="preserve">marinesensitivity.org/</w:t>
        </w:r>
        <w:r>
          <w:rPr>
            <w:rStyle w:val="VerbatimChar"/>
          </w:rPr>
          <w:t xml:space="preserve">msens</w:t>
        </w:r>
      </w:hyperlink>
      <w:r>
        <w:br/>
      </w:r>
      <w:r>
        <w:t xml:space="preserve">documented R functions</w:t>
      </w:r>
    </w:p>
    <w:bookmarkEnd w:id="566"/>
    <w:bookmarkStart w:id="570" w:name="summary"/>
    <w:p>
      <w:pPr>
        <w:pStyle w:val="Heading1"/>
      </w:pPr>
      <w:r>
        <w:t xml:space="preserve">22.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v4b</w:t>
      </w:r>
      <w:r>
        <w:t xml:space="preserve">; figures are read from that release.</w:t>
      </w:r>
    </w:p>
    <w:bookmarkStart w:id="567" w:name="what-this-release-delivers"/>
    <w:p>
      <w:pPr>
        <w:pStyle w:val="Heading2"/>
      </w:pPr>
      <w:r>
        <w:t xml:space="preserve">22.1 What this release delivers</w:t>
      </w:r>
    </w:p>
    <w:p>
      <w:pPr>
        <w:numPr>
          <w:ilvl w:val="0"/>
          <w:numId w:val="1056"/>
        </w:numPr>
      </w:pPr>
      <w:r>
        <w:rPr>
          <w:b/>
          <w:bCs/>
        </w:rPr>
        <w:t xml:space="preserve">9,795 valid marine species</w:t>
      </w:r>
      <w:r>
        <w:t xml:space="preserve"> </w:t>
      </w:r>
      <w:r>
        <w:t xml:space="preserve">on a 0.05° grid (~4 km cells) across the US EEZ study area, of which</w:t>
      </w:r>
      <w:r>
        <w:t xml:space="preserve"> </w:t>
      </w:r>
      <w:r>
        <w:rPr>
          <w:b/>
          <w:bCs/>
        </w:rPr>
        <w:t xml:space="preserve">9,597</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56"/>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56"/>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56"/>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56"/>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56"/>
        </w:numPr>
      </w:pPr>
      <w:r>
        <w:rPr>
          <w:b/>
          <w:bCs/>
        </w:rPr>
        <w:t xml:space="preserve">Interactive applications</w:t>
      </w:r>
      <w:r>
        <w:t xml:space="preserve"> </w:t>
      </w:r>
      <w:r>
        <w:t xml:space="preserve">— Scores and Species — render</w:t>
      </w:r>
      <w:r>
        <w:t xml:space="preserve"> </w:t>
      </w:r>
      <w:r>
        <w:rPr>
          <w:b/>
          <w:bCs/>
        </w:rPr>
        <w:t xml:space="preserve">any published release</w:t>
      </w:r>
      <w:r>
        <w:t xml:space="preserve"> </w:t>
      </w:r>
      <w:r>
        <w:t xml:space="preserve">from the URL path (e.g. </w:t>
      </w:r>
      <w:r>
        <w:rPr>
          <w:rStyle w:val="VerbatimChar"/>
        </w:rPr>
        <w:t xml:space="preserve">/v3/scores/</w:t>
      </w:r>
      <w:r>
        <w:t xml:space="preserve">; an older</w:t>
      </w:r>
      <w:r>
        <w:t xml:space="preserve"> </w:t>
      </w:r>
      <w:r>
        <w:rPr>
          <w:rStyle w:val="VerbatimChar"/>
        </w:rPr>
        <w:t xml:space="preserve">?ver=v3</w:t>
      </w:r>
      <w:r>
        <w:t xml:space="preserve"> </w:t>
      </w:r>
      <w:r>
        <w:t xml:space="preserve">deep link still resolves, 301’d to the equivalent path), so a reader can look at the release a report cited rather than only the newest one.</w:t>
      </w:r>
    </w:p>
    <w:bookmarkEnd w:id="567"/>
    <w:bookmarkStart w:id="568" w:name="delivered-since-the-first-release"/>
    <w:p>
      <w:pPr>
        <w:pStyle w:val="Heading2"/>
      </w:pPr>
      <w:r>
        <w:t xml:space="preserve">22.2 Delivered since the first release</w:t>
      </w:r>
    </w:p>
    <w:p>
      <w:pPr>
        <w:pStyle w:val="FirstParagraph"/>
      </w:pPr>
      <w:r>
        <w:t xml:space="preserve">Several capabilities listed as future work in earlier editions of this documentation have since shipped:</w:t>
      </w:r>
    </w:p>
    <w:p>
      <w:pPr>
        <w:pStyle w:val="Compact"/>
        <w:numPr>
          <w:ilvl w:val="0"/>
          <w:numId w:val="1057"/>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57"/>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57"/>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57"/>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57"/>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568"/>
    <w:bookmarkStart w:id="569" w:name="future-directions"/>
    <w:p>
      <w:pPr>
        <w:pStyle w:val="Heading2"/>
      </w:pPr>
      <w:r>
        <w:t xml:space="preserve">22.3 Future directions</w:t>
      </w:r>
    </w:p>
    <w:p>
      <w:pPr>
        <w:pStyle w:val="Compact"/>
        <w:numPr>
          <w:ilvl w:val="0"/>
          <w:numId w:val="1058"/>
        </w:numPr>
      </w:pPr>
      <w:r>
        <w:rPr>
          <w:b/>
          <w:bCs/>
        </w:rPr>
        <w:t xml:space="preserve">OBIS/GBIF validation</w:t>
      </w:r>
      <w:r>
        <w:t xml:space="preserve"> </w:t>
      </w:r>
      <w:r>
        <w:t xml:space="preserve">— refine distributions against occurrence records, with temporal filters.</w:t>
      </w:r>
    </w:p>
    <w:p>
      <w:pPr>
        <w:pStyle w:val="Compact"/>
        <w:numPr>
          <w:ilvl w:val="0"/>
          <w:numId w:val="1058"/>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58"/>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58"/>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58"/>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58"/>
        </w:numPr>
      </w:pPr>
      <w:r>
        <w:rPr>
          <w:b/>
          <w:bCs/>
        </w:rPr>
        <w:t xml:space="preserve">Infrastructure transfer</w:t>
      </w:r>
      <w:r>
        <w:t xml:space="preserve"> </w:t>
      </w:r>
      <w:r>
        <w:t xml:space="preserve">— support moving the data and applications onto BOEM infrastructure for long-term operation.</w:t>
      </w:r>
    </w:p>
    <w:bookmarkEnd w:id="569"/>
    <w:bookmarkEnd w:id="570"/>
    <w:bookmarkStart w:id="608" w:name="references"/>
    <w:p>
      <w:pPr>
        <w:pStyle w:val="Heading1"/>
      </w:pPr>
      <w:r>
        <w:t xml:space="preserve">References</w:t>
      </w:r>
    </w:p>
    <w:bookmarkStart w:id="607" w:name="refs"/>
    <w:bookmarkStart w:id="572"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571">
        <w:r>
          <w:rPr>
            <w:rStyle w:val="Hyperlink"/>
          </w:rPr>
          <w:t xml:space="preserve">https://doi.org/10.4319/lo.1997.42.1.0001</w:t>
        </w:r>
      </w:hyperlink>
      <w:r>
        <w:t xml:space="preserve">.</w:t>
      </w:r>
    </w:p>
    <w:bookmarkEnd w:id="572"/>
    <w:bookmarkStart w:id="574"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573">
        <w:r>
          <w:rPr>
            <w:rStyle w:val="Hyperlink"/>
          </w:rPr>
          <w:t xml:space="preserve">https://doi.org/10.1371/journal.pone.0000140</w:t>
        </w:r>
      </w:hyperlink>
      <w:r>
        <w:t xml:space="preserve">.</w:t>
      </w:r>
    </w:p>
    <w:bookmarkEnd w:id="574"/>
    <w:bookmarkStart w:id="576"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575">
        <w:r>
          <w:rPr>
            <w:rStyle w:val="Hyperlink"/>
          </w:rPr>
          <w:t xml:space="preserve">https://doi.org/10.1371/journal.pbio.0020383</w:t>
        </w:r>
      </w:hyperlink>
      <w:r>
        <w:t xml:space="preserve">.</w:t>
      </w:r>
    </w:p>
    <w:bookmarkEnd w:id="576"/>
    <w:bookmarkStart w:id="578"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577">
        <w:r>
          <w:rPr>
            <w:rStyle w:val="Hyperlink"/>
          </w:rPr>
          <w:t xml:space="preserve">https://CRAN.R-project.org/package=shiny</w:t>
        </w:r>
      </w:hyperlink>
      <w:r>
        <w:t xml:space="preserve">.</w:t>
      </w:r>
    </w:p>
    <w:bookmarkEnd w:id="578"/>
    <w:bookmarkStart w:id="580"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579">
        <w:r>
          <w:rPr>
            <w:rStyle w:val="Hyperlink"/>
          </w:rPr>
          <w:t xml:space="preserve">https://doi.org/10.1080/09640568.2014.973483</w:t>
        </w:r>
      </w:hyperlink>
      <w:r>
        <w:t xml:space="preserve">.</w:t>
      </w:r>
    </w:p>
    <w:bookmarkEnd w:id="580"/>
    <w:bookmarkStart w:id="582"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581">
        <w:r>
          <w:rPr>
            <w:rStyle w:val="Hyperlink"/>
          </w:rPr>
          <w:t xml:space="preserve">https://doi.org/10.1038/nature11397</w:t>
        </w:r>
      </w:hyperlink>
      <w:r>
        <w:t xml:space="preserve">.</w:t>
      </w:r>
    </w:p>
    <w:bookmarkEnd w:id="582"/>
    <w:bookmarkStart w:id="584"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583">
        <w:r>
          <w:rPr>
            <w:rStyle w:val="Hyperlink"/>
          </w:rPr>
          <w:t xml:space="preserve">https://doi.org/10.1111/j.1523-1739.2007.00752.x</w:t>
        </w:r>
      </w:hyperlink>
      <w:r>
        <w:t xml:space="preserve">.</w:t>
      </w:r>
    </w:p>
    <w:bookmarkEnd w:id="584"/>
    <w:bookmarkStart w:id="586"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585">
        <w:r>
          <w:rPr>
            <w:rStyle w:val="Hyperlink"/>
          </w:rPr>
          <w:t xml:space="preserve">https://doi.org/10.1371/journal.pone.0146756</w:t>
        </w:r>
      </w:hyperlink>
      <w:r>
        <w:t xml:space="preserve">.</w:t>
      </w:r>
    </w:p>
    <w:bookmarkEnd w:id="586"/>
    <w:bookmarkStart w:id="587"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587"/>
    <w:bookmarkStart w:id="588"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29">
        <w:r>
          <w:rPr>
            <w:rStyle w:val="Hyperlink"/>
          </w:rPr>
          <w:t xml:space="preserve">https://www.aquamaps.org</w:t>
        </w:r>
      </w:hyperlink>
      <w:r>
        <w:t xml:space="preserve">.</w:t>
      </w:r>
    </w:p>
    <w:bookmarkEnd w:id="588"/>
    <w:bookmarkStart w:id="590"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589">
        <w:r>
          <w:rPr>
            <w:rStyle w:val="Hyperlink"/>
          </w:rPr>
          <w:t xml:space="preserve">https://doi.org/10.1038/s41559-017-0160</w:t>
        </w:r>
      </w:hyperlink>
      <w:r>
        <w:t xml:space="preserve">.</w:t>
      </w:r>
    </w:p>
    <w:bookmarkEnd w:id="590"/>
    <w:bookmarkStart w:id="592"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591">
        <w:r>
          <w:rPr>
            <w:rStyle w:val="Hyperlink"/>
          </w:rPr>
          <w:t xml:space="preserve">https://doi.org/10.1038/s41559-021-01432-0</w:t>
        </w:r>
      </w:hyperlink>
      <w:r>
        <w:t xml:space="preserve">.</w:t>
      </w:r>
    </w:p>
    <w:bookmarkEnd w:id="592"/>
    <w:bookmarkStart w:id="594"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593">
        <w:r>
          <w:rPr>
            <w:rStyle w:val="Hyperlink"/>
          </w:rPr>
          <w:t xml:space="preserve">https://doi.org/10.1002/ece3.70030</w:t>
        </w:r>
      </w:hyperlink>
      <w:r>
        <w:t xml:space="preserve">.</w:t>
      </w:r>
    </w:p>
    <w:bookmarkEnd w:id="594"/>
    <w:bookmarkStart w:id="596"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595">
        <w:r>
          <w:rPr>
            <w:rStyle w:val="Hyperlink"/>
          </w:rPr>
          <w:t xml:space="preserve">https://doi.org/10.1371/journal.pone.0003700</w:t>
        </w:r>
      </w:hyperlink>
      <w:r>
        <w:t xml:space="preserve">.</w:t>
      </w:r>
    </w:p>
    <w:bookmarkEnd w:id="596"/>
    <w:bookmarkStart w:id="598"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597">
        <w:r>
          <w:rPr>
            <w:rStyle w:val="Hyperlink"/>
          </w:rPr>
          <w:t xml:space="preserve">https://www.boem.gov/sites/default/files/environmental-stewardship/Environmental-Studies/Pacific-Region/Studies/BOEM-2018-031-Vol1.pdf</w:t>
        </w:r>
      </w:hyperlink>
      <w:r>
        <w:t xml:space="preserve">.</w:t>
      </w:r>
    </w:p>
    <w:bookmarkEnd w:id="598"/>
    <w:bookmarkStart w:id="599"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599"/>
    <w:bookmarkStart w:id="601"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00">
        <w:r>
          <w:rPr>
            <w:rStyle w:val="Hyperlink"/>
          </w:rPr>
          <w:t xml:space="preserve">https://noaa.maps.arcgis.com/home/search.html?searchTerm=turtle+dps</w:t>
        </w:r>
      </w:hyperlink>
      <w:r>
        <w:t xml:space="preserve">.</w:t>
      </w:r>
    </w:p>
    <w:bookmarkEnd w:id="601"/>
    <w:bookmarkStart w:id="60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02"/>
    <w:bookmarkStart w:id="60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03">
        <w:r>
          <w:rPr>
            <w:rStyle w:val="Hyperlink"/>
          </w:rPr>
          <w:t xml:space="preserve">https://doi.org/10.3354/esr01243</w:t>
        </w:r>
      </w:hyperlink>
      <w:r>
        <w:t xml:space="preserve">.</w:t>
      </w:r>
    </w:p>
    <w:bookmarkEnd w:id="604"/>
    <w:bookmarkStart w:id="60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05">
        <w:r>
          <w:rPr>
            <w:rStyle w:val="Hyperlink"/>
          </w:rPr>
          <w:t xml:space="preserve">https://doi.org/10.1038/sdata.2016.18</w:t>
        </w:r>
      </w:hyperlink>
      <w:r>
        <w:t xml:space="preserve">.</w:t>
      </w:r>
    </w:p>
    <w:bookmarkEnd w:id="606"/>
    <w:bookmarkEnd w:id="607"/>
    <w:bookmarkEnd w:id="608"/>
    <w:bookmarkStart w:id="61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0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10"/>
    <w:bookmarkStart w:id="611" w:name="X8b2cbe4f2e0e61e9bf1d99b5b0394609763a838"/>
    <w:p>
      <w:pPr>
        <w:pStyle w:val="Heading1"/>
      </w:pPr>
      <w:r>
        <w:t xml:space="preserve">Appendix A — Atlas (beta) — the static, in-browser scores, species and places app</w:t>
      </w:r>
    </w:p>
    <w:bookmarkEnd w:id="611"/>
    <w:bookmarkStart w:id="689" w:name="sec-app-atlas"/>
    <w:p>
      <w:pPr>
        <w:pStyle w:val="Heading1"/>
      </w:pPr>
      <w:r>
        <w:t xml:space="preserve">Appendix A — Atlas</w:t>
      </w:r>
    </w:p>
    <w:bookmarkStart w:id="626" w:name="overview-1"/>
    <w:p>
      <w:pPr>
        <w:pStyle w:val="Heading2"/>
      </w:pPr>
      <w:r>
        <w:t xml:space="preserve">A.1 Overview</w:t>
      </w:r>
    </w:p>
    <w:p>
      <w:pPr>
        <w:pStyle w:val="FirstParagraph"/>
      </w:pPr>
      <w:r>
        <w:t xml:space="preserve">The</w:t>
      </w:r>
      <w:r>
        <w:t xml:space="preserve"> </w:t>
      </w:r>
      <w:r>
        <w:rPr>
          <w:b/>
          <w:bCs/>
        </w:rPr>
        <w:t xml:space="preserve">Atlas</w:t>
      </w:r>
      <w:r>
        <w:t xml:space="preserve"> </w:t>
      </w:r>
      <w:r>
        <w:t xml:space="preserve">(</w:t>
      </w:r>
      <w:hyperlink r:id="rId471">
        <w:r>
          <w:rPr>
            <w:rStyle w:val="Hyperlink"/>
          </w:rPr>
          <w:t xml:space="preserve">https://marinesensitivity.org/atlas/?ver=v4b</w:t>
        </w:r>
      </w:hyperlink>
      <w:r>
        <w:t xml:space="preserve">) is a third, newer way to explore the MST,</w:t>
      </w:r>
      <w:r>
        <w:t xml:space="preserve"> </w:t>
      </w:r>
      <w:r>
        <w:t xml:space="preserve">currently labelled</w:t>
      </w:r>
      <w:r>
        <w:t xml:space="preserve"> </w:t>
      </w:r>
      <w:r>
        <w:rPr>
          <w:b/>
          <w:bCs/>
        </w:rPr>
        <w:t xml:space="preserve">beta</w:t>
      </w:r>
      <w:r>
        <w:t xml:space="preserve">:</w:t>
      </w:r>
      <w:r>
        <w:t xml:space="preserve"> </w:t>
      </w:r>
      <w:r>
        <w:rPr>
          <w:b/>
          <w:bCs/>
        </w:rPr>
        <w:t xml:space="preserve">one static web app</w:t>
      </w:r>
      <w:r>
        <w:t xml:space="preserve">, built with Svelte and MapLibre, that runs</w:t>
      </w:r>
      <w:r>
        <w:t xml:space="preserve"> </w:t>
      </w:r>
      <w:r>
        <w:t xml:space="preserve">entirely in the browser. Where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Shiny apps are</w:t>
      </w:r>
      <w:r>
        <w:t xml:space="preserve"> </w:t>
      </w:r>
      <w:r>
        <w:t xml:space="preserve">server-rendered R 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the same way the preview Scores and Species apps are,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hyperlink w:anchor="fig-atlas-map">
        <w:r>
          <w:rPr>
            <w:rStyle w:val="Hyperlink"/>
          </w:rPr>
          <w:t xml:space="preserve">Figure B.1</w:t>
        </w:r>
      </w:hyperlink>
      <w:r>
        <w:t xml:space="preserve"> </w:t>
      </w:r>
      <w:r>
        <w:t xml:space="preserve">shows the default Scores view: the 0.05° cell grid colored by a composite</w:t>
      </w:r>
      <w:r>
        <w:t xml:space="preserve"> </w:t>
      </w:r>
      <w:r>
        <w:t xml:space="preserve">sensitivity score across U.S. waters, dark theme (the app’s default), with the tool rail on the</w:t>
      </w:r>
      <w:r>
        <w:t xml:space="preserve"> </w:t>
      </w:r>
      <w:r>
        <w:t xml:space="preserve">left, the Layers panel open by default, and the basemap’s attribution in the lower-left corner.</w:t>
      </w:r>
    </w:p>
    <w:tbl>
      <w:tblPr>
        <w:tblStyle w:val="Table"/>
        <w:tblW w:type="pct" w:w="5000"/>
        <w:tblLayout w:type="fixed"/>
        <w:tblLook w:firstRow="0" w:lastRow="0" w:firstColumn="0" w:lastColumn="0" w:noHBand="0" w:noVBand="0" w:val="0000"/>
      </w:tblPr>
      <w:tblGrid>
        <w:gridCol w:w="7920"/>
      </w:tblGrid>
      <w:tr>
        <w:tc>
          <w:tcPr/>
          <w:bookmarkStart w:id="617" w:name="fig-atlas-map"/>
          <w:p>
            <w:pPr>
              <w:pStyle w:val="Compact"/>
              <w:jc w:val="center"/>
            </w:pPr>
            <w:r>
              <w:drawing>
                <wp:inline>
                  <wp:extent cx="5334000" cy="3333750"/>
                  <wp:effectExtent b="0" l="0" r="0" t="0"/>
                  <wp:docPr descr="" title="" id="615" name="Picture"/>
                  <a:graphic>
                    <a:graphicData uri="http://schemas.openxmlformats.org/drawingml/2006/picture">
                      <pic:pic>
                        <pic:nvPicPr>
                          <pic:cNvPr descr="images/atlas/desktop-map.png" id="616" name="Picture"/>
                          <pic:cNvPicPr>
                            <a:picLocks noChangeArrowheads="1" noChangeAspect="1"/>
                          </pic:cNvPicPr>
                        </pic:nvPicPr>
                        <pic:blipFill>
                          <a:blip r:embed="rId6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Atlas, Scores lens, default view (desktop, dark theme).</w:t>
            </w:r>
          </w:p>
          <w:bookmarkEnd w:id="617"/>
        </w:tc>
      </w:tr>
    </w:tbl>
    <w:p>
      <w:pPr>
        <w:pStyle w:val="BodyText"/>
      </w:pPr>
      <w:r>
        <w:rPr>
          <w:b/>
          <w:bCs/>
        </w:rPr>
        <w:t xml:space="preserve">Desktop vs. phone layout.</w:t>
      </w:r>
      <w:r>
        <w:t xml:space="preserve"> </w:t>
      </w:r>
      <w:r>
        <w:t xml:space="preserve">On a wide viewport the five rail tools open a single</w:t>
      </w:r>
      <w:r>
        <w:t xml:space="preserve"> </w:t>
      </w:r>
      <w:r>
        <w:rPr>
          <w:b/>
          <w:bCs/>
        </w:rPr>
        <w:t xml:space="preserve">dockable</w:t>
      </w:r>
      <w:r>
        <w:rPr>
          <w:b/>
          <w:bCs/>
        </w:rPr>
        <w:t xml:space="preserve"> </w:t>
      </w:r>
      <w:r>
        <w:rPr>
          <w:b/>
          <w:bCs/>
        </w:rPr>
        <w:t xml:space="preserve">panel</w:t>
      </w:r>
      <w:r>
        <w:t xml:space="preserve"> </w:t>
      </w:r>
      <w:r>
        <w:t xml:space="preserve">that floats over the map; on a phone the identical five tools sit in a labelled</w:t>
      </w:r>
      <w:r>
        <w:t xml:space="preserve"> </w:t>
      </w:r>
      <w:r>
        <w:rPr>
          <w:b/>
          <w:bCs/>
        </w:rPr>
        <w:t xml:space="preserve">bottom</w:t>
      </w:r>
      <w:r>
        <w:rPr>
          <w:b/>
          <w:bCs/>
        </w:rPr>
        <w:t xml:space="preserve"> </w:t>
      </w:r>
      <w:r>
        <w:rPr>
          <w:b/>
          <w:bCs/>
        </w:rPr>
        <w:t xml:space="preserve">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B.2</w:t>
        </w:r>
      </w:hyperlink>
      <w:r>
        <w:t xml:space="preserve"> </w:t>
      </w:r>
      <w:r>
        <w:t xml:space="preserve">shows the phone layout, and</w:t>
      </w:r>
      <w:r>
        <w:t xml:space="preserve"> </w:t>
      </w:r>
      <w:hyperlink w:anchor="fig-atlas-phone-more">
        <w:r>
          <w:rPr>
            <w:rStyle w:val="Hyperlink"/>
          </w:rPr>
          <w:t xml:space="preserve">Figure B.3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621" w:name="fig-atlas-phone-map"/>
                <w:p>
                  <w:pPr>
                    <w:pStyle w:val="Compact"/>
                    <w:jc w:val="center"/>
                    <w:jc w:val="left"/>
                  </w:pPr>
                  <w:r>
                    <w:drawing>
                      <wp:inline>
                        <wp:extent cx="5334000" cy="11543323"/>
                        <wp:effectExtent b="0" l="0" r="0" t="0"/>
                        <wp:docPr descr="" title="" id="619" name="Picture"/>
                        <a:graphic>
                          <a:graphicData uri="http://schemas.openxmlformats.org/drawingml/2006/picture">
                            <pic:pic>
                              <pic:nvPicPr>
                                <pic:cNvPr descr="images/atlas/phone-map.png" id="620" name="Picture"/>
                                <pic:cNvPicPr>
                                  <a:picLocks noChangeArrowheads="1" noChangeAspect="1"/>
                                </pic:cNvPicPr>
                              </pic:nvPicPr>
                              <pic:blipFill>
                                <a:blip r:embed="rId61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B.2: Phone: default view.</w:t>
                  </w:r>
                </w:p>
                <w:bookmarkEnd w:id="62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625" w:name="fig-atlas-phone-more"/>
                <w:p>
                  <w:pPr>
                    <w:pStyle w:val="Compact"/>
                    <w:jc w:val="center"/>
                    <w:jc w:val="left"/>
                  </w:pPr>
                  <w:r>
                    <w:drawing>
                      <wp:inline>
                        <wp:extent cx="5334000" cy="11543323"/>
                        <wp:effectExtent b="0" l="0" r="0" t="0"/>
                        <wp:docPr descr="" title="" id="623" name="Picture"/>
                        <a:graphic>
                          <a:graphicData uri="http://schemas.openxmlformats.org/drawingml/2006/picture">
                            <pic:pic>
                              <pic:nvPicPr>
                                <pic:cNvPr descr="images/atlas/phone-more-menu.png" id="624" name="Picture"/>
                                <pic:cNvPicPr>
                                  <a:picLocks noChangeArrowheads="1" noChangeAspect="1"/>
                                </pic:cNvPicPr>
                              </pic:nvPicPr>
                              <pic:blipFill>
                                <a:blip r:embed="rId62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B.3: Phone: the top bar’s More (⋯) menu.</w:t>
                  </w:r>
                </w:p>
                <w:bookmarkEnd w:id="625"/>
              </w:tc>
            </w:tr>
          </w:tbl>
          <w:p/>
        </w:tc>
      </w:tr>
    </w:tbl>
    <w:bookmarkEnd w:id="626"/>
    <w:bookmarkStart w:id="627" w:name="quick-start"/>
    <w:p>
      <w:pPr>
        <w:pStyle w:val="Heading2"/>
      </w:pPr>
      <w:r>
        <w:t xml:space="preserve">A.2 Quick start</w:t>
      </w:r>
    </w:p>
    <w:p>
      <w:pPr>
        <w:pStyle w:val="FirstParagraph"/>
      </w:pPr>
      <w:r>
        <w:rPr>
          <w:b/>
          <w:bCs/>
        </w:rPr>
        <w:t xml:space="preserve">Desktop:</w:t>
      </w:r>
    </w:p>
    <w:p>
      <w:pPr>
        <w:pStyle w:val="Compact"/>
        <w:numPr>
          <w:ilvl w:val="0"/>
          <w:numId w:val="1059"/>
        </w:numPr>
      </w:pPr>
      <w:r>
        <w:t xml:space="preserve">Open</w:t>
      </w:r>
      <w:r>
        <w:t xml:space="preserve"> </w:t>
      </w:r>
      <w:r>
        <w:rPr>
          <w:b/>
          <w:bCs/>
        </w:rPr>
        <w:t xml:space="preserve">Places</w:t>
      </w:r>
      <w:r>
        <w:t xml:space="preserve">, and either choose a Program Area from its list or draw a</w:t>
      </w:r>
      <w:r>
        <w:t xml:space="preserve"> </w:t>
      </w:r>
      <w:r>
        <w:rPr>
          <w:b/>
          <w:bCs/>
        </w:rPr>
        <w:t xml:space="preserve">Rectangle</w:t>
      </w:r>
      <w:r>
        <w:t xml:space="preserve"> </w:t>
      </w:r>
      <w:r>
        <w:t xml:space="preserve">(click, move, click, then</w:t>
      </w:r>
      <w:r>
        <w:t xml:space="preserve"> </w:t>
      </w:r>
      <w:r>
        <w:rPr>
          <w:b/>
          <w:bCs/>
        </w:rPr>
        <w:t xml:space="preserve">Done</w:t>
      </w:r>
      <w:r>
        <w:t xml:space="preserve">).</w:t>
      </w:r>
    </w:p>
    <w:p>
      <w:pPr>
        <w:pStyle w:val="Compact"/>
        <w:numPr>
          <w:ilvl w:val="0"/>
          <w:numId w:val="1059"/>
        </w:numPr>
      </w:pPr>
      <w:r>
        <w:t xml:space="preserve">Select the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w:t>
      </w:r>
    </w:p>
    <w:p>
      <w:pPr>
        <w:pStyle w:val="Compact"/>
        <w:numPr>
          <w:ilvl w:val="0"/>
          <w:numId w:val="1059"/>
        </w:numPr>
      </w:pPr>
      <w:r>
        <w:t xml:space="preserve">Rename it inline if you like.</w:t>
      </w:r>
    </w:p>
    <w:p>
      <w:pPr>
        <w:pStyle w:val="Compact"/>
        <w:numPr>
          <w:ilvl w:val="0"/>
          <w:numId w:val="1059"/>
        </w:numPr>
      </w:pPr>
      <w:r>
        <w:rPr>
          <w:b/>
          <w:bCs/>
        </w:rPr>
        <w:t xml:space="preserve">Places › Share › Copy link</w:t>
      </w:r>
      <w:r>
        <w:t xml:space="preserve"> </w:t>
      </w:r>
      <w:r>
        <w:t xml:space="preserve">— the fastest way to hand someone the same place.</w:t>
      </w:r>
    </w:p>
    <w:p>
      <w:pPr>
        <w:pStyle w:val="Compact"/>
        <w:numPr>
          <w:ilvl w:val="0"/>
          <w:numId w:val="1059"/>
        </w:numPr>
      </w:pPr>
      <w:r>
        <w:rPr>
          <w:b/>
          <w:bCs/>
        </w:rPr>
        <w:t xml:space="preserve">Places › Report</w:t>
      </w:r>
      <w:r>
        <w:t xml:space="preserve"> </w:t>
      </w:r>
      <w:r>
        <w:t xml:space="preserve">for a printable, downloadable document (Print, HTML, ZIP or Word).</w:t>
      </w:r>
    </w:p>
    <w:p>
      <w:pPr>
        <w:pStyle w:val="FirstParagraph"/>
      </w:pPr>
      <w:r>
        <w:rPr>
          <w:b/>
          <w:bCs/>
        </w:rPr>
        <w:t xml:space="preserve">Phone:</w:t>
      </w:r>
      <w:r>
        <w:t xml:space="preserve"> </w:t>
      </w:r>
      <w:r>
        <w:t xml:space="preserve">the tool rail is the bottom tab bar; use the Program Area chooser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627"/>
    <w:bookmarkStart w:id="628" w:name="getting-around"/>
    <w:p>
      <w:pPr>
        <w:pStyle w:val="Heading2"/>
      </w:pPr>
      <w:r>
        <w:t xml:space="preserve">A.3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and</w:t>
      </w:r>
      <w:r>
        <w:t xml:space="preserve"> </w:t>
      </w:r>
      <w:r>
        <w:t xml:space="preserve">coordinates in the Scores lens,</w:t>
      </w:r>
      <w:r>
        <w:t xml:space="preserve"> </w:t>
      </w:r>
      <w:hyperlink w:anchor="sec-atlas-scores">
        <w:r>
          <w:rPr>
            <w:rStyle w:val="Hyperlink"/>
          </w:rPr>
          <w:t xml:space="preserve">Section B.4</w:t>
        </w:r>
      </w:hyperlink>
      <w:r>
        <w:t xml:space="preserve">; species in the Species lens); then, right-aligned,</w:t>
      </w:r>
      <w:r>
        <w:t xml:space="preserve"> </w:t>
      </w:r>
      <w:r>
        <w:rPr>
          <w:b/>
          <w:bCs/>
        </w:rPr>
        <w:t xml:space="preserve">Share</w:t>
      </w:r>
      <w:r>
        <w:t xml:space="preserve">,</w:t>
      </w:r>
      <w:r>
        <w:t xml:space="preserve"> </w:t>
      </w:r>
      <w:r>
        <w:rPr>
          <w:b/>
          <w:bCs/>
        </w:rPr>
        <w:t xml:space="preserve">Report</w:t>
      </w:r>
      <w:r>
        <w:t xml:space="preserve">, a</w:t>
      </w:r>
      <w:r>
        <w:t xml:space="preserve"> </w:t>
      </w:r>
      <w:r>
        <w:rPr>
          <w:b/>
          <w:bCs/>
        </w:rPr>
        <w:t xml:space="preserve">(?) Help</w:t>
      </w:r>
      <w:r>
        <w:t xml:space="preserve"> </w:t>
      </w:r>
      <w:r>
        <w:t xml:space="preserve">menu (Take a tour, keyboard shortcuts, a Docs link), a</w:t>
      </w:r>
      <w:r>
        <w:t xml:space="preserve"> </w:t>
      </w:r>
      <w:r>
        <w:rPr>
          <w:b/>
          <w:bCs/>
        </w:rPr>
        <w:t xml:space="preserve">Feedback</w:t>
      </w:r>
      <w:r>
        <w:t xml:space="preserve"> </w:t>
      </w:r>
      <w:r>
        <w:t xml:space="preserve">button, an</w:t>
      </w:r>
      <w:r>
        <w:t xml:space="preserve"> </w:t>
      </w:r>
      <w:r>
        <w:rPr>
          <w:b/>
          <w:bCs/>
        </w:rPr>
        <w:t xml:space="preserve">(i) About</w:t>
      </w:r>
      <w:r>
        <w:t xml:space="preserve"> </w:t>
      </w:r>
      <w:r>
        <w:t xml:space="preserve">button, and a sun/moon</w:t>
      </w:r>
      <w:r>
        <w:t xml:space="preserve"> </w:t>
      </w:r>
      <w:r>
        <w:rPr>
          <w:b/>
          <w:bCs/>
        </w:rPr>
        <w:t xml:space="preserve">theme toggle</w:t>
      </w:r>
      <w:r>
        <w:t xml:space="preserve">. On a phone (below</w:t>
      </w:r>
      <w:r>
        <w:t xml:space="preserve"> </w:t>
      </w:r>
      <w:r>
        <w:t xml:space="preserve">900 px) the title collapses to the mark, and Share, Report, Help, Feedback, About and the theme</w:t>
      </w:r>
      <w:r>
        <w:t xml:space="preserve"> </w:t>
      </w:r>
      <w:r>
        <w:t xml:space="preserve">toggle fold into one</w:t>
      </w:r>
      <w:r>
        <w:t xml:space="preserve"> </w:t>
      </w:r>
      <w:r>
        <w:rPr>
          <w:b/>
          <w:bCs/>
        </w:rPr>
        <w:t xml:space="preserve">More (⋯)</w:t>
      </w:r>
      <w:r>
        <w:t xml:space="preserve"> </w:t>
      </w:r>
      <w:r>
        <w:t xml:space="preserve">button beside a</w:t>
      </w:r>
      <w:r>
        <w:t xml:space="preserve"> </w:t>
      </w:r>
      <w:r>
        <w:rPr>
          <w:b/>
          <w:bCs/>
        </w:rPr>
        <w:t xml:space="preserve">search</w:t>
      </w:r>
      <w:r>
        <w:t xml:space="preserve"> </w:t>
      </w:r>
      <w:r>
        <w:t xml:space="preserve">button; below 381 px the mark hides</w:t>
      </w:r>
      <w:r>
        <w:t xml:space="preserve"> </w:t>
      </w:r>
      <w:r>
        <w:t xml:space="preserve">too. The keyboard-shortcut list is desktop-only.</w:t>
      </w:r>
    </w:p>
    <w:p>
      <w:pPr>
        <w:pStyle w:val="BodyText"/>
      </w:pPr>
      <w:r>
        <w:rPr>
          <w:b/>
          <w:bCs/>
        </w:rPr>
        <w:t xml:space="preserve">The tool rail</w:t>
      </w:r>
      <w:r>
        <w:t xml:space="preserve"> </w:t>
      </w:r>
      <w:r>
        <w:t xml:space="preserve">is five controls, always in the same order, on every viewport:</w:t>
      </w:r>
      <w:r>
        <w:t xml:space="preserve"> </w:t>
      </w:r>
      <w:r>
        <w:rPr>
          <w:b/>
          <w:bCs/>
        </w:rPr>
        <w:t xml:space="preserve">Layers · Places · Flower plot · Table · Report</w:t>
      </w:r>
      <w:r>
        <w:t xml:space="preserve">. In the Species lens the Flower control fades in</w:t>
      </w:r>
      <w:r>
        <w:t xml:space="preserve"> </w:t>
      </w:r>
      <w:r>
        <w:t xml:space="preserve">place — it has no meaning for a single species — but stays visible with a tooltip explaining why.</w:t>
      </w:r>
    </w:p>
    <w:p>
      <w:pPr>
        <w:pStyle w:val="BodyText"/>
      </w:pPr>
      <w:r>
        <w:rPr>
          <w:b/>
          <w:bCs/>
        </w:rPr>
        <w:t xml:space="preserve">The panel</w:t>
      </w:r>
      <w:r>
        <w:t xml:space="preserve"> </w:t>
      </w:r>
      <w:r>
        <w:t xml:space="preserve">that a rail tool opens is one dockable surface: dock left, right or bottom; resize</w:t>
      </w:r>
      <w:r>
        <w:t xml:space="preserve"> </w:t>
      </w:r>
      <w:r>
        <w:t xml:space="preserve">by dragging its map-facing edge or with arrow keys; maximize to the whole stage; or collapse to a</w:t>
      </w:r>
      <w:r>
        <w:t xml:space="preserve"> </w:t>
      </w:r>
      <w:r>
        <w:t xml:space="preserve">small labelled pill (clicking any rail tool re-opens it). Its dock/size/collapsed state is chrome,</w:t>
      </w:r>
      <w:r>
        <w:t xml:space="preserve"> </w:t>
      </w:r>
      <w:r>
        <w:t xml:space="preserve">remembered per viewport, never written into the shareable URL.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in a corner</w:t>
      </w:r>
      <w:r>
        <w:t xml:space="preserve"> </w:t>
      </w:r>
      <w:r>
        <w:t xml:space="preserve">clear of the panel, on whichever side it is docked, and hides while the panel is maximized; on a</w:t>
      </w:r>
      <w:r>
        <w:t xml:space="preserve"> </w:t>
      </w:r>
      <w:r>
        <w:t xml:space="preserve">phone it is a compact</w:t>
      </w:r>
      <w:r>
        <w:t xml:space="preserve"> </w:t>
      </w:r>
      <w:r>
        <w:rPr>
          <w:b/>
          <w:bCs/>
        </w:rPr>
        <w:t xml:space="preserve">Legend</w:t>
      </w:r>
      <w:r>
        <w:t xml:space="preserve"> </w:t>
      </w:r>
      <w:r>
        <w:t xml:space="preserve">chip above the sheet that opens the full legend, moving into the</w:t>
      </w:r>
      <w:r>
        <w:t xml:space="preserve"> </w:t>
      </w:r>
      <w:r>
        <w:t xml:space="preserve">sheet’s own header at full height.</w:t>
      </w:r>
    </w:p>
    <w:bookmarkEnd w:id="628"/>
    <w:bookmarkStart w:id="633" w:name="sec-atlas-scores"/>
    <w:p>
      <w:pPr>
        <w:pStyle w:val="Heading2"/>
      </w:pPr>
      <w:r>
        <w:t xml:space="preserve">A.4 Scores lens</w:t>
      </w:r>
    </w:p>
    <w:p>
      <w:pPr>
        <w:pStyle w:val="FirstParagraph"/>
      </w:pPr>
      <w:r>
        <w:t xml:space="preserve">The Scores lens shows the composite, extinction-risk-weighted score for every 0.05° cell (or,</w:t>
      </w:r>
      <w:r>
        <w:t xml:space="preserve"> </w:t>
      </w:r>
      <w:r>
        <w:t xml:space="preserve">aggregated, every Program Area) of U.S. waters. Opening</w:t>
      </w:r>
      <w:r>
        <w:t xml:space="preserve"> </w:t>
      </w:r>
      <w:r>
        <w:rPr>
          <w:b/>
          <w:bCs/>
        </w:rPr>
        <w:t xml:space="preserve">Layers</w:t>
      </w:r>
      <w:r>
        <w:t xml:space="preserve"> </w:t>
      </w:r>
      <w:r>
        <w:t xml:space="preserve">(</w:t>
      </w:r>
      <w:hyperlink w:anchor="fig-atlas-layers">
        <w:r>
          <w:rPr>
            <w:rStyle w:val="Hyperlink"/>
          </w:rPr>
          <w:t xml:space="preserve">Figure B.4</w:t>
        </w:r>
      </w:hyperlink>
      <w:r>
        <w:t xml:space="preserve">) expands the</w:t>
      </w:r>
      <w:r>
        <w:t xml:space="preserve"> </w:t>
      </w:r>
      <w:r>
        <w:rPr>
          <w:b/>
          <w:bCs/>
        </w:rPr>
        <w:t xml:space="preserve">Data</w:t>
      </w:r>
      <w:r>
        <w:t xml:space="preserve"> </w:t>
      </w:r>
      <w:r>
        <w:t xml:space="preserve">row into this lens’s own controls — study area, spatial unit, the score layer, color</w:t>
      </w:r>
      <w:r>
        <w:t xml:space="preserve"> </w:t>
      </w:r>
      <w:r>
        <w:t xml:space="preserve">palette, a</w:t>
      </w:r>
      <w:r>
        <w:t xml:space="preserve"> </w:t>
      </w:r>
      <w:r>
        <w:rPr>
          <w:b/>
          <w:bCs/>
        </w:rPr>
        <w:t xml:space="preserve">Sphere</w:t>
      </w:r>
      <w:r>
        <w:t xml:space="preserve"> </w:t>
      </w:r>
      <w:r>
        <w:t xml:space="preserve">switch (globe vs. flat projection), and a</w:t>
      </w:r>
      <w:r>
        <w:t xml:space="preserve"> </w:t>
      </w:r>
      <w:r>
        <w:rPr>
          <w:b/>
          <w:bCs/>
        </w:rPr>
        <w:t xml:space="preserve">Cells outside Program Areas</w:t>
      </w:r>
      <w:r>
        <w:t xml:space="preserve"> </w:t>
      </w:r>
      <w:r>
        <w:t xml:space="preserve">switch where the release publishes that overlay — above the rest of the</w:t>
      </w:r>
      <w:r>
        <w:t xml:space="preserve"> </w:t>
      </w:r>
      <w:r>
        <w:rPr>
          <w:b/>
          <w:bCs/>
        </w:rPr>
        <w:t xml:space="preserve">layer stack</w:t>
      </w:r>
      <w:r>
        <w:t xml:space="preserve">, listed</w:t>
      </w:r>
      <w:r>
        <w:t xml:space="preserve"> </w:t>
      </w:r>
      <w:r>
        <w:t xml:space="preserve">top to bottom:</w:t>
      </w:r>
      <w:r>
        <w:t xml:space="preserve"> </w:t>
      </w:r>
      <w:r>
        <w:rPr>
          <w:b/>
          <w:bCs/>
        </w:rPr>
        <w:t xml:space="preserve">Selection</w:t>
      </w:r>
      <w:r>
        <w:t xml:space="preserve"> </w:t>
      </w:r>
      <w:r>
        <w:t xml:space="preserve">(pinned at the top),</w:t>
      </w:r>
      <w:r>
        <w:t xml:space="preserve"> </w:t>
      </w:r>
      <w:r>
        <w:rPr>
          <w:b/>
          <w:bCs/>
        </w:rPr>
        <w:t xml:space="preserve">Zone outlines</w:t>
      </w:r>
      <w:r>
        <w:t xml:space="preserve">,</w:t>
      </w:r>
      <w:r>
        <w:t xml:space="preserve"> </w:t>
      </w:r>
      <w:r>
        <w:rPr>
          <w:b/>
          <w:bCs/>
        </w:rPr>
        <w:t xml:space="preserve">Data</w:t>
      </w:r>
      <w:r>
        <w:t xml:space="preserve">,</w:t>
      </w:r>
      <w:r>
        <w:t xml:space="preserve"> </w:t>
      </w:r>
      <w:r>
        <w:rPr>
          <w:b/>
          <w:bCs/>
        </w:rPr>
        <w:t xml:space="preserve">Place labels</w:t>
      </w:r>
      <w:r>
        <w:t xml:space="preserve">,</w:t>
      </w:r>
      <w:r>
        <w:t xml:space="preserve"> </w:t>
      </w:r>
      <w:r>
        <w:rPr>
          <w:b/>
          <w:bCs/>
        </w:rPr>
        <w:t xml:space="preserve">Roads &amp; buildings</w:t>
      </w:r>
      <w:r>
        <w:t xml:space="preserve">,</w:t>
      </w:r>
      <w:r>
        <w:t xml:space="preserve"> </w:t>
      </w:r>
      <w:r>
        <w:rPr>
          <w:b/>
          <w:bCs/>
        </w:rPr>
        <w:t xml:space="preserve">Boundaries</w:t>
      </w:r>
      <w:r>
        <w:t xml:space="preserve">,</w:t>
      </w:r>
      <w:r>
        <w:t xml:space="preserve"> </w:t>
      </w:r>
      <w:r>
        <w:rPr>
          <w:b/>
          <w:bCs/>
        </w:rPr>
        <w:t xml:space="preserve">Bathymetry</w:t>
      </w:r>
      <w:r>
        <w:t xml:space="preserve"> </w:t>
      </w:r>
      <w:r>
        <w:t xml:space="preserve">(present but disabled until a relief layer is</w:t>
      </w:r>
      <w:r>
        <w:t xml:space="preserve"> </w:t>
      </w:r>
      <w:r>
        <w:t xml:space="preserve">published) and</w:t>
      </w:r>
      <w:r>
        <w:t xml:space="preserve"> </w:t>
      </w:r>
      <w:r>
        <w:rPr>
          <w:b/>
          <w:bCs/>
        </w:rPr>
        <w:t xml:space="preserve">Land &amp; water</w:t>
      </w:r>
      <w:r>
        <w:t xml:space="preserve"> </w:t>
      </w:r>
      <w:r>
        <w:t xml:space="preserve">at the bottom. Every row’s visibility and opacity can be changed,</w:t>
      </w:r>
      <w:r>
        <w:t xml:space="preserve"> </w:t>
      </w:r>
      <w:r>
        <w:t xml:space="preserve">and most can be reordered —</w:t>
      </w:r>
      <w:r>
        <w:t xml:space="preserve"> </w:t>
      </w:r>
      <w:r>
        <w:rPr>
          <w:b/>
          <w:bCs/>
        </w:rPr>
        <w:t xml:space="preserve">Data</w:t>
      </w:r>
      <w:r>
        <w:t xml:space="preserve"> </w:t>
      </w:r>
      <w:r>
        <w:t xml:space="preserve">can never move above</w:t>
      </w:r>
      <w:r>
        <w:t xml:space="preserve"> </w:t>
      </w:r>
      <w:r>
        <w:rPr>
          <w:b/>
          <w:bCs/>
        </w:rPr>
        <w:t xml:space="preserve">Zone outlines</w:t>
      </w:r>
      <w:r>
        <w:t xml:space="preserve">, so an opaque score</w:t>
      </w:r>
      <w:r>
        <w:t xml:space="preserve"> </w:t>
      </w:r>
      <w:r>
        <w:t xml:space="preserve">raster can never hide the boundaries it is measured against — and</w:t>
      </w:r>
      <w:r>
        <w:t xml:space="preserve"> </w:t>
      </w:r>
      <w:r>
        <w:rPr>
          <w:b/>
          <w:bCs/>
        </w:rPr>
        <w:t xml:space="preserve">Reset layers</w:t>
      </w:r>
      <w:r>
        <w:t xml:space="preserve"> </w:t>
      </w:r>
      <w:r>
        <w:t xml:space="preserve">restores the</w:t>
      </w:r>
      <w:r>
        <w:t xml:space="preserve"> </w:t>
      </w:r>
      <w:r>
        <w:t xml:space="preserve">default stack.</w:t>
      </w:r>
    </w:p>
    <w:tbl>
      <w:tblPr>
        <w:tblStyle w:val="Table"/>
        <w:tblW w:type="pct" w:w="5000"/>
        <w:tblLayout w:type="fixed"/>
        <w:tblLook w:firstRow="0" w:lastRow="0" w:firstColumn="0" w:lastColumn="0" w:noHBand="0" w:noVBand="0" w:val="0000"/>
      </w:tblPr>
      <w:tblGrid>
        <w:gridCol w:w="7920"/>
      </w:tblGrid>
      <w:tr>
        <w:tc>
          <w:tcPr/>
          <w:bookmarkStart w:id="632" w:name="fig-atlas-layers"/>
          <w:p>
            <w:pPr>
              <w:pStyle w:val="Compact"/>
              <w:jc w:val="center"/>
            </w:pPr>
            <w:r>
              <w:drawing>
                <wp:inline>
                  <wp:extent cx="4826000" cy="9245600"/>
                  <wp:effectExtent b="0" l="0" r="0" t="0"/>
                  <wp:docPr descr="" title="" id="630" name="Picture"/>
                  <a:graphic>
                    <a:graphicData uri="http://schemas.openxmlformats.org/drawingml/2006/picture">
                      <pic:pic>
                        <pic:nvPicPr>
                          <pic:cNvPr descr="images/atlas/desktop-layers.png" id="631" name="Picture"/>
                          <pic:cNvPicPr>
                            <a:picLocks noChangeArrowheads="1" noChangeAspect="1"/>
                          </pic:cNvPicPr>
                        </pic:nvPicPr>
                        <pic:blipFill>
                          <a:blip r:embed="rId62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B.4: The Layers panel docked, with Place labels moved above Data (one</w:t>
            </w:r>
            <w:r>
              <w:t xml:space="preserve"> </w:t>
            </w:r>
            <w:r>
              <w:t xml:space="preserve">“move up”</w:t>
            </w:r>
            <w:r>
              <w:t xml:space="preserve"> </w:t>
            </w:r>
            <w:r>
              <w:t xml:space="preserve">click) to show the reorder feature, and Data expanded to its study area, spatial units, layer and palette controls.</w:t>
            </w:r>
          </w:p>
          <w:bookmarkEnd w:id="63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Flower plot</w:t>
      </w:r>
      <w:r>
        <w:t xml:space="preserve"> </w:t>
      </w:r>
      <w:r>
        <w:t xml:space="preserve">and</w:t>
      </w:r>
      <w:r>
        <w:t xml:space="preserve"> </w:t>
      </w:r>
      <w:r>
        <w:rPr>
          <w:b/>
          <w:bCs/>
        </w:rPr>
        <w:t xml:space="preserve">Table</w:t>
      </w:r>
      <w:r>
        <w:t xml:space="preserve"> </w:t>
      </w:r>
      <w:r>
        <w:t xml:space="preserve">tools then describe</w:t>
      </w:r>
      <w:r>
        <w:t xml:space="preserve"> </w:t>
      </w:r>
      <w:r>
        <w:t xml:space="preserve">(</w:t>
      </w:r>
      <w:hyperlink w:anchor="sec-atlas-flower-table">
        <w:r>
          <w:rPr>
            <w:rStyle w:val="Hyperlink"/>
          </w:rPr>
          <w:t xml:space="preserve">Section B.8</w:t>
        </w:r>
      </w:hyperlink>
      <w:r>
        <w:t xml:space="preserve">).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633"/>
    <w:bookmarkStart w:id="638" w:name="species-lens"/>
    <w:p>
      <w:pPr>
        <w:pStyle w:val="Heading2"/>
      </w:pPr>
      <w:r>
        <w:t xml:space="preserve">A.5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 and replaces the</w:t>
      </w:r>
      <w:r>
        <w:t xml:space="preserve"> </w:t>
      </w:r>
      <w:r>
        <w:rPr>
          <w:b/>
          <w:bCs/>
        </w:rPr>
        <w:t xml:space="preserve">Data</w:t>
      </w:r>
      <w:r>
        <w:t xml:space="preserve"> </w:t>
      </w:r>
      <w:r>
        <w:t xml:space="preserve">row’s contents</w:t>
      </w:r>
      <w:r>
        <w:t xml:space="preserve"> </w:t>
      </w:r>
      <w:r>
        <w:t xml:space="preserve">inside</w:t>
      </w:r>
      <w:r>
        <w:t xml:space="preserve"> </w:t>
      </w:r>
      <w:r>
        <w:rPr>
          <w:b/>
          <w:bCs/>
        </w:rPr>
        <w:t xml:space="preserve">Layers</w:t>
      </w:r>
      <w:r>
        <w:t xml:space="preserve"> </w:t>
      </w:r>
      <w:r>
        <w:t xml:space="preserve">with the species</w:t>
      </w:r>
      <w:r>
        <w:t xml:space="preserve"> </w:t>
      </w:r>
      <w:r>
        <w:rPr>
          <w:b/>
          <w:bCs/>
        </w:rPr>
        <w:t xml:space="preserve">card</w:t>
      </w:r>
      <w:r>
        <w:t xml:space="preserve">: the merged model as a filled pill marked</w:t>
      </w:r>
      <w:r>
        <w:t xml:space="preserve"> </w:t>
      </w:r>
      <w:r>
        <w:rPr>
          <w:b/>
          <w:bCs/>
        </w:rPr>
        <w:t xml:space="preserve">✓</w:t>
      </w:r>
      <w:r>
        <w:t xml:space="preserve"> </w:t>
      </w:r>
      <w:r>
        <w:t xml:space="preserve">with a</w:t>
      </w:r>
      <w:r>
        <w:t xml:space="preserve"> </w:t>
      </w:r>
      <w:r>
        <w:t xml:space="preserve">gold edge, plus one pill per contributing input dataset marked</w:t>
      </w:r>
      <w:r>
        <w:t xml:space="preserve"> </w:t>
      </w:r>
      <w:r>
        <w:rPr>
          <w:b/>
          <w:bCs/>
        </w:rPr>
        <w:t xml:space="preserve">▶</w:t>
      </w:r>
      <w:r>
        <w:t xml:space="preserve"> </w:t>
      </w:r>
      <w:r>
        <w:t xml:space="preserve">with a grey edge. An input’s</w:t>
      </w:r>
      <w:r>
        <w:t xml:space="preserve"> </w:t>
      </w:r>
      <w:r>
        <w:t xml:space="preserve">raster is found the same way the Species Shiny app finds it — through the release’s</w:t>
      </w:r>
      <w:r>
        <w:t xml:space="preserve"> </w:t>
      </w:r>
      <w:r>
        <w:rPr>
          <w:b/>
          <w:bCs/>
        </w:rPr>
        <w:t xml:space="preserve">model-asset</w:t>
      </w:r>
      <w:r>
        <w:rPr>
          <w:b/>
          <w:bCs/>
        </w:rPr>
        <w:t xml:space="preserve"> </w:t>
      </w:r>
      <w:r>
        <w:rPr>
          <w:b/>
          <w:bCs/>
        </w:rPr>
        <w:t xml:space="preserve">registry</w:t>
      </w:r>
      <w:r>
        <w:t xml:space="preserve">, looked up by model key — and an input whose registry row is missing renders as a</w:t>
      </w:r>
      <w:r>
        <w:t xml:space="preserve"> </w:t>
      </w:r>
      <w:r>
        <w:rPr>
          <w:b/>
          <w:bCs/>
        </w:rPr>
        <w:t xml:space="preserve">struck-through, non-interactive pill</w:t>
      </w:r>
      <w:r>
        <w:t xml:space="preserve">, never simply omitted. Where the selected input publishes</w:t>
      </w:r>
      <w:r>
        <w:t xml:space="preserve"> </w:t>
      </w:r>
      <w:r>
        <w:t xml:space="preserve">both, one</w:t>
      </w:r>
      <w:r>
        <w:t xml:space="preserve"> </w:t>
      </w:r>
      <w:r>
        <w:rPr>
          <w:b/>
          <w:bCs/>
        </w:rPr>
        <w:t xml:space="preserve">representation</w:t>
      </w:r>
      <w:r>
        <w:t xml:space="preserve"> </w:t>
      </w:r>
      <w:r>
        <w:t xml:space="preserve">toggle appears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w:t>
      </w:r>
      <w:r>
        <w:t xml:space="preserve"> </w:t>
      </w:r>
      <w:r>
        <w:t xml:space="preserve">ingested”</w:t>
      </w:r>
      <w:r>
        <w:t xml:space="preserve"> </w:t>
      </w:r>
      <w:r>
        <w:t xml:space="preserve">for a dataset already on the scoring grid). Selecting a species flies the map to that</w:t>
      </w:r>
      <w:r>
        <w:t xml:space="preserve"> </w:t>
      </w:r>
      <w:r>
        <w:t xml:space="preserve">model’s extent; clicking it then returns that cell’s modelled value, or</w:t>
      </w:r>
      <w:r>
        <w:t xml:space="preserve"> </w:t>
      </w:r>
      <w:r>
        <w:rPr>
          <w:i/>
          <w:iCs/>
        </w:rPr>
        <w:t xml:space="preserve">“No scored cell here”</w:t>
      </w:r>
      <w:r>
        <w:t xml:space="preserve"> </w:t>
      </w:r>
      <w:r>
        <w:t xml:space="preserve">outside the model’s range. The legend floats in a corner of the map (a legend chip on a phone),</w:t>
      </w:r>
      <w:r>
        <w:t xml:space="preserve"> </w:t>
      </w:r>
      <w:r>
        <w:t xml:space="preserve">titled with the species’ scientific name and its 1–100 range.</w:t>
      </w:r>
    </w:p>
    <w:tbl>
      <w:tblPr>
        <w:tblStyle w:val="Table"/>
        <w:tblW w:type="pct" w:w="5000"/>
        <w:tblLayout w:type="fixed"/>
        <w:tblLook w:firstRow="0" w:lastRow="0" w:firstColumn="0" w:lastColumn="0" w:noHBand="0" w:noVBand="0" w:val="0000"/>
      </w:tblPr>
      <w:tblGrid>
        <w:gridCol w:w="7920"/>
      </w:tblGrid>
      <w:tr>
        <w:tc>
          <w:tcPr/>
          <w:bookmarkStart w:id="637" w:name="fig-atlas-species"/>
          <w:p>
            <w:pPr>
              <w:pStyle w:val="Compact"/>
              <w:jc w:val="center"/>
            </w:pPr>
            <w:r>
              <w:drawing>
                <wp:inline>
                  <wp:extent cx="4826000" cy="9245600"/>
                  <wp:effectExtent b="0" l="0" r="0" t="0"/>
                  <wp:docPr descr="" title="" id="635" name="Picture"/>
                  <a:graphic>
                    <a:graphicData uri="http://schemas.openxmlformats.org/drawingml/2006/picture">
                      <pic:pic>
                        <pic:nvPicPr>
                          <pic:cNvPr descr="images/atlas/desktop-species.png" id="636" name="Picture"/>
                          <pic:cNvPicPr>
                            <a:picLocks noChangeArrowheads="1" noChangeAspect="1"/>
                          </pic:cNvPicPr>
                        </pic:nvPicPr>
                        <pic:blipFill>
                          <a:blip r:embed="rId634"/>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B.5: The Species lens’ card for the leatherback turtle (</w:t>
            </w:r>
            <w:r>
              <w:rPr>
                <w:i/>
                <w:iCs/>
              </w:rPr>
              <w:t xml:space="preserve">Dermochelys coriacea</w:t>
            </w:r>
            <w:r>
              <w:t xml:space="preserve">): the merged model with every one of its six inputs struck through — as of this writing, a stale v7 app bundle rather than a genuinely missing registry row for all six (see Known Limitations).</w:t>
            </w:r>
          </w:p>
          <w:bookmarkEnd w:id="637"/>
        </w:tc>
      </w:tr>
    </w:tbl>
    <w:bookmarkEnd w:id="638"/>
    <w:bookmarkStart w:id="647" w:name="sec-atlas-places"/>
    <w:p>
      <w:pPr>
        <w:pStyle w:val="Heading2"/>
      </w:pPr>
      <w:r>
        <w:t xml:space="preserve">A.6 Places</w:t>
      </w:r>
    </w:p>
    <w:p>
      <w:pPr>
        <w:pStyle w:val="FirstParagraph"/>
      </w:pPr>
      <w:r>
        <w:rPr>
          <w:b/>
          <w:bCs/>
        </w:rPr>
        <w:t xml:space="preserve">Places</w:t>
      </w:r>
      <w:r>
        <w:t xml:space="preserve"> </w:t>
      </w:r>
      <w:r>
        <w:t xml:space="preserve">is the tool the two Shiny apps do not have: any area you outline gets the same scores</w:t>
      </w:r>
      <w:r>
        <w:t xml:space="preserve"> </w:t>
      </w:r>
      <w:r>
        <w:t xml:space="preserve">and species results the built-in Program Areas get. The empty state reads exactly:</w:t>
      </w:r>
      <w:r>
        <w:t xml:space="preserve"> </w:t>
      </w:r>
      <w:r>
        <w:rPr>
          <w:i/>
          <w:iCs/>
        </w:rPr>
        <w:t xml:space="preserve">“No places</w:t>
      </w:r>
      <w:r>
        <w:rPr>
          <w:i/>
          <w:iCs/>
        </w:rPr>
        <w:t xml:space="preserve"> </w:t>
      </w:r>
      <w:r>
        <w:rPr>
          <w:i/>
          <w:iCs/>
        </w:rPr>
        <w:t xml:space="preserve">yet. Choose a Program Area above, turn on pick mode and click one on the map, draw a shape, enter</w:t>
      </w:r>
      <w:r>
        <w:rPr>
          <w:i/>
          <w:iCs/>
        </w:rPr>
        <w:t xml:space="preserve"> </w:t>
      </w:r>
      <w:r>
        <w:rPr>
          <w:i/>
          <w:iCs/>
        </w:rPr>
        <w:t xml:space="preserve">coordinates, or drop a file on the map.”</w:t>
      </w:r>
    </w:p>
    <w:p>
      <w:pPr>
        <w:pStyle w:val="Compact"/>
        <w:numPr>
          <w:ilvl w:val="0"/>
          <w:numId w:val="1060"/>
        </w:numPr>
      </w:pPr>
      <w:r>
        <w:rPr>
          <w:b/>
          <w:bCs/>
        </w:rPr>
        <w:t xml:space="preserve">Pick a Program Area.</w:t>
      </w:r>
      <w:r>
        <w:t xml:space="preserve"> </w:t>
      </w:r>
      <w:r>
        <w:t xml:space="preserve">Turning on</w:t>
      </w:r>
      <w:r>
        <w:t xml:space="preserve"> </w:t>
      </w:r>
      <w:r>
        <w:rPr>
          <w:b/>
          <w:bCs/>
        </w:rPr>
        <w:t xml:space="preserve">pick mode</w:t>
      </w:r>
      <w:r>
        <w:t xml:space="preserve"> </w:t>
      </w:r>
      <w:r>
        <w:t xml:space="preserve">and clicking only highlights it — Ctrl/Cmd-click,</w:t>
      </w:r>
      <w:r>
        <w:t xml:space="preserve"> </w:t>
      </w:r>
      <w:r>
        <w:t xml:space="preserve">Shift-click or long-press to highlight several — and</w:t>
      </w:r>
      <w:r>
        <w:t xml:space="preserve"> </w:t>
      </w:r>
      <w:r>
        <w:rPr>
          <w:b/>
          <w:bCs/>
        </w:rPr>
        <w:t xml:space="preserve">“Add to places (n)”</w:t>
      </w:r>
      <w:r>
        <w:t xml:space="preserve"> </w:t>
      </w:r>
      <w:r>
        <w:t xml:space="preserve">is the button that</w:t>
      </w:r>
      <w:r>
        <w:t xml:space="preserve"> </w:t>
      </w:r>
      <w:r>
        <w:t xml:space="preserve">actually adds it; several picks become</w:t>
      </w:r>
      <w:r>
        <w:t xml:space="preserve"> </w:t>
      </w:r>
      <w:r>
        <w:rPr>
          <w:b/>
          <w:bCs/>
        </w:rPr>
        <w:t xml:space="preserve">one</w:t>
      </w:r>
      <w:r>
        <w:t xml:space="preserve"> </w:t>
      </w:r>
      <w:r>
        <w:t xml:space="preserve">place. Or use the panel’s own</w:t>
      </w:r>
      <w:r>
        <w:t xml:space="preserve"> </w:t>
      </w:r>
      <w:r>
        <w:rPr>
          <w:b/>
          <w:bCs/>
        </w:rPr>
        <w:t xml:space="preserve">Program Area</w:t>
      </w:r>
      <w:r>
        <w:rPr>
          <w:b/>
          <w:bCs/>
        </w:rPr>
        <w:t xml:space="preserve"> </w:t>
      </w:r>
      <w:r>
        <w:rPr>
          <w:b/>
          <w:bCs/>
        </w:rPr>
        <w:t xml:space="preserve">chooser</w:t>
      </w:r>
      <w:r>
        <w:t xml:space="preserve">, which needs no pointer and works on a phone.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in the Places panel, the Scores-lens search and the Zones table and report; from</w:t>
      </w:r>
      <w:r>
        <w:t xml:space="preserve"> </w:t>
      </w:r>
      <w:r>
        <w:t xml:space="preserve">0.10.59, everywhere — today the Scores-lens map tooltip, Flower title and Table header for a</w:t>
      </w:r>
      <w:r>
        <w:t xml:space="preserve"> </w:t>
      </w:r>
      <w:r>
        <w:t xml:space="preserve">clicked Program Area still show the bare key.</w:t>
      </w:r>
    </w:p>
    <w:p>
      <w:pPr>
        <w:pStyle w:val="Compact"/>
        <w:numPr>
          <w:ilvl w:val="0"/>
          <w:numId w:val="1060"/>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60"/>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60"/>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642" w:name="fig-atlas-places"/>
          <w:p>
            <w:pPr>
              <w:pStyle w:val="Compact"/>
              <w:jc w:val="center"/>
            </w:pPr>
            <w:r>
              <w:drawing>
                <wp:inline>
                  <wp:extent cx="5334000" cy="3333750"/>
                  <wp:effectExtent b="0" l="0" r="0" t="0"/>
                  <wp:docPr descr="" title="" id="640" name="Picture"/>
                  <a:graphic>
                    <a:graphicData uri="http://schemas.openxmlformats.org/drawingml/2006/picture">
                      <pic:pic>
                        <pic:nvPicPr>
                          <pic:cNvPr descr="images/atlas/desktop-places.png" id="641" name="Picture"/>
                          <pic:cNvPicPr>
                            <a:picLocks noChangeArrowheads="1" noChangeAspect="1"/>
                          </pic:cNvPicPr>
                        </pic:nvPicPr>
                        <pic:blipFill>
                          <a:blip r:embed="rId63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B.6: The Places panel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27.1 composite) whose coverage note reads</w:t>
            </w:r>
            <w:r>
              <w:t xml:space="preserve"> </w:t>
            </w:r>
            <w:r>
              <w:t xml:space="preserve">“100.0% of this place is inside the US study area (3,600 of 3,600 cells)”</w:t>
            </w:r>
            <w:r>
              <w:t xml:space="preserve">; the drop zone above the list names the accepted formats, GeoPackage included. Captured on 0.10.62.</w:t>
            </w:r>
          </w:p>
          <w:bookmarkEnd w:id="6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6" w:name="fig-atlas-coords"/>
          <w:p>
            <w:pPr>
              <w:pStyle w:val="Compact"/>
              <w:jc w:val="center"/>
            </w:pPr>
            <w:r>
              <w:drawing>
                <wp:inline>
                  <wp:extent cx="5334000" cy="4686300"/>
                  <wp:effectExtent b="0" l="0" r="0" t="0"/>
                  <wp:docPr descr="" title="" id="644" name="Picture"/>
                  <a:graphic>
                    <a:graphicData uri="http://schemas.openxmlformats.org/drawingml/2006/picture">
                      <pic:pic>
                        <pic:nvPicPr>
                          <pic:cNvPr descr="images/atlas/desktop-coordinate-dialog.png" id="645" name="Picture"/>
                          <pic:cNvPicPr>
                            <a:picLocks noChangeArrowheads="1" noChangeAspect="1"/>
                          </pic:cNvPicPr>
                        </pic:nvPicPr>
                        <pic:blipFill>
                          <a:blip r:embed="rId643"/>
                          <a:stretch>
                            <a:fillRect/>
                          </a:stretch>
                        </pic:blipFill>
                        <pic:spPr bwMode="auto">
                          <a:xfrm>
                            <a:off x="0" y="0"/>
                            <a:ext cx="5334000" cy="46863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B.7: The</w:t>
            </w:r>
            <w:r>
              <w:t xml:space="preserve"> </w:t>
            </w:r>
            <w:r>
              <w:t xml:space="preserve">“Enter coordinates”</w:t>
            </w:r>
            <w:r>
              <w:t xml:space="preserve"> </w:t>
            </w:r>
            <w:r>
              <w:t xml:space="preserve">dialog, showing a refusal for input that matches none of the three accepted shapes.</w:t>
            </w:r>
          </w:p>
          <w:bookmarkEnd w:id="64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B.8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footer holds</w:t>
      </w:r>
      <w:r>
        <w:t xml:space="preserve"> </w:t>
      </w:r>
      <w:r>
        <w:rPr>
          <w:b/>
          <w:bCs/>
        </w:rPr>
        <w:t xml:space="preserve">Share</w:t>
      </w:r>
      <w:r>
        <w:t xml:space="preserve">,</w:t>
      </w:r>
      <w:r>
        <w:t xml:space="preserve"> </w:t>
      </w:r>
      <w:r>
        <w:rPr>
          <w:b/>
          <w:bCs/>
        </w:rPr>
        <w:t xml:space="preserve">Download places</w:t>
      </w:r>
      <w:r>
        <w:t xml:space="preserve"> </w:t>
      </w:r>
      <w:r>
        <w:t xml:space="preserve">(GeoJSON) and</w:t>
      </w:r>
      <w:r>
        <w:t xml:space="preserve"> </w:t>
      </w:r>
      <w:r>
        <w:rPr>
          <w:b/>
          <w:bCs/>
        </w:rPr>
        <w:t xml:space="preserve">Report</w:t>
      </w:r>
      <w:r>
        <w:t xml:space="preserve">, each 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bar to</w:t>
      </w:r>
      <w:r>
        <w:t xml:space="preserve"> </w:t>
      </w:r>
      <w:r>
        <w:t xml:space="preserve">the clipboard — no dialog, no summary, no length check.</w:t>
      </w:r>
      <w:r>
        <w:t xml:space="preserve"> </w:t>
      </w:r>
      <w:r>
        <w:rPr>
          <w:b/>
          <w:bCs/>
        </w:rPr>
        <w:t xml:space="preserve">Places › Share</w:t>
      </w:r>
      <w:r>
        <w:t xml:space="preserve"> </w:t>
      </w:r>
      <w:r>
        <w:t xml:space="preserve">opens the real dialog</w:t>
      </w:r>
      <w:r>
        <w:t xml:space="preserve"> </w:t>
      </w:r>
      <w:r>
        <w:t xml:space="preserve">described next, and is the one to use whenever places are involved.</w:t>
      </w:r>
    </w:p>
    <w:bookmarkEnd w:id="647"/>
    <w:bookmarkStart w:id="658" w:name="sec-atlas-place-links"/>
    <w:p>
      <w:pPr>
        <w:pStyle w:val="Heading2"/>
      </w:pPr>
      <w:r>
        <w:t xml:space="preserve">A.7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61"/>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61"/>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61"/>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Applications/quarto/share/formats/docx/note.png" id="64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Places › Share.</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B.9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653" w:name="fig-atlas-share"/>
          <w:p>
            <w:pPr>
              <w:pStyle w:val="Compact"/>
              <w:jc w:val="center"/>
            </w:pPr>
            <w:r>
              <w:drawing>
                <wp:inline>
                  <wp:extent cx="3378200" cy="2717800"/>
                  <wp:effectExtent b="0" l="0" r="0" t="0"/>
                  <wp:docPr descr="" title="" id="651" name="Picture"/>
                  <a:graphic>
                    <a:graphicData uri="http://schemas.openxmlformats.org/drawingml/2006/picture">
                      <pic:pic>
                        <pic:nvPicPr>
                          <pic:cNvPr descr="images/atlas/desktop-share-dialog.png" id="652" name="Picture"/>
                          <pic:cNvPicPr>
                            <a:picLocks noChangeArrowheads="1" noChangeAspect="1"/>
                          </pic:cNvPicPr>
                        </pic:nvPicPr>
                        <pic:blipFill>
                          <a:blip r:embed="rId650"/>
                          <a:stretch>
                            <a:fillRect/>
                          </a:stretch>
                        </pic:blipFill>
                        <pic:spPr bwMode="auto">
                          <a:xfrm>
                            <a:off x="0" y="0"/>
                            <a:ext cx="3378200" cy="2717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B.8: The Share dialog: what the link carries and its exact length.</w:t>
            </w:r>
          </w:p>
          <w:bookmarkEnd w:id="6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7" w:name="fig-atlas-share-ladder"/>
          <w:p>
            <w:pPr>
              <w:pStyle w:val="Compact"/>
              <w:jc w:val="center"/>
            </w:pPr>
            <w:r>
              <w:drawing>
                <wp:inline>
                  <wp:extent cx="5334000" cy="2514600"/>
                  <wp:effectExtent b="0" l="0" r="0" t="0"/>
                  <wp:docPr descr="" title="" id="655" name="Picture"/>
                  <a:graphic>
                    <a:graphicData uri="http://schemas.openxmlformats.org/drawingml/2006/picture">
                      <pic:pic>
                        <pic:nvPicPr>
                          <pic:cNvPr descr="images/atlas/desktop-share-ladder.png" id="656" name="Picture"/>
                          <pic:cNvPicPr>
                            <a:picLocks noChangeArrowheads="1" noChangeAspect="1"/>
                          </pic:cNvPicPr>
                        </pic:nvPicPr>
                        <pic:blipFill>
                          <a:blip r:embed="rId654"/>
                          <a:stretch>
                            <a:fillRect/>
                          </a:stretch>
                        </pic:blipFill>
                        <pic:spPr bwMode="auto">
                          <a:xfrm>
                            <a:off x="0" y="0"/>
                            <a:ext cx="5334000" cy="2514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B.9: The Share dialog’s simplification ladder for an oversized place: before/after vertex count, area change and cell count, with a</w:t>
            </w:r>
            <w:r>
              <w:t xml:space="preserve"> </w:t>
            </w:r>
            <w:r>
              <w:t xml:space="preserve">“Simplify and update the numbers”</w:t>
            </w:r>
            <w:r>
              <w:t xml:space="preserve"> </w:t>
            </w:r>
            <w:r>
              <w:t xml:space="preserve">button.</w:t>
            </w:r>
          </w:p>
          <w:bookmarkEnd w:id="65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B.4</w:t>
        </w:r>
      </w:hyperlink>
      <w:r>
        <w:t xml:space="preserve">),</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 from its default.</w:t>
      </w:r>
    </w:p>
    <w:bookmarkEnd w:id="658"/>
    <w:bookmarkStart w:id="667" w:name="sec-atlas-flower-table"/>
    <w:p>
      <w:pPr>
        <w:pStyle w:val="Heading2"/>
      </w:pPr>
      <w:r>
        <w:t xml:space="preserve">A.8 Flower plot and Table</w:t>
      </w:r>
    </w:p>
    <w:p>
      <w:pPr>
        <w:pStyle w:val="FirstParagraph"/>
      </w:pPr>
      <w:r>
        <w:rPr>
          <w:b/>
          <w:bCs/>
        </w:rPr>
        <w:t xml:space="preserve">Flower plot</w:t>
      </w:r>
      <w:r>
        <w:t xml:space="preserve"> </w:t>
      </w:r>
      <w:r>
        <w:t xml:space="preserve">and</w:t>
      </w:r>
      <w:r>
        <w:t xml:space="preserve"> </w:t>
      </w:r>
      <w:r>
        <w:rPr>
          <w:b/>
          <w:bCs/>
        </w:rPr>
        <w:t xml:space="preserve">Table</w:t>
      </w:r>
      <w:r>
        <w:t xml:space="preserve"> </w:t>
      </w:r>
      <w:r>
        <w:t xml:space="preserve">are Scores-lens tools for a clicked cell or Program Area; in the</w:t>
      </w:r>
      <w:r>
        <w:t xml:space="preserve"> </w:t>
      </w:r>
      <w:r>
        <w:t xml:space="preserve">Species lens, Table is a placeholder, and a drawn Place’s flower and species table live in the</w:t>
      </w:r>
      <w:r>
        <w:t xml:space="preserve"> </w:t>
      </w:r>
      <w:r>
        <w:t xml:space="preserve">Places results panel instead (</w:t>
      </w:r>
      <w:hyperlink w:anchor="sec-atlas-places">
        <w:r>
          <w:rPr>
            <w:rStyle w:val="Hyperlink"/>
          </w:rPr>
          <w:t xml:space="preserve">Section B.6</w:t>
        </w:r>
      </w:hyperlink>
      <w:r>
        <w:t xml:space="preserve">), not here.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662" w:name="fig-atlas-flower"/>
          <w:p>
            <w:pPr>
              <w:pStyle w:val="Compact"/>
              <w:jc w:val="center"/>
            </w:pPr>
            <w:r>
              <w:drawing>
                <wp:inline>
                  <wp:extent cx="4826000" cy="9245600"/>
                  <wp:effectExtent b="0" l="0" r="0" t="0"/>
                  <wp:docPr descr="" title="" id="660" name="Picture"/>
                  <a:graphic>
                    <a:graphicData uri="http://schemas.openxmlformats.org/drawingml/2006/picture">
                      <pic:pic>
                        <pic:nvPicPr>
                          <pic:cNvPr descr="images/atlas/desktop-flower.png" id="661" name="Picture"/>
                          <pic:cNvPicPr>
                            <a:picLocks noChangeArrowheads="1" noChangeAspect="1"/>
                          </pic:cNvPicPr>
                        </pic:nvPicPr>
                        <pic:blipFill>
                          <a:blip r:embed="rId659"/>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B.10: The Flower plot for a clicked cell in the Gulf of America: one petal per score component, and the values table with a Mean row below it.</w:t>
            </w:r>
          </w:p>
          <w:bookmarkEnd w:id="662"/>
        </w:tc>
      </w:tr>
    </w:tbl>
    <w:p>
      <w:pPr>
        <w:pStyle w:val="BodyText"/>
      </w:pPr>
      <w:r>
        <w:rPr>
          <w:b/>
          <w:bCs/>
        </w:rPr>
        <w:t xml:space="preserve">Table</w:t>
      </w:r>
      <w:r>
        <w:t xml:space="preserve"> </w:t>
      </w:r>
      <w:r>
        <w:t xml:space="preserve">opens three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666" w:name="fig-atlas-table"/>
          <w:p>
            <w:pPr>
              <w:pStyle w:val="Compact"/>
              <w:jc w:val="center"/>
            </w:pPr>
            <w:r>
              <w:drawing>
                <wp:inline>
                  <wp:extent cx="4826000" cy="9245600"/>
                  <wp:effectExtent b="0" l="0" r="0" t="0"/>
                  <wp:docPr descr="" title="" id="664" name="Picture"/>
                  <a:graphic>
                    <a:graphicData uri="http://schemas.openxmlformats.org/drawingml/2006/picture">
                      <pic:pic>
                        <pic:nvPicPr>
                          <pic:cNvPr descr="images/atlas/desktop-table.png" id="665" name="Picture"/>
                          <pic:cNvPicPr>
                            <a:picLocks noChangeArrowheads="1" noChangeAspect="1"/>
                          </pic:cNvPicPr>
                        </pic:nvPicPr>
                        <pic:blipFill>
                          <a:blip r:embed="rId663"/>
                          <a:stretch>
                            <a:fillRect/>
                          </a:stretch>
                        </pic:blipFill>
                        <pic:spPr bwMode="auto">
                          <a:xfrm>
                            <a:off x="0" y="0"/>
                            <a:ext cx="4826000" cy="9245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B.11: The Table tool’s species tab.</w:t>
            </w:r>
          </w:p>
          <w:bookmarkEnd w:id="666"/>
        </w:tc>
      </w:tr>
    </w:tbl>
    <w:bookmarkEnd w:id="667"/>
    <w:bookmarkStart w:id="676" w:name="report"/>
    <w:p>
      <w:pPr>
        <w:pStyle w:val="Heading2"/>
      </w:pPr>
      <w:r>
        <w:t xml:space="preserve">A.9 Report</w:t>
      </w:r>
    </w:p>
    <w:p>
      <w:pPr>
        <w:pStyle w:val="FirstParagraph"/>
      </w:pPr>
      <w:r>
        <w:rPr>
          <w:b/>
          <w:bCs/>
        </w:rPr>
        <w:t xml:space="preserve">Report</w:t>
      </w:r>
      <w:r>
        <w:t xml:space="preserve"> </w:t>
      </w:r>
      <w:r>
        <w:t xml:space="preserve">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 it reports the</w:t>
      </w:r>
      <w:r>
        <w:t xml:space="preserve"> </w:t>
      </w:r>
      <w:r>
        <w:t xml:space="preserve">single selected Program Area; with neither, it shows a chooser. A row’s own</w:t>
      </w:r>
      <w:r>
        <w:t xml:space="preserve"> </w:t>
      </w:r>
      <w:r>
        <w:rPr>
          <w:b/>
          <w:bCs/>
        </w:rPr>
        <w:t xml:space="preserve">Open in report</w:t>
      </w:r>
      <w:r>
        <w:t xml:space="preserve"> </w:t>
      </w:r>
      <w:r>
        <w:t xml:space="preserve">reports just that row’s place. The document renders progressively as its data arrives:</w:t>
      </w:r>
    </w:p>
    <w:p>
      <w:pPr>
        <w:pStyle w:val="Compact"/>
        <w:numPr>
          <w:ilvl w:val="0"/>
          <w:numId w:val="1062"/>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62"/>
        </w:numPr>
      </w:pPr>
      <w:r>
        <w:t xml:space="preserve">an</w:t>
      </w:r>
      <w:r>
        <w:t xml:space="preserve"> </w:t>
      </w:r>
      <w:r>
        <w:rPr>
          <w:b/>
          <w:bCs/>
        </w:rPr>
        <w:t xml:space="preserve">introduction</w:t>
      </w:r>
      <w:r>
        <w:t xml:space="preserve">;</w:t>
      </w:r>
    </w:p>
    <w:p>
      <w:pPr>
        <w:pStyle w:val="Compact"/>
        <w:numPr>
          <w:ilvl w:val="0"/>
          <w:numId w:val="1062"/>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62"/>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62"/>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62"/>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62"/>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62"/>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62"/>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671" w:name="fig-atlas-report"/>
          <w:p>
            <w:pPr>
              <w:pStyle w:val="Compact"/>
              <w:jc w:val="center"/>
            </w:pPr>
            <w:r>
              <w:drawing>
                <wp:inline>
                  <wp:extent cx="5334000" cy="3333750"/>
                  <wp:effectExtent b="0" l="0" r="0" t="0"/>
                  <wp:docPr descr="" title="" id="669" name="Picture"/>
                  <a:graphic>
                    <a:graphicData uri="http://schemas.openxmlformats.org/drawingml/2006/picture">
                      <pic:pic>
                        <pic:nvPicPr>
                          <pic:cNvPr descr="images/atlas/desktop-report.png" id="670" name="Picture"/>
                          <pic:cNvPicPr>
                            <a:picLocks noChangeArrowheads="1" noChangeAspect="1"/>
                          </pic:cNvPicPr>
                        </pic:nvPicPr>
                        <pic:blipFill>
                          <a:blip r:embed="rId66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B.12: The report document’s header band and introduction: the MMA seal, a permalink and QR code, Parameters, and the start of the interactive map.</w:t>
            </w:r>
          </w:p>
          <w:bookmarkEnd w:id="6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75" w:name="fig-atlas-report-scores"/>
          <w:p>
            <w:pPr>
              <w:pStyle w:val="Compact"/>
              <w:jc w:val="center"/>
            </w:pPr>
            <w:r>
              <w:drawing>
                <wp:inline>
                  <wp:extent cx="5334000" cy="3333750"/>
                  <wp:effectExtent b="0" l="0" r="0" t="0"/>
                  <wp:docPr descr="" title="" id="673" name="Picture"/>
                  <a:graphic>
                    <a:graphicData uri="http://schemas.openxmlformats.org/drawingml/2006/picture">
                      <pic:pic>
                        <pic:nvPicPr>
                          <pic:cNvPr descr="images/atlas/desktop-report-scores.png" id="674" name="Picture"/>
                          <pic:cNvPicPr>
                            <a:picLocks noChangeArrowheads="1" noChangeAspect="1"/>
                          </pic:cNvPicPr>
                        </pic:nvPicPr>
                        <pic:blipFill>
                          <a:blip r:embed="rId6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B.13: The report’s Table of Scores and the start of the Summary of Species, for the same Program Area.</w:t>
            </w:r>
          </w:p>
          <w:bookmarkEnd w:id="67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676"/>
    <w:bookmarkStart w:id="679" w:name="accessibility-and-performance-notes"/>
    <w:p>
      <w:pPr>
        <w:pStyle w:val="Heading2"/>
      </w:pPr>
      <w:r>
        <w:t xml:space="preserve">A.10 Accessibility and performance notes</w:t>
      </w:r>
    </w:p>
    <w:p>
      <w:pPr>
        <w:pStyle w:val="FirstParagraph"/>
      </w:pPr>
      <w:r>
        <w:t xml:space="preserve">The Atlas ships a written</w:t>
      </w:r>
      <w:r>
        <w:t xml:space="preserve"> </w:t>
      </w:r>
      <w:hyperlink r:id="rId677">
        <w:r>
          <w:rPr>
            <w:rStyle w:val="Hyperlink"/>
          </w:rPr>
          <w:t xml:space="preserve">WCAG 2.1 conformance note</w:t>
        </w:r>
      </w:hyperlink>
      <w:r>
        <w:t xml:space="preserve"> </w:t>
      </w:r>
      <w:r>
        <w:t xml:space="preserve">and a</w:t>
      </w:r>
      <w:r>
        <w:t xml:space="preserve"> </w:t>
      </w:r>
      <w:hyperlink r:id="rId67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plus</w:t>
      </w:r>
      <w:r>
        <w:t xml:space="preserve"> </w:t>
      </w:r>
      <w:r>
        <w:rPr>
          <w:b/>
          <w:bCs/>
        </w:rPr>
        <w:t xml:space="preserve">~140 KB</w:t>
      </w:r>
      <w:r>
        <w:t xml:space="preserve"> </w:t>
      </w:r>
      <w:r>
        <w:t xml:space="preserve">for the MapLibre worker 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Both</w:t>
      </w:r>
      <w:r>
        <w:t xml:space="preserve"> </w:t>
      </w:r>
      <w:r>
        <w:t xml:space="preserve">budgets may have moved since; see the linked reports for current numbers.</w:t>
      </w:r>
    </w:p>
    <w:bookmarkEnd w:id="679"/>
    <w:bookmarkStart w:id="680" w:name="when-a-service-is-down"/>
    <w:p>
      <w:pPr>
        <w:pStyle w:val="Heading2"/>
      </w:pPr>
      <w:r>
        <w:t xml:space="preserve">A.11 When a service is down</w:t>
      </w:r>
    </w:p>
    <w:p>
      <w:pPr>
        <w:pStyle w:val="FirstParagraph"/>
      </w:pPr>
      <w:r>
        <w:t xml:space="preserve">Since 0.10.59,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top banner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2026-09-24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680"/>
    <w:bookmarkStart w:id="685" w:name="feedback-and-versions"/>
    <w:p>
      <w:pPr>
        <w:pStyle w:val="Heading2"/>
      </w:pPr>
      <w:r>
        <w:t xml:space="preserve">A.12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Shiny</w:t>
      </w:r>
      <w:r>
        <w:t xml:space="preserve"> </w:t>
      </w:r>
      <w:r>
        <w:rPr>
          <w:rStyle w:val="VerbatimChar"/>
        </w:rPr>
        <w:t xml:space="preserve">scores</w:t>
      </w:r>
      <w:r>
        <w:t xml:space="preserve">/</w:t>
      </w:r>
      <w:r>
        <w:rPr>
          <w:rStyle w:val="VerbatimChar"/>
        </w:rPr>
        <w:t xml:space="preserve">species</w:t>
      </w:r>
      <w:r>
        <w:t xml:space="preserve"> </w:t>
      </w:r>
      <w:r>
        <w:t xml:space="preserve">apps already write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offers</w:t>
      </w:r>
      <w:r>
        <w:t xml:space="preserve"> </w:t>
      </w:r>
      <w:r>
        <w:t xml:space="preserve">“Continue</w:t>
      </w:r>
      <w:r>
        <w:t xml:space="preserve"> </w:t>
      </w:r>
      <w:r>
        <w:t xml:space="preserve">on the preview host”</w:t>
      </w:r>
      <w:r>
        <w:t xml:space="preserve"> </w:t>
      </w:r>
      <w:r>
        <w:t xml:space="preserve">(from 0.10.59, that link goes straight to the Atlas there), an unrecognized</w:t>
      </w:r>
      <w:r>
        <w:t xml:space="preserve"> </w:t>
      </w:r>
      <w:r>
        <w:t xml:space="preserve">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684" w:name="fig-atlas-versions"/>
          <w:p>
            <w:pPr>
              <w:pStyle w:val="Compact"/>
              <w:jc w:val="center"/>
            </w:pPr>
            <w:r>
              <w:drawing>
                <wp:inline>
                  <wp:extent cx="5080000" cy="8153400"/>
                  <wp:effectExtent b="0" l="0" r="0" t="0"/>
                  <wp:docPr descr="" title="" id="682" name="Picture"/>
                  <a:graphic>
                    <a:graphicData uri="http://schemas.openxmlformats.org/drawingml/2006/picture">
                      <pic:pic>
                        <pic:nvPicPr>
                          <pic:cNvPr descr="images/atlas/desktop-version-picker.png" id="683" name="Picture"/>
                          <pic:cNvPicPr>
                            <a:picLocks noChangeArrowheads="1" noChangeAspect="1"/>
                          </pic:cNvPicPr>
                        </pic:nvPicPr>
                        <pic:blipFill>
                          <a:blip r:embed="rId681"/>
                          <a:stretch>
                            <a:fillRect/>
                          </a:stretch>
                        </pic:blipFill>
                        <pic:spPr bwMode="auto">
                          <a:xfrm>
                            <a:off x="0" y="0"/>
                            <a:ext cx="5080000" cy="8153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B.14: The release picker.</w:t>
            </w:r>
          </w:p>
          <w:bookmarkEnd w:id="684"/>
        </w:tc>
      </w:tr>
    </w:tbl>
    <w:bookmarkEnd w:id="685"/>
    <w:bookmarkStart w:id="686" w:name="known-limitations-as-of-0.10.59"/>
    <w:p>
      <w:pPr>
        <w:pStyle w:val="Heading2"/>
      </w:pPr>
      <w:r>
        <w:t xml:space="preserve">A.13 Known limitations (as of 0.10.59)</w:t>
      </w:r>
    </w:p>
    <w:p>
      <w:pPr>
        <w:pStyle w:val="Compact"/>
        <w:numPr>
          <w:ilvl w:val="0"/>
          <w:numId w:val="1063"/>
        </w:numPr>
      </w:pPr>
      <w:r>
        <w:t xml:space="preserve">For every release before v8 (v2–v7b), every input pill in the Species card still shows struck</w:t>
      </w:r>
      <w:r>
        <w:t xml:space="preserve"> </w:t>
      </w:r>
      <w:r>
        <w:t xml:space="preserve">through, the leatherback’s six included (</w:t>
      </w:r>
      <w:hyperlink w:anchor="fig-atlas-species">
        <w:r>
          <w:rPr>
            <w:rStyle w:val="Hyperlink"/>
          </w:rPr>
          <w:t xml:space="preserve">Figure B.5</w:t>
        </w:r>
      </w:hyperlink>
      <w:r>
        <w:t xml:space="preserve">) — as of this writing, the app</w:t>
      </w:r>
      <w:r>
        <w:t xml:space="preserve"> </w:t>
      </w:r>
      <w:r>
        <w:t xml:space="preserve">bundles that would resolve the model-asset registry lookup (see Species lens above) for 10,247 of</w:t>
      </w:r>
      <w:r>
        <w:t xml:space="preserve"> </w:t>
      </w:r>
      <w:r>
        <w:t xml:space="preserve">v7’s 12,120 inputs have not yet been republished; once they land, only 1,873 of its 2,619</w:t>
      </w:r>
      <w:r>
        <w:t xml:space="preserve"> </w:t>
      </w:r>
      <w:r>
        <w:rPr>
          <w:rStyle w:val="VerbatimChar"/>
        </w:rPr>
        <w:t xml:space="preserve">rng_iucn</w:t>
      </w:r>
      <w:r>
        <w:t xml:space="preserve"> </w:t>
      </w:r>
      <w:r>
        <w:t xml:space="preserve">range inputs, which have no model-asset registry row (struck through in the Species</w:t>
      </w:r>
      <w:r>
        <w:t xml:space="preserve"> </w:t>
      </w:r>
      <w:r>
        <w:t xml:space="preserve">Shiny app too), will still show this way.</w:t>
      </w:r>
    </w:p>
    <w:p>
      <w:pPr>
        <w:pStyle w:val="Compact"/>
        <w:numPr>
          <w:ilvl w:val="0"/>
          <w:numId w:val="1063"/>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3"/>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3"/>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3"/>
        </w:numPr>
      </w:pPr>
      <w:r>
        <w:t xml:space="preserve">The Atlas’s report is a print-first document built and exported entirely client-side</w:t>
      </w:r>
      <w:r>
        <w:t xml:space="preserve"> </w:t>
      </w:r>
      <w:r>
        <w:t xml:space="preserve">(HTML/ZIP/DOCX from the same source), not the Shiny apps’ own report.</w:t>
      </w:r>
    </w:p>
    <w:bookmarkEnd w:id="686"/>
    <w:bookmarkStart w:id="687" w:name="generating-screenshots"/>
    <w:p>
      <w:pPr>
        <w:pStyle w:val="Heading2"/>
      </w:pPr>
      <w:r>
        <w:t xml:space="preserve">A.14 Generating Screenshots</w:t>
      </w:r>
    </w:p>
    <w:p>
      <w:pPr>
        <w:pStyle w:val="FirstParagraph"/>
      </w:pPr>
      <w:r>
        <w:t xml:space="preserve">The atlas repository’s own</w:t>
      </w:r>
      <w:r>
        <w:t xml:space="preserve"> </w:t>
      </w:r>
      <w:r>
        <w:rPr>
          <w:rStyle w:val="VerbatimChar"/>
        </w:rPr>
        <w:t xml:space="preserve">scripts/eyes-shots.mjs</w:t>
      </w:r>
      <w:r>
        <w:t xml:space="preserve"> </w:t>
      </w:r>
      <w:r>
        <w:t xml:space="preserve">captures the standard states most of this</w:t>
      </w:r>
      <w:r>
        <w:t xml:space="preserve"> </w:t>
      </w:r>
      <w:r>
        <w:t xml:space="preserve">chapter’s figures come from (18 numbered shots per viewport, about 11 states, phone 390×844 at 2x</w:t>
      </w:r>
      <w:r>
        <w:t xml:space="preserve"> </w:t>
      </w:r>
      <w:r>
        <w:t xml:space="preserve">pixel density and desktop 1280×800, dark theme), run against a live or locally built app:</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ExtensionTok"/>
        </w:rPr>
        <w:t xml:space="preserve">node</w:t>
      </w:r>
      <w:r>
        <w:rPr>
          <w:rStyle w:val="NormalTok"/>
        </w:rPr>
        <w:t xml:space="preserve"> scripts/eyes-shots.mjs</w:t>
      </w:r>
    </w:p>
    <w:p>
      <w:pPr>
        <w:pStyle w:val="FirstParagraph"/>
      </w:pPr>
      <w:r>
        <w:t xml:space="preserve">A few figures here (the Share dialog and its simplification ladder, the Coordinate dialog’s</w:t>
      </w:r>
      <w:r>
        <w:t xml:space="preserve"> </w:t>
      </w:r>
      <w:r>
        <w:t xml:space="preserve">refusal state, the version picker, and one Report scroll position) are not among that script’s own</w:t>
      </w:r>
      <w:r>
        <w:t xml:space="preserve"> </w:t>
      </w:r>
      <w:r>
        <w:t xml:space="preserve">states; they were captured by hand from the same live build, driving the app to the specific state</w:t>
      </w:r>
      <w:r>
        <w:t xml:space="preserve"> </w:t>
      </w:r>
      <w:r>
        <w:t xml:space="preserve">each caption describes.</w:t>
      </w:r>
    </w:p>
    <w:bookmarkEnd w:id="687"/>
    <w:bookmarkStart w:id="688" w:name="source-code"/>
    <w:p>
      <w:pPr>
        <w:pStyle w:val="Heading2"/>
      </w:pPr>
      <w:r>
        <w:t xml:space="preserve">A.15 Source Code</w:t>
      </w:r>
    </w:p>
    <w:p>
      <w:pPr>
        <w:pStyle w:val="FirstParagraph"/>
      </w:pPr>
      <w:hyperlink r:id="rId334">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w:t>
      </w:r>
      <w:r>
        <w:t xml:space="preserve"> </w:t>
      </w:r>
      <w:hyperlink r:id="rId612">
        <w:r>
          <w:rPr>
            <w:rStyle w:val="Hyperlink"/>
          </w:rPr>
          <w:t xml:space="preserve">Scores</w:t>
        </w:r>
      </w:hyperlink>
      <w:r>
        <w:t xml:space="preserve"> </w:t>
      </w:r>
      <w:r>
        <w:t xml:space="preserve">and</w:t>
      </w:r>
      <w:r>
        <w:t xml:space="preserve"> </w:t>
      </w:r>
      <w:hyperlink r:id="rId613">
        <w:r>
          <w:rPr>
            <w:rStyle w:val="Hyperlink"/>
          </w:rPr>
          <w:t xml:space="preserve">Species</w:t>
        </w:r>
      </w:hyperlink>
      <w:r>
        <w:t xml:space="preserve"> </w:t>
      </w:r>
      <w:r>
        <w:t xml:space="preserve">apps follow.</w:t>
      </w:r>
    </w:p>
    <w:bookmarkEnd w:id="688"/>
    <w:bookmarkEnd w:id="689"/>
    <w:bookmarkStart w:id="690" w:name="X4eaadc67ee6ed443c6bf2bdc119d4ee4ef457d6"/>
    <w:p>
      <w:pPr>
        <w:pStyle w:val="Heading1"/>
      </w:pPr>
      <w:r>
        <w:t xml:space="preserve">Appendix B — Scores — mapper of aggregate sensitivity scores</w:t>
      </w:r>
    </w:p>
    <w:bookmarkEnd w:id="690"/>
    <w:bookmarkStart w:id="709" w:name="sec-app-scores"/>
    <w:p>
      <w:pPr>
        <w:pStyle w:val="Heading1"/>
      </w:pPr>
      <w:r>
        <w:t xml:space="preserve">Appendix B — Scores</w:t>
      </w:r>
    </w:p>
    <w:bookmarkStart w:id="699" w:name="overview-2"/>
    <w:p>
      <w:pPr>
        <w:pStyle w:val="Heading2"/>
      </w:pPr>
      <w:r>
        <w:t xml:space="preserve">B.1 Overview</w:t>
      </w:r>
    </w:p>
    <w:p>
      <w:pPr>
        <w:pStyle w:val="FirstParagraph"/>
      </w:pPr>
      <w:r>
        <w:t xml:space="preserve">The</w:t>
      </w:r>
      <w:r>
        <w:t xml:space="preserve"> </w:t>
      </w:r>
      <w:r>
        <w:rPr>
          <w:b/>
          <w:bCs/>
        </w:rPr>
        <w:t xml:space="preserve">Scores</w:t>
      </w:r>
      <w:r>
        <w:t xml:space="preserve"> </w:t>
      </w:r>
      <w:r>
        <w:t xml:space="preserve">application (</w:t>
      </w:r>
      <w:hyperlink r:id="rId21">
        <w:r>
          <w:rPr>
            <w:rStyle w:val="Hyperlink"/>
          </w:rPr>
          <w:t xml:space="preserve">app.marinesensitivity.org/v4b/scores/</w:t>
        </w:r>
      </w:hyperlink>
      <w:r>
        <w:t xml:space="preserve">) is the primary interactive tool for exploring composite marine sensitivity scores. It renders</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shows v3 — defaulting to the promoted release when none is given; an older</w:t>
      </w:r>
      <w:r>
        <w:t xml:space="preserve"> </w:t>
      </w:r>
      <w:r>
        <w:rPr>
          <w:rStyle w:val="VerbatimChar"/>
        </w:rPr>
        <w:t xml:space="preserve">?ver=v3</w:t>
      </w:r>
      <w:r>
        <w:t xml:space="preserve"> </w:t>
      </w:r>
      <w:r>
        <w:t xml:space="preserve">deep link still resolves, 301’d to the equivalent path. It enables users to visualize extinction risk weighted species presence at multiple spatial resolutions, with integrated flower plot and treemap summaries.</w:t>
      </w:r>
    </w:p>
    <w:p>
      <w:pPr>
        <w:pStyle w:val="BodyText"/>
      </w:pPr>
      <w:hyperlink w:anchor="fig-scores-map">
        <w:r>
          <w:rPr>
            <w:rStyle w:val="Hyperlink"/>
          </w:rPr>
          <w:t xml:space="preserve">Figure D.1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4" w:name="fig-scores-map"/>
          <w:p>
            <w:pPr>
              <w:pStyle w:val="Compact"/>
              <w:jc w:val="center"/>
            </w:pPr>
            <w:r>
              <w:drawing>
                <wp:inline>
                  <wp:extent cx="5334000" cy="3018971"/>
                  <wp:effectExtent b="0" l="0" r="0" t="0"/>
                  <wp:docPr descr="" title="" id="692" name="Picture"/>
                  <a:graphic>
                    <a:graphicData uri="http://schemas.openxmlformats.org/drawingml/2006/picture">
                      <pic:pic>
                        <pic:nvPicPr>
                          <pic:cNvPr descr="figures/apps/scores-map.png" id="693" name="Picture"/>
                          <pic:cNvPicPr>
                            <a:picLocks noChangeArrowheads="1" noChangeAspect="1"/>
                          </pic:cNvPicPr>
                        </pic:nvPicPr>
                        <pic:blipFill>
                          <a:blip r:embed="rId69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4"/>
        </w:tc>
      </w:tr>
    </w:tbl>
    <w:p>
      <w:pPr>
        <w:pStyle w:val="BodyText"/>
      </w:pPr>
      <w:hyperlink w:anchor="fig-scores-flower">
        <w:r>
          <w:rPr>
            <w:rStyle w:val="Hyperlink"/>
          </w:rPr>
          <w:t xml:space="preserve">Figure D.2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8" w:name="fig-scores-flower"/>
          <w:p>
            <w:pPr>
              <w:pStyle w:val="Compact"/>
              <w:jc w:val="center"/>
            </w:pPr>
            <w:r>
              <w:drawing>
                <wp:inline>
                  <wp:extent cx="5334000" cy="3018971"/>
                  <wp:effectExtent b="0" l="0" r="0" t="0"/>
                  <wp:docPr descr="" title="" id="696" name="Picture"/>
                  <a:graphic>
                    <a:graphicData uri="http://schemas.openxmlformats.org/drawingml/2006/picture">
                      <pic:pic>
                        <pic:nvPicPr>
                          <pic:cNvPr descr="figures/apps/scores-flower.png" id="697" name="Picture"/>
                          <pic:cNvPicPr>
                            <a:picLocks noChangeArrowheads="1" noChangeAspect="1"/>
                          </pic:cNvPicPr>
                        </pic:nvPicPr>
                        <pic:blipFill>
                          <a:blip r:embed="rId69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D.2: The Scores application showing the flower plot panel for Southern California. Petal length represents each category’s rescaled sensitivity score; petal width represents its weight. The center value (29) is the weighted mean across all categories.</w:t>
            </w:r>
          </w:p>
          <w:bookmarkEnd w:id="698"/>
        </w:tc>
      </w:tr>
    </w:tbl>
    <w:bookmarkEnd w:id="699"/>
    <w:bookmarkStart w:id="705" w:name="features"/>
    <w:p>
      <w:pPr>
        <w:pStyle w:val="Heading2"/>
      </w:pPr>
      <w:r>
        <w:t xml:space="preserve">B.2 Features</w:t>
      </w:r>
    </w:p>
    <w:bookmarkStart w:id="700" w:name="map-display"/>
    <w:p>
      <w:pPr>
        <w:pStyle w:val="Heading3"/>
      </w:pPr>
      <w:r>
        <w:t xml:space="preserve">B.2.1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700"/>
    <w:bookmarkStart w:id="701" w:name="sensitivity-metrics"/>
    <w:p>
      <w:pPr>
        <w:pStyle w:val="Heading3"/>
      </w:pPr>
      <w:r>
        <w:t xml:space="preserve">B.2.2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1"/>
    <w:bookmarkStart w:id="702" w:name="flower-plot-1"/>
    <w:p>
      <w:pPr>
        <w:pStyle w:val="Heading3"/>
      </w:pPr>
      <w:r>
        <w:t xml:space="preserve">B.2.3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702"/>
    <w:bookmarkStart w:id="703" w:name="species-table"/>
    <w:p>
      <w:pPr>
        <w:pStyle w:val="Heading3"/>
      </w:pPr>
      <w:r>
        <w:t xml:space="preserve">B.2.4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3"/>
    <w:bookmarkStart w:id="704" w:name="data-export"/>
    <w:p>
      <w:pPr>
        <w:pStyle w:val="Heading3"/>
      </w:pPr>
      <w:r>
        <w:t xml:space="preserve">B.2.5 Data Export</w:t>
      </w:r>
    </w:p>
    <w:p>
      <w:pPr>
        <w:pStyle w:val="FirstParagraph"/>
      </w:pPr>
      <w:r>
        <w:t xml:space="preserve">Users can download CSV files of scores and species lists for the selected program area or custom area of interest.</w:t>
      </w:r>
    </w:p>
    <w:bookmarkEnd w:id="704"/>
    <w:bookmarkEnd w:id="705"/>
    <w:bookmarkStart w:id="706" w:name="generating-screenshots-1"/>
    <w:p>
      <w:pPr>
        <w:pStyle w:val="Heading2"/>
      </w:pPr>
      <w:r>
        <w:t xml:space="preserve">B.3 Generating Screenshots</w:t>
      </w:r>
    </w:p>
    <w:bookmarkEnd w:id="706"/>
    <w:bookmarkStart w:id="708" w:name="source-code-1"/>
    <w:p>
      <w:pPr>
        <w:pStyle w:val="Heading2"/>
      </w:pPr>
      <w:r>
        <w:t xml:space="preserve">B.4 Source Code</w:t>
      </w:r>
    </w:p>
    <w:p>
      <w:pPr>
        <w:pStyle w:val="FirstParagraph"/>
      </w:pPr>
      <w:hyperlink r:id="rId707">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are retired and their URLs 301 to the equivalent</w:t>
      </w:r>
      <w:r>
        <w:t xml:space="preserve"> </w:t>
      </w:r>
      <w:r>
        <w:rPr>
          <w:rStyle w:val="VerbatimChar"/>
        </w:rPr>
        <w:t xml:space="preserve">/v{n}/scores/</w:t>
      </w:r>
      <w:r>
        <w:t xml:space="preserve"> </w:t>
      </w:r>
      <w:r>
        <w:t xml:space="preserve">path (an older</w:t>
      </w:r>
      <w:r>
        <w:t xml:space="preserve"> </w:t>
      </w:r>
      <w:r>
        <w:rPr>
          <w:rStyle w:val="VerbatimChar"/>
        </w:rPr>
        <w:t xml:space="preserve">?ver=</w:t>
      </w:r>
      <w:r>
        <w:t xml:space="preserve"> </w:t>
      </w:r>
      <w:r>
        <w:t xml:space="preserve">deep link 301s the same way).</w:t>
      </w:r>
    </w:p>
    <w:bookmarkEnd w:id="708"/>
    <w:bookmarkEnd w:id="709"/>
    <w:bookmarkStart w:id="710" w:name="Xfe80caef9827b01f03a068b47e47bed21825025"/>
    <w:p>
      <w:pPr>
        <w:pStyle w:val="Heading1"/>
      </w:pPr>
      <w:r>
        <w:t xml:space="preserve">Appendix C — Species — mapper of individual species distributions</w:t>
      </w:r>
    </w:p>
    <w:bookmarkEnd w:id="710"/>
    <w:bookmarkStart w:id="724" w:name="sec-app-species"/>
    <w:p>
      <w:pPr>
        <w:pStyle w:val="Heading1"/>
      </w:pPr>
      <w:r>
        <w:t xml:space="preserve">Appendix C — Species</w:t>
      </w:r>
    </w:p>
    <w:bookmarkStart w:id="715" w:name="overview-3"/>
    <w:p>
      <w:pPr>
        <w:pStyle w:val="Heading2"/>
      </w:pPr>
      <w:r>
        <w:t xml:space="preserve">C.1 Overview</w:t>
      </w:r>
    </w:p>
    <w:p>
      <w:pPr>
        <w:pStyle w:val="FirstParagraph"/>
      </w:pPr>
      <w:r>
        <w:t xml:space="preserve">The</w:t>
      </w:r>
      <w:r>
        <w:t xml:space="preserve"> </w:t>
      </w:r>
      <w:r>
        <w:rPr>
          <w:b/>
          <w:bCs/>
        </w:rPr>
        <w:t xml:space="preserve">Species</w:t>
      </w:r>
      <w:r>
        <w:t xml:space="preserve"> </w:t>
      </w:r>
      <w:r>
        <w:t xml:space="preserve">application (</w:t>
      </w:r>
      <w:hyperlink r:id="rId22">
        <w:r>
          <w:rPr>
            <w:rStyle w:val="Hyperlink"/>
          </w:rPr>
          <w:t xml:space="preserve">app.marinesensitivity.org/v4b/species/</w:t>
        </w:r>
      </w:hyperlink>
      <w:r>
        <w:t xml:space="preserve">) enables exploration of individual species distribution models. Like the Scores app it renders</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shows v3; an older</w:t>
      </w:r>
      <w:r>
        <w:t xml:space="preserve"> </w:t>
      </w:r>
      <w:r>
        <w:rPr>
          <w:rStyle w:val="VerbatimChar"/>
        </w:rPr>
        <w:t xml:space="preserve">?ver=v3</w:t>
      </w:r>
      <w:r>
        <w:t xml:space="preserve"> </w:t>
      </w:r>
      <w:r>
        <w:t xml:space="preserve">deep link still resolves, 301’d to the equivalent path. Users can view merged and source-level models, compare masked vs. unmasked distributions, and access detailed species regulatory status information.</w:t>
      </w:r>
    </w:p>
    <w:p>
      <w:pPr>
        <w:pStyle w:val="BodyText"/>
      </w:pPr>
      <w:hyperlink w:anchor="fig-species-blue-whale">
        <w:r>
          <w:rPr>
            <w:rStyle w:val="Hyperlink"/>
          </w:rPr>
          <w:t xml:space="preserve">Figure F.1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4" w:name="fig-species-blue-whale"/>
          <w:p>
            <w:pPr>
              <w:pStyle w:val="Compact"/>
              <w:jc w:val="center"/>
            </w:pPr>
            <w:r>
              <w:drawing>
                <wp:inline>
                  <wp:extent cx="5334000" cy="3018971"/>
                  <wp:effectExtent b="0" l="0" r="0" t="0"/>
                  <wp:docPr descr="" title="" id="712" name="Picture"/>
                  <a:graphic>
                    <a:graphicData uri="http://schemas.openxmlformats.org/drawingml/2006/picture">
                      <pic:pic>
                        <pic:nvPicPr>
                          <pic:cNvPr descr="figures/apps/species-blue-whale.png" id="713" name="Picture"/>
                          <pic:cNvPicPr>
                            <a:picLocks noChangeArrowheads="1" noChangeAspect="1"/>
                          </pic:cNvPicPr>
                        </pic:nvPicPr>
                        <pic:blipFill>
                          <a:blip r:embed="rId71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F.1: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4"/>
        </w:tc>
      </w:tr>
    </w:tbl>
    <w:bookmarkEnd w:id="715"/>
    <w:bookmarkStart w:id="720" w:name="features-1"/>
    <w:p>
      <w:pPr>
        <w:pStyle w:val="Heading2"/>
      </w:pPr>
      <w:r>
        <w:t xml:space="preserve">C.2 Features</w:t>
      </w:r>
    </w:p>
    <w:bookmarkStart w:id="716" w:name="species-selection"/>
    <w:p>
      <w:pPr>
        <w:pStyle w:val="Heading3"/>
      </w:pPr>
      <w:r>
        <w:t xml:space="preserve">C.2.1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16"/>
    <w:bookmarkStart w:id="717" w:name="model-display"/>
    <w:p>
      <w:pPr>
        <w:pStyle w:val="Heading3"/>
      </w:pPr>
      <w:r>
        <w:t xml:space="preserve">C.2.2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17"/>
    <w:bookmarkStart w:id="718" w:name="species-info-panel"/>
    <w:p>
      <w:pPr>
        <w:pStyle w:val="Heading3"/>
      </w:pPr>
      <w:r>
        <w:t xml:space="preserve">C.2.3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18"/>
    <w:bookmarkStart w:id="719" w:name="deep-linking"/>
    <w:p>
      <w:pPr>
        <w:pStyle w:val="Heading3"/>
      </w:pPr>
      <w:r>
        <w:t xml:space="preserve">C.2.4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9"/>
    <w:bookmarkEnd w:id="720"/>
    <w:bookmarkStart w:id="721" w:name="generating-screenshots-2"/>
    <w:p>
      <w:pPr>
        <w:pStyle w:val="Heading2"/>
      </w:pPr>
      <w:r>
        <w:t xml:space="preserve">C.3 Generating Screenshots</w:t>
      </w:r>
    </w:p>
    <w:bookmarkEnd w:id="721"/>
    <w:bookmarkStart w:id="723" w:name="source-code-2"/>
    <w:p>
      <w:pPr>
        <w:pStyle w:val="Heading2"/>
      </w:pPr>
      <w:r>
        <w:t xml:space="preserve">C.4 Source Code</w:t>
      </w:r>
    </w:p>
    <w:p>
      <w:pPr>
        <w:pStyle w:val="FirstParagraph"/>
      </w:pPr>
      <w:hyperlink r:id="rId722">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3"/>
    <w:bookmarkEnd w:id="724"/>
    <w:bookmarkStart w:id="730"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725">
        <w:r>
          <w:rPr>
            <w:rStyle w:val="Hyperlink"/>
          </w:rPr>
          <w:t xml:space="preserve"> </w:t>
        </w:r>
        <w:r>
          <w:rPr>
            <w:rStyle w:val="Hyperlink"/>
          </w:rPr>
          <w:t xml:space="preserve">website</w:t>
        </w:r>
      </w:hyperlink>
    </w:p>
    <w:p>
      <w:pPr>
        <w:numPr>
          <w:ilvl w:val="0"/>
          <w:numId w:val="1071"/>
        </w:numPr>
      </w:pPr>
      <w:hyperlink r:id="rId726">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728" name="Picture"/>
            <a:graphic>
              <a:graphicData uri="http://schemas.openxmlformats.org/drawingml/2006/picture">
                <pic:pic>
                  <pic:nvPicPr>
                    <pic:cNvPr descr="figures/apps/aoi.png" id="729" name="Picture"/>
                    <pic:cNvPicPr>
                      <a:picLocks noChangeArrowheads="1" noChangeAspect="1"/>
                    </pic:cNvPicPr>
                  </pic:nvPicPr>
                  <pic:blipFill>
                    <a:blip r:embed="rId727"/>
                    <a:stretch>
                      <a:fillRect/>
                    </a:stretch>
                  </pic:blipFill>
                  <pic:spPr bwMode="auto">
                    <a:xfrm>
                      <a:off x="0" y="0"/>
                      <a:ext cx="5334000" cy="2988079"/>
                    </a:xfrm>
                    <a:prstGeom prst="rect">
                      <a:avLst/>
                    </a:prstGeom>
                    <a:noFill/>
                    <a:ln w="9525">
                      <a:noFill/>
                      <a:headEnd/>
                      <a:tailEnd/>
                    </a:ln>
                  </pic:spPr>
                </pic:pic>
              </a:graphicData>
            </a:graphic>
          </wp:inline>
        </w:drawing>
      </w:r>
    </w:p>
    <w:bookmarkEnd w:id="730"/>
    <w:bookmarkStart w:id="736"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731">
        <w:r>
          <w:rPr>
            <w:rStyle w:val="Hyperlink"/>
          </w:rPr>
          <w:t xml:space="preserve"> </w:t>
        </w:r>
        <w:r>
          <w:rPr>
            <w:rStyle w:val="Hyperlink"/>
          </w:rPr>
          <w:t xml:space="preserve">website</w:t>
        </w:r>
      </w:hyperlink>
    </w:p>
    <w:p>
      <w:pPr>
        <w:numPr>
          <w:ilvl w:val="0"/>
          <w:numId w:val="1072"/>
        </w:numPr>
      </w:pPr>
      <w:hyperlink r:id="rId732">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734" name="Picture"/>
            <a:graphic>
              <a:graphicData uri="http://schemas.openxmlformats.org/drawingml/2006/picture">
                <pic:pic>
                  <pic:nvPicPr>
                    <pic:cNvPr descr="figures/apps/bird_hotspots.png" id="735" name="Picture"/>
                    <pic:cNvPicPr>
                      <a:picLocks noChangeArrowheads="1" noChangeAspect="1"/>
                    </pic:cNvPicPr>
                  </pic:nvPicPr>
                  <pic:blipFill>
                    <a:blip r:embed="rId733"/>
                    <a:stretch>
                      <a:fillRect/>
                    </a:stretch>
                  </pic:blipFill>
                  <pic:spPr bwMode="auto">
                    <a:xfrm>
                      <a:off x="0" y="0"/>
                      <a:ext cx="5334000" cy="2948423"/>
                    </a:xfrm>
                    <a:prstGeom prst="rect">
                      <a:avLst/>
                    </a:prstGeom>
                    <a:noFill/>
                    <a:ln w="9525">
                      <a:noFill/>
                      <a:headEnd/>
                      <a:tailEnd/>
                    </a:ln>
                  </pic:spPr>
                </pic:pic>
              </a:graphicData>
            </a:graphic>
          </wp:inline>
        </w:drawing>
      </w:r>
    </w:p>
    <w:bookmarkEnd w:id="736"/>
    <w:bookmarkStart w:id="742" w:name="regional-map"/>
    <w:p>
      <w:pPr>
        <w:pStyle w:val="Heading1"/>
      </w:pPr>
      <w:r>
        <w:t xml:space="preserve">Regional Map</w:t>
      </w:r>
    </w:p>
    <w:p>
      <w:pPr>
        <w:pStyle w:val="FirstParagraph"/>
      </w:pPr>
      <w:r>
        <w:t xml:space="preserve">Basic interactive map of BOEM regions.</w:t>
      </w:r>
    </w:p>
    <w:p>
      <w:pPr>
        <w:numPr>
          <w:ilvl w:val="0"/>
          <w:numId w:val="1073"/>
        </w:numPr>
      </w:pPr>
      <w:hyperlink r:id="rId737">
        <w:r>
          <w:rPr>
            <w:rStyle w:val="Hyperlink"/>
          </w:rPr>
          <w:t xml:space="preserve"> </w:t>
        </w:r>
        <w:r>
          <w:rPr>
            <w:rStyle w:val="Hyperlink"/>
          </w:rPr>
          <w:t xml:space="preserve">website</w:t>
        </w:r>
      </w:hyperlink>
    </w:p>
    <w:p>
      <w:pPr>
        <w:numPr>
          <w:ilvl w:val="0"/>
          <w:numId w:val="1073"/>
        </w:numPr>
      </w:pPr>
      <w:hyperlink r:id="rId738">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740" name="Picture"/>
            <a:graphic>
              <a:graphicData uri="http://schemas.openxmlformats.org/drawingml/2006/picture">
                <pic:pic>
                  <pic:nvPicPr>
                    <pic:cNvPr descr="figures/apps/map.png" id="741" name="Picture"/>
                    <pic:cNvPicPr>
                      <a:picLocks noChangeArrowheads="1" noChangeAspect="1"/>
                    </pic:cNvPicPr>
                  </pic:nvPicPr>
                  <pic:blipFill>
                    <a:blip r:embed="rId739"/>
                    <a:stretch>
                      <a:fillRect/>
                    </a:stretch>
                  </pic:blipFill>
                  <pic:spPr bwMode="auto">
                    <a:xfrm>
                      <a:off x="0" y="0"/>
                      <a:ext cx="5334000" cy="3012314"/>
                    </a:xfrm>
                    <a:prstGeom prst="rect">
                      <a:avLst/>
                    </a:prstGeom>
                    <a:noFill/>
                    <a:ln w="9525">
                      <a:noFill/>
                      <a:headEnd/>
                      <a:tailEnd/>
                    </a:ln>
                  </pic:spPr>
                </pic:pic>
              </a:graphicData>
            </a:graphic>
          </wp:inline>
        </w:drawing>
      </w:r>
    </w:p>
    <w:bookmarkEnd w:id="742"/>
    <w:bookmarkStart w:id="747"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743">
        <w:r>
          <w:rPr>
            <w:rStyle w:val="Hyperlink"/>
          </w:rPr>
          <w:t xml:space="preserve"> </w:t>
        </w:r>
        <w:r>
          <w:rPr>
            <w:rStyle w:val="Hyperlink"/>
          </w:rPr>
          <w:t xml:space="preserve">website</w:t>
        </w:r>
      </w:hyperlink>
    </w:p>
    <w:p>
      <w:pPr>
        <w:numPr>
          <w:ilvl w:val="0"/>
          <w:numId w:val="1074"/>
        </w:numPr>
      </w:pPr>
      <w:hyperlink r:id="rId707">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745" name="Picture"/>
            <a:graphic>
              <a:graphicData uri="http://schemas.openxmlformats.org/drawingml/2006/picture">
                <pic:pic>
                  <pic:nvPicPr>
                    <pic:cNvPr descr="figures/apps/scores_0.png" id="746" name="Picture"/>
                    <pic:cNvPicPr>
                      <a:picLocks noChangeArrowheads="1" noChangeAspect="1"/>
                    </pic:cNvPicPr>
                  </pic:nvPicPr>
                  <pic:blipFill>
                    <a:blip r:embed="rId744"/>
                    <a:stretch>
                      <a:fillRect/>
                    </a:stretch>
                  </pic:blipFill>
                  <pic:spPr bwMode="auto">
                    <a:xfrm>
                      <a:off x="0" y="0"/>
                      <a:ext cx="5334000" cy="3018971"/>
                    </a:xfrm>
                    <a:prstGeom prst="rect">
                      <a:avLst/>
                    </a:prstGeom>
                    <a:noFill/>
                    <a:ln w="9525">
                      <a:noFill/>
                      <a:headEnd/>
                      <a:tailEnd/>
                    </a:ln>
                  </pic:spPr>
                </pic:pic>
              </a:graphicData>
            </a:graphic>
          </wp:inline>
        </w:drawing>
      </w:r>
    </w:p>
    <w:bookmarkEnd w:id="747"/>
    <w:bookmarkStart w:id="753"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748">
        <w:r>
          <w:rPr>
            <w:rStyle w:val="Hyperlink"/>
          </w:rPr>
          <w:t xml:space="preserve"> </w:t>
        </w:r>
        <w:r>
          <w:rPr>
            <w:rStyle w:val="Hyperlink"/>
          </w:rPr>
          <w:t xml:space="preserve">website</w:t>
        </w:r>
      </w:hyperlink>
    </w:p>
    <w:p>
      <w:pPr>
        <w:numPr>
          <w:ilvl w:val="0"/>
          <w:numId w:val="1075"/>
        </w:numPr>
      </w:pPr>
      <w:hyperlink r:id="rId749">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751" name="Picture"/>
            <a:graphic>
              <a:graphicData uri="http://schemas.openxmlformats.org/drawingml/2006/picture">
                <pic:pic>
                  <pic:nvPicPr>
                    <pic:cNvPr descr="figures/apps/sdm.png" id="752" name="Picture"/>
                    <pic:cNvPicPr>
                      <a:picLocks noChangeArrowheads="1" noChangeAspect="1"/>
                    </pic:cNvPicPr>
                  </pic:nvPicPr>
                  <pic:blipFill>
                    <a:blip r:embed="rId750"/>
                    <a:stretch>
                      <a:fillRect/>
                    </a:stretch>
                  </pic:blipFill>
                  <pic:spPr bwMode="auto">
                    <a:xfrm>
                      <a:off x="0" y="0"/>
                      <a:ext cx="5334000" cy="2983171"/>
                    </a:xfrm>
                    <a:prstGeom prst="rect">
                      <a:avLst/>
                    </a:prstGeom>
                    <a:noFill/>
                    <a:ln w="9525">
                      <a:noFill/>
                      <a:headEnd/>
                      <a:tailEnd/>
                    </a:ln>
                  </pic:spPr>
                </pic:pic>
              </a:graphicData>
            </a:graphic>
          </wp:inline>
        </w:drawing>
      </w:r>
    </w:p>
    <w:bookmarkEnd w:id="753"/>
    <w:bookmarkStart w:id="759"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754">
        <w:r>
          <w:rPr>
            <w:rStyle w:val="Hyperlink"/>
          </w:rPr>
          <w:t xml:space="preserve"> </w:t>
        </w:r>
        <w:r>
          <w:rPr>
            <w:rStyle w:val="Hyperlink"/>
          </w:rPr>
          <w:t xml:space="preserve">website</w:t>
        </w:r>
      </w:hyperlink>
    </w:p>
    <w:p>
      <w:pPr>
        <w:numPr>
          <w:ilvl w:val="0"/>
          <w:numId w:val="1076"/>
        </w:numPr>
      </w:pPr>
      <w:hyperlink r:id="rId755">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757" name="Picture"/>
            <a:graphic>
              <a:graphicData uri="http://schemas.openxmlformats.org/drawingml/2006/picture">
                <pic:pic>
                  <pic:nvPicPr>
                    <pic:cNvPr descr="figures/apps/sdm-cog.png" id="758" name="Picture"/>
                    <pic:cNvPicPr>
                      <a:picLocks noChangeArrowheads="1" noChangeAspect="1"/>
                    </pic:cNvPicPr>
                  </pic:nvPicPr>
                  <pic:blipFill>
                    <a:blip r:embed="rId756"/>
                    <a:stretch>
                      <a:fillRect/>
                    </a:stretch>
                  </pic:blipFill>
                  <pic:spPr bwMode="auto">
                    <a:xfrm>
                      <a:off x="0" y="0"/>
                      <a:ext cx="5334000" cy="2951752"/>
                    </a:xfrm>
                    <a:prstGeom prst="rect">
                      <a:avLst/>
                    </a:prstGeom>
                    <a:noFill/>
                    <a:ln w="9525">
                      <a:noFill/>
                      <a:headEnd/>
                      <a:tailEnd/>
                    </a:ln>
                  </pic:spPr>
                </pic:pic>
              </a:graphicData>
            </a:graphic>
          </wp:inline>
        </w:drawing>
      </w:r>
    </w:p>
    <w:bookmarkEnd w:id="759"/>
    <w:bookmarkStart w:id="765"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760">
        <w:r>
          <w:rPr>
            <w:rStyle w:val="Hyperlink"/>
          </w:rPr>
          <w:t xml:space="preserve"> </w:t>
        </w:r>
        <w:r>
          <w:rPr>
            <w:rStyle w:val="Hyperlink"/>
          </w:rPr>
          <w:t xml:space="preserve">website</w:t>
        </w:r>
      </w:hyperlink>
    </w:p>
    <w:p>
      <w:pPr>
        <w:numPr>
          <w:ilvl w:val="0"/>
          <w:numId w:val="1077"/>
        </w:numPr>
      </w:pPr>
      <w:hyperlink r:id="rId761">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763" name="Picture"/>
            <a:graphic>
              <a:graphicData uri="http://schemas.openxmlformats.org/drawingml/2006/picture">
                <pic:pic>
                  <pic:nvPicPr>
                    <pic:cNvPr descr="figures/apps/vmap.png" id="764" name="Picture"/>
                    <pic:cNvPicPr>
                      <a:picLocks noChangeArrowheads="1" noChangeAspect="1"/>
                    </pic:cNvPicPr>
                  </pic:nvPicPr>
                  <pic:blipFill>
                    <a:blip r:embed="rId762"/>
                    <a:stretch>
                      <a:fillRect/>
                    </a:stretch>
                  </pic:blipFill>
                  <pic:spPr bwMode="auto">
                    <a:xfrm>
                      <a:off x="0" y="0"/>
                      <a:ext cx="5334000" cy="2955021"/>
                    </a:xfrm>
                    <a:prstGeom prst="rect">
                      <a:avLst/>
                    </a:prstGeom>
                    <a:noFill/>
                    <a:ln w="9525">
                      <a:noFill/>
                      <a:headEnd/>
                      <a:tailEnd/>
                    </a:ln>
                  </pic:spPr>
                </pic:pic>
              </a:graphicData>
            </a:graphic>
          </wp:inline>
        </w:drawing>
      </w:r>
    </w:p>
    <w:bookmarkEnd w:id="7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2" Target="media/rId52.png" /><Relationship Type="http://schemas.openxmlformats.org/officeDocument/2006/relationships/image" Id="rId424" Target="media/rId424.png" /><Relationship Type="http://schemas.openxmlformats.org/officeDocument/2006/relationships/image" Id="rId459" Target="media/rId459.png" /><Relationship Type="http://schemas.openxmlformats.org/officeDocument/2006/relationships/image" Id="rId482" Target="media/rId482.png" /><Relationship Type="http://schemas.openxmlformats.org/officeDocument/2006/relationships/image" Id="rId487" Target="media/rId487.png" /><Relationship Type="http://schemas.openxmlformats.org/officeDocument/2006/relationships/image" Id="rId492" Target="media/rId492.png" /><Relationship Type="http://schemas.openxmlformats.org/officeDocument/2006/relationships/image" Id="rId497" Target="media/rId497.png" /><Relationship Type="http://schemas.openxmlformats.org/officeDocument/2006/relationships/image" Id="rId502" Target="media/rId502.png" /><Relationship Type="http://schemas.openxmlformats.org/officeDocument/2006/relationships/image" Id="rId507" Target="media/rId507.png" /><Relationship Type="http://schemas.openxmlformats.org/officeDocument/2006/relationships/image" Id="rId512" Target="media/rId512.png" /><Relationship Type="http://schemas.openxmlformats.org/officeDocument/2006/relationships/image" Id="rId517" Target="media/rId517.png" /><Relationship Type="http://schemas.openxmlformats.org/officeDocument/2006/relationships/image" Id="rId522" Target="media/rId522.png" /><Relationship Type="http://schemas.openxmlformats.org/officeDocument/2006/relationships/image" Id="rId527" Target="media/rId527.png" /><Relationship Type="http://schemas.openxmlformats.org/officeDocument/2006/relationships/image" Id="rId532" Target="media/rId532.png" /><Relationship Type="http://schemas.openxmlformats.org/officeDocument/2006/relationships/image" Id="rId538" Target="media/rId538.png" /><Relationship Type="http://schemas.openxmlformats.org/officeDocument/2006/relationships/image" Id="rId543" Target="media/rId543.png" /><Relationship Type="http://schemas.openxmlformats.org/officeDocument/2006/relationships/image" Id="rId548" Target="media/rId548.png" /><Relationship Type="http://schemas.openxmlformats.org/officeDocument/2006/relationships/image" Id="rId553" Target="media/rId553.png" /><Relationship Type="http://schemas.openxmlformats.org/officeDocument/2006/relationships/image" Id="rId558" Target="media/rId558.png" /><Relationship Type="http://schemas.openxmlformats.org/officeDocument/2006/relationships/image" Id="rId727" Target="media/rId727.png" /><Relationship Type="http://schemas.openxmlformats.org/officeDocument/2006/relationships/image" Id="rId733" Target="media/rId733.png" /><Relationship Type="http://schemas.openxmlformats.org/officeDocument/2006/relationships/image" Id="rId739" Target="media/rId739.png" /><Relationship Type="http://schemas.openxmlformats.org/officeDocument/2006/relationships/image" Id="rId695" Target="media/rId695.png" /><Relationship Type="http://schemas.openxmlformats.org/officeDocument/2006/relationships/image" Id="rId691" Target="media/rId691.png" /><Relationship Type="http://schemas.openxmlformats.org/officeDocument/2006/relationships/image" Id="rId744" Target="media/rId744.png" /><Relationship Type="http://schemas.openxmlformats.org/officeDocument/2006/relationships/image" Id="rId756" Target="media/rId756.png" /><Relationship Type="http://schemas.openxmlformats.org/officeDocument/2006/relationships/image" Id="rId750" Target="media/rId750.png" /><Relationship Type="http://schemas.openxmlformats.org/officeDocument/2006/relationships/image" Id="rId711" Target="media/rId711.png" /><Relationship Type="http://schemas.openxmlformats.org/officeDocument/2006/relationships/image" Id="rId762" Target="media/rId762.png" /><Relationship Type="http://schemas.openxmlformats.org/officeDocument/2006/relationships/image" Id="rId264" Target="media/rId264.png" /><Relationship Type="http://schemas.openxmlformats.org/officeDocument/2006/relationships/image" Id="rId286" Target="media/rId286.png" /><Relationship Type="http://schemas.openxmlformats.org/officeDocument/2006/relationships/image" Id="rId345" Target="media/rId345.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381" Target="media/rId381.png" /><Relationship Type="http://schemas.openxmlformats.org/officeDocument/2006/relationships/image" Id="rId269" Target="media/rId269.png" /><Relationship Type="http://schemas.openxmlformats.org/officeDocument/2006/relationships/image" Id="rId273" Target="media/rId273.png" /><Relationship Type="http://schemas.openxmlformats.org/officeDocument/2006/relationships/image" Id="rId166" Target="media/rId166.jpg" /><Relationship Type="http://schemas.openxmlformats.org/officeDocument/2006/relationships/image" Id="rId643" Target="media/rId643.png" /><Relationship Type="http://schemas.openxmlformats.org/officeDocument/2006/relationships/image" Id="rId659" Target="media/rId659.png" /><Relationship Type="http://schemas.openxmlformats.org/officeDocument/2006/relationships/image" Id="rId629" Target="media/rId629.png" /><Relationship Type="http://schemas.openxmlformats.org/officeDocument/2006/relationships/image" Id="rId614" Target="media/rId614.png" /><Relationship Type="http://schemas.openxmlformats.org/officeDocument/2006/relationships/image" Id="rId639" Target="media/rId639.png" /><Relationship Type="http://schemas.openxmlformats.org/officeDocument/2006/relationships/image" Id="rId672" Target="media/rId672.png" /><Relationship Type="http://schemas.openxmlformats.org/officeDocument/2006/relationships/image" Id="rId668" Target="media/rId668.png" /><Relationship Type="http://schemas.openxmlformats.org/officeDocument/2006/relationships/image" Id="rId650" Target="media/rId650.png" /><Relationship Type="http://schemas.openxmlformats.org/officeDocument/2006/relationships/image" Id="rId654" Target="media/rId654.png" /><Relationship Type="http://schemas.openxmlformats.org/officeDocument/2006/relationships/image" Id="rId634" Target="media/rId634.png" /><Relationship Type="http://schemas.openxmlformats.org/officeDocument/2006/relationships/image" Id="rId663" Target="media/rId663.png" /><Relationship Type="http://schemas.openxmlformats.org/officeDocument/2006/relationships/image" Id="rId681" Target="media/rId681.png" /><Relationship Type="http://schemas.openxmlformats.org/officeDocument/2006/relationships/image" Id="rId618" Target="media/rId618.png" /><Relationship Type="http://schemas.openxmlformats.org/officeDocument/2006/relationships/image" Id="rId622" Target="media/rId622.png" /><Relationship Type="http://schemas.openxmlformats.org/officeDocument/2006/relationships/image" Id="rId9" Target="media/rId9.svg" /><Relationship Type="http://schemas.openxmlformats.org/officeDocument/2006/relationships/image" Id="rId39" Target="media/rId39.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5" Target="media/rId45.png" /><Relationship Type="http://schemas.openxmlformats.org/officeDocument/2006/relationships/image" Id="rId219" Target="media/rId219.png" /><Relationship Type="http://schemas.openxmlformats.org/officeDocument/2006/relationships/image" Id="rId306" Target="media/rId306.png" /><Relationship Type="http://schemas.openxmlformats.org/officeDocument/2006/relationships/image" Id="rId298" Target="media/rId298.png" /><Relationship Type="http://schemas.openxmlformats.org/officeDocument/2006/relationships/image" Id="rId323" Target="media/rId323.png" /><Relationship Type="http://schemas.openxmlformats.org/officeDocument/2006/relationships/image" Id="rId318" Target="media/rId318.png" /><Relationship Type="http://schemas.openxmlformats.org/officeDocument/2006/relationships/image" Id="rId312" Target="media/rId312.png" /><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4b/scores/" TargetMode="External" /><Relationship Type="http://schemas.openxmlformats.org/officeDocument/2006/relationships/hyperlink" Id="rId22" Target="https://app.marinesensitivity.org/v4b/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4b"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_rels/footnotes.xml.rels><?xml version="1.0" encoding="UTF-8"?><Relationships xmlns="http://schemas.openxmlformats.org/package/2006/relationships"><Relationship Type="http://schemas.openxmlformats.org/officeDocument/2006/relationships/hyperlink" Id="rId609" Target="MarineBON.org" TargetMode="External" /><Relationship Type="http://schemas.openxmlformats.org/officeDocument/2006/relationships/hyperlink" Id="rId478" Target="apps/scores.qmd" TargetMode="External" /><Relationship Type="http://schemas.openxmlformats.org/officeDocument/2006/relationships/hyperlink" Id="rId479" Target="apps/species.qmd" TargetMode="External" /><Relationship Type="http://schemas.openxmlformats.org/officeDocument/2006/relationships/hyperlink" Id="rId150" Target="http://datazone.birdlife.org/species/requestdis" TargetMode="External" /><Relationship Type="http://schemas.openxmlformats.org/officeDocument/2006/relationships/hyperlink" Id="rId165" Target="http://sites.science.oregonstate.edu/ocean.productivity" TargetMode="External" /><Relationship Type="http://schemas.openxmlformats.org/officeDocument/2006/relationships/hyperlink" Id="rId577" Target="https://CRAN.R-project.org/package=shiny" TargetMode="External" /><Relationship Type="http://schemas.openxmlformats.org/officeDocument/2006/relationships/hyperlink" Id="rId374" Target="https://account.squarespace.com/domains" TargetMode="External" /><Relationship Type="http://schemas.openxmlformats.org/officeDocument/2006/relationships/hyperlink" Id="rId387" Target="https://api.marinesensitivity.org" TargetMode="External" /><Relationship Type="http://schemas.openxmlformats.org/officeDocument/2006/relationships/hyperlink" Id="rId379" Target="https://app.marinesensitivity.org" TargetMode="External" /><Relationship Type="http://schemas.openxmlformats.org/officeDocument/2006/relationships/hyperlink" Id="rId84" Target="https://app.marinesensitivity.org/v3/scores/" TargetMode="External" /><Relationship Type="http://schemas.openxmlformats.org/officeDocument/2006/relationships/hyperlink" Id="rId85" Target="https://app.marinesensitivity.org/v3/species/" TargetMode="External" /><Relationship Type="http://schemas.openxmlformats.org/officeDocument/2006/relationships/hyperlink" Id="rId21" Target="https://app.marinesensitivity.org/v4b/scores/" TargetMode="External" /><Relationship Type="http://schemas.openxmlformats.org/officeDocument/2006/relationships/hyperlink" Id="rId22" Target="https://app.marinesensitivity.org/v4b/species/" TargetMode="External" /><Relationship Type="http://schemas.openxmlformats.org/officeDocument/2006/relationships/hyperlink" Id="rId36" Target="https://boem.gov" TargetMode="External" /><Relationship Type="http://schemas.openxmlformats.org/officeDocument/2006/relationships/hyperlink" Id="rId436" Target="https://books.ropensci.org/targets/" TargetMode="External" /><Relationship Type="http://schemas.openxmlformats.org/officeDocument/2006/relationships/hyperlink" Id="rId356" Target="https://caddyserver.com" TargetMode="External" /><Relationship Type="http://schemas.openxmlformats.org/officeDocument/2006/relationships/hyperlink" Id="rId295" Target="https://developmentseed.org/titiler/" TargetMode="External" /><Relationship Type="http://schemas.openxmlformats.org/officeDocument/2006/relationships/hyperlink" Id="rId363" Target="https://docs.aws.amazon.com/AWSEC2/latest/UserGuide/ebs-using-volumes.html" TargetMode="External" /><Relationship Type="http://schemas.openxmlformats.org/officeDocument/2006/relationships/hyperlink" Id="rId361" Target="https://docs.aws.amazon.com/AWSEC2/latest/UserGuide/set-hostname.html" TargetMode="External" /><Relationship Type="http://schemas.openxmlformats.org/officeDocument/2006/relationships/hyperlink" Id="rId370" Target="https://docs.aws.amazon.com/AWSEC2/latest/UserGuide/snapshot-ami-policy.html#create-snap-policy" TargetMode="External" /><Relationship Type="http://schemas.openxmlformats.org/officeDocument/2006/relationships/hyperlink" Id="rId375" Target="https://docs.github.com/en/pages/configuring-a-custom-domain-for-your-github-pages-site/managing-a-custom-domain-for-your-github-pages-site" TargetMode="External" /><Relationship Type="http://schemas.openxmlformats.org/officeDocument/2006/relationships/hyperlink" Id="rId593" Target="https://doi.org/10.1002/ece3.70030" TargetMode="External" /><Relationship Type="http://schemas.openxmlformats.org/officeDocument/2006/relationships/hyperlink" Id="rId581" Target="https://doi.org/10.1038/nature11397" TargetMode="External" /><Relationship Type="http://schemas.openxmlformats.org/officeDocument/2006/relationships/hyperlink" Id="rId589" Target="https://doi.org/10.1038/s41559-017-0160" TargetMode="External" /><Relationship Type="http://schemas.openxmlformats.org/officeDocument/2006/relationships/hyperlink" Id="rId591" Target="https://doi.org/10.1038/s41559-021-01432-0" TargetMode="External" /><Relationship Type="http://schemas.openxmlformats.org/officeDocument/2006/relationships/hyperlink" Id="rId605" Target="https://doi.org/10.1038/sdata.2016.18" TargetMode="External" /><Relationship Type="http://schemas.openxmlformats.org/officeDocument/2006/relationships/hyperlink" Id="rId579" Target="https://doi.org/10.1080/09640568.2014.973483" TargetMode="External" /><Relationship Type="http://schemas.openxmlformats.org/officeDocument/2006/relationships/hyperlink" Id="rId583" Target="https://doi.org/10.1111/j.1523-1739.2007.00752.x" TargetMode="External" /><Relationship Type="http://schemas.openxmlformats.org/officeDocument/2006/relationships/hyperlink" Id="rId575" Target="https://doi.org/10.1371/journal.pbio.0020383" TargetMode="External" /><Relationship Type="http://schemas.openxmlformats.org/officeDocument/2006/relationships/hyperlink" Id="rId573" Target="https://doi.org/10.1371/journal.pone.0000140" TargetMode="External" /><Relationship Type="http://schemas.openxmlformats.org/officeDocument/2006/relationships/hyperlink" Id="rId595" Target="https://doi.org/10.1371/journal.pone.0003700" TargetMode="External" /><Relationship Type="http://schemas.openxmlformats.org/officeDocument/2006/relationships/hyperlink" Id="rId585" Target="https://doi.org/10.1371/journal.pone.0146756" TargetMode="External" /><Relationship Type="http://schemas.openxmlformats.org/officeDocument/2006/relationships/hyperlink" Id="rId603" Target="https://doi.org/10.3354/esr01243" TargetMode="External" /><Relationship Type="http://schemas.openxmlformats.org/officeDocument/2006/relationships/hyperlink" Id="rId571" Target="https://doi.org/10.4319/lo.1997.42.1.0001" TargetMode="External" /><Relationship Type="http://schemas.openxmlformats.org/officeDocument/2006/relationships/hyperlink" Id="rId367" Target="https://drive.google.com/open?id=17B3djETDU8SVwGvJdZ3rp7TKtX8w0cfl&amp;usp=drive_fs" TargetMode="External" /><Relationship Type="http://schemas.openxmlformats.org/officeDocument/2006/relationships/hyperlink" Id="rId293"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5" Target="https://file.marinesensitivity.org" TargetMode="External" /><Relationship Type="http://schemas.openxmlformats.org/officeDocument/2006/relationships/hyperlink" Id="rId316" Target="https://github.com/CrunchyData/pg_tileserv" TargetMode="External" /><Relationship Type="http://schemas.openxmlformats.org/officeDocument/2006/relationships/hyperlink" Id="rId296" Target="https://github.com/MarineSensitivities/msens" TargetMode="External" /><Relationship Type="http://schemas.openxmlformats.org/officeDocument/2006/relationships/hyperlink" Id="rId329" Target="https://github.com/MarineSensitivity/.github" TargetMode="External" /><Relationship Type="http://schemas.openxmlformats.org/officeDocument/2006/relationships/hyperlink" Id="rId337" Target="https://github.com/MarineSensitivity/MarineSensitivity.github.io" TargetMode="External" /><Relationship Type="http://schemas.openxmlformats.org/officeDocument/2006/relationships/hyperlink" Id="rId330" Target="https://github.com/MarineSensitivity/analytics" TargetMode="External" /><Relationship Type="http://schemas.openxmlformats.org/officeDocument/2006/relationships/hyperlink" Id="rId331" Target="https://github.com/MarineSensitivity/api" TargetMode="External" /><Relationship Type="http://schemas.openxmlformats.org/officeDocument/2006/relationships/hyperlink" Id="rId458" Target="https://github.com/MarineSensitivity/api/blob/main/plumber.R" TargetMode="External" /><Relationship Type="http://schemas.openxmlformats.org/officeDocument/2006/relationships/hyperlink" Id="rId332" Target="https://github.com/MarineSensitivity/app" TargetMode="External" /><Relationship Type="http://schemas.openxmlformats.org/officeDocument/2006/relationships/hyperlink" Id="rId333" Target="https://github.com/MarineSensitivity/apps" TargetMode="External" /><Relationship Type="http://schemas.openxmlformats.org/officeDocument/2006/relationships/hyperlink" Id="rId726" Target="https://github.com/MarineSensitivity/apps/tree/main/aoi" TargetMode="External" /><Relationship Type="http://schemas.openxmlformats.org/officeDocument/2006/relationships/hyperlink" Id="rId732" Target="https://github.com/MarineSensitivity/apps/tree/main/bird_hotspots" TargetMode="External" /><Relationship Type="http://schemas.openxmlformats.org/officeDocument/2006/relationships/hyperlink" Id="rId738" Target="https://github.com/MarineSensitivity/apps/tree/main/map" TargetMode="External" /><Relationship Type="http://schemas.openxmlformats.org/officeDocument/2006/relationships/hyperlink" Id="rId707" Target="https://github.com/MarineSensitivity/apps/tree/main/scores" TargetMode="External" /><Relationship Type="http://schemas.openxmlformats.org/officeDocument/2006/relationships/hyperlink" Id="rId749" Target="https://github.com/MarineSensitivity/apps/tree/main/sdm" TargetMode="External" /><Relationship Type="http://schemas.openxmlformats.org/officeDocument/2006/relationships/hyperlink" Id="rId755" Target="https://github.com/MarineSensitivity/apps/tree/main/sdm-cog" TargetMode="External" /><Relationship Type="http://schemas.openxmlformats.org/officeDocument/2006/relationships/hyperlink" Id="rId722" Target="https://github.com/MarineSensitivity/apps/tree/main/species" TargetMode="External" /><Relationship Type="http://schemas.openxmlformats.org/officeDocument/2006/relationships/hyperlink" Id="rId761" Target="https://github.com/MarineSensitivity/apps/tree/main/vmap" TargetMode="External" /><Relationship Type="http://schemas.openxmlformats.org/officeDocument/2006/relationships/hyperlink" Id="rId334" Target="https://github.com/MarineSensitivity/atlas" TargetMode="External" /><Relationship Type="http://schemas.openxmlformats.org/officeDocument/2006/relationships/hyperlink" Id="rId677" Target="https://github.com/MarineSensitivity/atlas/blob/main/docs/accessibility.md" TargetMode="External" /><Relationship Type="http://schemas.openxmlformats.org/officeDocument/2006/relationships/hyperlink" Id="rId678" Target="https://github.com/MarineSensitivity/atlas/blob/main/docs/performance.md" TargetMode="External" /><Relationship Type="http://schemas.openxmlformats.org/officeDocument/2006/relationships/hyperlink" Id="rId335" Target="https://github.com/MarineSensitivity/docs" TargetMode="External" /><Relationship Type="http://schemas.openxmlformats.org/officeDocument/2006/relationships/hyperlink" Id="rId336" Target="https://github.com/MarineSensitivity/manuscripts" TargetMode="External" /><Relationship Type="http://schemas.openxmlformats.org/officeDocument/2006/relationships/hyperlink" Id="rId338" Target="https://github.com/MarineSensitivity/msens" TargetMode="External" /><Relationship Type="http://schemas.openxmlformats.org/officeDocument/2006/relationships/hyperlink" Id="rId339" Target="https://github.com/MarineSensitivity/objectives" TargetMode="External" /><Relationship Type="http://schemas.openxmlformats.org/officeDocument/2006/relationships/hyperlink" Id="rId340" Target="https://github.com/MarineSensitivity/server" TargetMode="External" /><Relationship Type="http://schemas.openxmlformats.org/officeDocument/2006/relationships/hyperlink" Id="rId377" Target="https://github.com/MarineSensitivity/server/blob/main/caddy/Caddyfile" TargetMode="External" /><Relationship Type="http://schemas.openxmlformats.org/officeDocument/2006/relationships/hyperlink" Id="rId355" Target="https://github.com/MarineSensitivity/server/blob/main/docker-compose.yml" TargetMode="External" /><Relationship Type="http://schemas.openxmlformats.org/officeDocument/2006/relationships/hyperlink" Id="rId448" Target="https://github.com/MarineSensitivity/server/blob/main/titiler/factory.py" TargetMode="External" /><Relationship Type="http://schemas.openxmlformats.org/officeDocument/2006/relationships/hyperlink" Id="rId357" Target="https://github.com/MarineSensitivity/server/wiki/Server-Setup" TargetMode="External" /><Relationship Type="http://schemas.openxmlformats.org/officeDocument/2006/relationships/hyperlink" Id="rId341" Target="https://github.com/MarineSensitivity/stac-sdm" TargetMode="External" /><Relationship Type="http://schemas.openxmlformats.org/officeDocument/2006/relationships/hyperlink" Id="rId342" Target="https://github.com/MarineSensitivity/workflows" TargetMode="External" /><Relationship Type="http://schemas.openxmlformats.org/officeDocument/2006/relationships/hyperlink" Id="rId311" Target="https://github.com/mapbox/tippecanoe" TargetMode="External" /><Relationship Type="http://schemas.openxmlformats.org/officeDocument/2006/relationships/hyperlink" Id="rId305" Target="https://guide.cloudnativegeo.org/" TargetMode="External" /><Relationship Type="http://schemas.openxmlformats.org/officeDocument/2006/relationships/hyperlink" Id="rId351" Target="https://marinesensitivity.org/" TargetMode="External" /><Relationship Type="http://schemas.openxmlformats.org/officeDocument/2006/relationships/hyperlink" Id="rId471" Target="https://marinesensitivity.org/atlas/?ver=v4b" TargetMode="External" /><Relationship Type="http://schemas.openxmlformats.org/officeDocument/2006/relationships/hyperlink" Id="rId352" Target="https://marinesensitivity.org/docs" TargetMode="External" /><Relationship Type="http://schemas.openxmlformats.org/officeDocument/2006/relationships/hyperlink" Id="rId26" Target="https://marinesensitivity.org/docs/" TargetMode="External" /><Relationship Type="http://schemas.openxmlformats.org/officeDocument/2006/relationships/hyperlink" Id="rId565" Target="https://marinesensitivity.org/faq/" TargetMode="External" /><Relationship Type="http://schemas.openxmlformats.org/officeDocument/2006/relationships/hyperlink" Id="rId353" Target="https://marinesensitivity.org/msens" TargetMode="External" /><Relationship Type="http://schemas.openxmlformats.org/officeDocument/2006/relationships/hyperlink" Id="rId450" Target="https://marinesensitivity.org/msens/reference/cell_stats.html" TargetMode="External" /><Relationship Type="http://schemas.openxmlformats.org/officeDocument/2006/relationships/hyperlink" Id="rId449" Target="https://marinesensitivity.org/msens/reference/cell_tile_url.html" TargetMode="External" /><Relationship Type="http://schemas.openxmlformats.org/officeDocument/2006/relationships/hyperlink" Id="rId283" Target="https://marinesensitivity.org/workflows/" TargetMode="External" /><Relationship Type="http://schemas.openxmlformats.org/officeDocument/2006/relationships/hyperlink" Id="rId366"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00" Target="https://noaa.maps.arcgis.com/home/search.html?searchTerm=turtle+dps" TargetMode="External" /><Relationship Type="http://schemas.openxmlformats.org/officeDocument/2006/relationships/hyperlink" Id="rId396" Target="https://posit.co/products/open-source/rstudio-server/" TargetMode="External" /><Relationship Type="http://schemas.openxmlformats.org/officeDocument/2006/relationships/hyperlink" Id="rId297" Target="https://protomaps.com/docs/pmtiles/" TargetMode="External" /><Relationship Type="http://schemas.openxmlformats.org/officeDocument/2006/relationships/hyperlink" Id="rId435"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4" Target="https://rstudio.github.io/leaflet/articles/raster.html#large-raster-warning" TargetMode="External" /><Relationship Type="http://schemas.openxmlformats.org/officeDocument/2006/relationships/hyperlink" Id="rId392" Target="https://rstudio.marinesensitivity.org" TargetMode="External" /><Relationship Type="http://schemas.openxmlformats.org/officeDocument/2006/relationships/hyperlink" Id="rId380" Target="https://shiny.marinesensitivity.org" TargetMode="External" /><Relationship Type="http://schemas.openxmlformats.org/officeDocument/2006/relationships/hyperlink" Id="rId725" Target="https://shiny.marinesensitivity.org/aoi/" TargetMode="External" /><Relationship Type="http://schemas.openxmlformats.org/officeDocument/2006/relationships/hyperlink" Id="rId731" Target="https://shiny.marinesensitivity.org/bird_hotspots/" TargetMode="External" /><Relationship Type="http://schemas.openxmlformats.org/officeDocument/2006/relationships/hyperlink" Id="rId737" Target="https://shiny.marinesensitivity.org/map/" TargetMode="External" /><Relationship Type="http://schemas.openxmlformats.org/officeDocument/2006/relationships/hyperlink" Id="rId743" Target="https://shiny.marinesensitivity.org/scores/" TargetMode="External" /><Relationship Type="http://schemas.openxmlformats.org/officeDocument/2006/relationships/hyperlink" Id="rId754" Target="https://shiny.marinesensitivity.org/sdm-cog/" TargetMode="External" /><Relationship Type="http://schemas.openxmlformats.org/officeDocument/2006/relationships/hyperlink" Id="rId748" Target="https://shiny.marinesensitivity.org/sdm/" TargetMode="External" /><Relationship Type="http://schemas.openxmlformats.org/officeDocument/2006/relationships/hyperlink" Id="rId760" Target="https://shiny.marinesensitivity.org/vmap/" TargetMode="External" /><Relationship Type="http://schemas.openxmlformats.org/officeDocument/2006/relationships/hyperlink" Id="rId302" Target="https://shiny.posit.co" TargetMode="External" /><Relationship Type="http://schemas.openxmlformats.org/officeDocument/2006/relationships/hyperlink" Id="rId384" Target="https://shiny.posit.co/" TargetMode="External" /><Relationship Type="http://schemas.openxmlformats.org/officeDocument/2006/relationships/hyperlink" Id="rId463" Target="https://stacspec.org" TargetMode="External" /><Relationship Type="http://schemas.openxmlformats.org/officeDocument/2006/relationships/hyperlink" Id="rId386" Target="https://titiler.marinesensitivity.org" TargetMode="External" /><Relationship Type="http://schemas.openxmlformats.org/officeDocument/2006/relationships/hyperlink" Id="rId358" Target="https://us-east-1.console.aws.amazon.com/ec2/home?region=us-east-1#Addresses:" TargetMode="External" /><Relationship Type="http://schemas.openxmlformats.org/officeDocument/2006/relationships/hyperlink" Id="rId452" Target="https://varnish-cache.org" TargetMode="External" /><Relationship Type="http://schemas.openxmlformats.org/officeDocument/2006/relationships/hyperlink" Id="rId29" Target="https://www.aquamaps.org" TargetMode="External" /><Relationship Type="http://schemas.openxmlformats.org/officeDocument/2006/relationships/hyperlink" Id="rId30" Target="https://www.birdlife.org" TargetMode="External" /><Relationship Type="http://schemas.openxmlformats.org/officeDocument/2006/relationships/hyperlink" Id="rId28" Target="https://www.boem.gov/environment/environmental-studies/environmental-studies-information" TargetMode="External" /><Relationship Type="http://schemas.openxmlformats.org/officeDocument/2006/relationships/hyperlink" Id="rId597" Target="https://www.boem.gov/sites/default/files/environmental-stewardship/Environmental-Studies/Pacific-Region/Studies/BOEM-2018-031-Vol1.pdf" TargetMode="External" /><Relationship Type="http://schemas.openxmlformats.org/officeDocument/2006/relationships/hyperlink" Id="rId354" Target="https://www.docker.com/" TargetMode="External" /><Relationship Type="http://schemas.openxmlformats.org/officeDocument/2006/relationships/hyperlink" Id="rId32"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4" Target="https://www.fisheries.noaa.gov/topic/laws-policies#marine-mammal-protection-act" TargetMode="External" /><Relationship Type="http://schemas.openxmlformats.org/officeDocument/2006/relationships/hyperlink" Id="rId33" Target="https://www.fws.gov" TargetMode="External" /><Relationship Type="http://schemas.openxmlformats.org/officeDocument/2006/relationships/hyperlink" Id="rId192" Target="https://www.fws.gov/law/endangered-species-act" TargetMode="External" /><Relationship Type="http://schemas.openxmlformats.org/officeDocument/2006/relationships/hyperlink" Id="rId196" Target="https://www.fws.gov/law/migratory-bird-treaty-act-1918" TargetMode="External" /><Relationship Type="http://schemas.openxmlformats.org/officeDocument/2006/relationships/hyperlink" Id="rId174" Target="https://www.gbif.org" TargetMode="External" /><Relationship Type="http://schemas.openxmlformats.org/officeDocument/2006/relationships/hyperlink" Id="rId175" Target="https://www.itis.gov" TargetMode="External" /><Relationship Type="http://schemas.openxmlformats.org/officeDocument/2006/relationships/hyperlink" Id="rId31"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3" Target="https://www.marinespecies.org" TargetMode="External" /><Relationship Type="http://schemas.openxmlformats.org/officeDocument/2006/relationships/hyperlink" Id="rId294" Target="https://www.rplumber.io" TargetMode="External" /><Relationship Type="http://schemas.openxmlformats.org/officeDocument/2006/relationships/hyperlink" Id="rId444" Target="https://www.rplumber.io/" TargetMode="External" /><Relationship Type="http://schemas.openxmlformats.org/officeDocument/2006/relationships/hyperlink" Id="rId154" Target="https://www.seaturtlestatus.org/online-map-data" TargetMode="External" /><Relationship Type="http://schemas.openxmlformats.org/officeDocument/2006/relationships/hyperlink" Id="rId38" Target="https://www.whitehouse.gov/presidential-actions/2025/01/restoring-gold-standard-science-in-the-federal-government/" TargetMode="External" /><Relationship Type="http://schemas.openxmlformats.org/officeDocument/2006/relationships/hyperlink" Id="rId37" Target="releases.qmd" TargetMode="External" /><Relationship Type="http://schemas.openxmlformats.org/officeDocument/2006/relationships/hyperlink" Id="rId612" Target="scores.qmd" TargetMode="External" /><Relationship Type="http://schemas.openxmlformats.org/officeDocument/2006/relationships/hyperlink" Id="rId23" Target="scoring-walkthrough.qmd" TargetMode="External" /><Relationship Type="http://schemas.openxmlformats.org/officeDocument/2006/relationships/hyperlink" Id="rId61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2026-10-14T10:59:43Z</dcterms:created>
  <dcterms:modified xsi:type="dcterms:W3CDTF">2026-10-14T10:59:43Z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