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13.png" ContentType="image/png"/>
  <Override PartName="/word/media/rId112.png" ContentType="image/png"/>
  <Override PartName="/word/media/rId52.png" ContentType="image/png"/>
  <Override PartName="/word/media/rId425.png" ContentType="image/png"/>
  <Override PartName="/word/media/rId460.png" ContentType="image/png"/>
  <Override PartName="/word/media/rId483.png" ContentType="image/png"/>
  <Override PartName="/word/media/rId488.png" ContentType="image/png"/>
  <Override PartName="/word/media/rId493.png" ContentType="image/png"/>
  <Override PartName="/word/media/rId498.png" ContentType="image/png"/>
  <Override PartName="/word/media/rId503.png" ContentType="image/png"/>
  <Override PartName="/word/media/rId508.png" ContentType="image/png"/>
  <Override PartName="/word/media/rId513.png" ContentType="image/png"/>
  <Override PartName="/word/media/rId518.png" ContentType="image/png"/>
  <Override PartName="/word/media/rId523.png" ContentType="image/png"/>
  <Override PartName="/word/media/rId528.png" ContentType="image/png"/>
  <Override PartName="/word/media/rId533.png" ContentType="image/png"/>
  <Override PartName="/word/media/rId539.png" ContentType="image/png"/>
  <Override PartName="/word/media/rId544.png" ContentType="image/png"/>
  <Override PartName="/word/media/rId549.png" ContentType="image/png"/>
  <Override PartName="/word/media/rId554.png" ContentType="image/png"/>
  <Override PartName="/word/media/rId559.png" ContentType="image/png"/>
  <Override PartName="/word/media/rId728.png" ContentType="image/png"/>
  <Override PartName="/word/media/rId734.png" ContentType="image/png"/>
  <Override PartName="/word/media/rId740.png" ContentType="image/png"/>
  <Override PartName="/word/media/rId696.png" ContentType="image/png"/>
  <Override PartName="/word/media/rId692.png" ContentType="image/png"/>
  <Override PartName="/word/media/rId745.png" ContentType="image/png"/>
  <Override PartName="/word/media/rId757.png" ContentType="image/png"/>
  <Override PartName="/word/media/rId751.png" ContentType="image/png"/>
  <Override PartName="/word/media/rId712.png" ContentType="image/png"/>
  <Override PartName="/word/media/rId763.png" ContentType="image/png"/>
  <Override PartName="/word/media/rId264.png" ContentType="image/png"/>
  <Override PartName="/word/media/rId286.png" ContentType="image/png"/>
  <Override PartName="/word/media/rId345.png" ContentType="image/png"/>
  <Override PartName="/word/media/rId121.png" ContentType="image/png"/>
  <Override PartName="/word/media/rId16.svg" ContentType="image/svg+xml"/>
  <Override PartName="/word/media/rId388.png" ContentType="image/png"/>
  <Override PartName="/word/media/rId393.png" ContentType="image/png"/>
  <Override PartName="/word/media/rId381.png" ContentType="image/png"/>
  <Override PartName="/word/media/rId269.png" ContentType="image/png"/>
  <Override PartName="/word/media/rId273.png" ContentType="image/png"/>
  <Override PartName="/word/media/rId166.jpg" ContentType="image/jpeg"/>
  <Override PartName="/word/media/rId644.png" ContentType="image/png"/>
  <Override PartName="/word/media/rId660.png" ContentType="image/png"/>
  <Override PartName="/word/media/rId630.png" ContentType="image/png"/>
  <Override PartName="/word/media/rId615.png" ContentType="image/png"/>
  <Override PartName="/word/media/rId640.png" ContentType="image/png"/>
  <Override PartName="/word/media/rId673.png" ContentType="image/png"/>
  <Override PartName="/word/media/rId669.png" ContentType="image/png"/>
  <Override PartName="/word/media/rId651.png" ContentType="image/png"/>
  <Override PartName="/word/media/rId655.png" ContentType="image/png"/>
  <Override PartName="/word/media/rId635.png" ContentType="image/png"/>
  <Override PartName="/word/media/rId664.png" ContentType="image/png"/>
  <Override PartName="/word/media/rId682.png" ContentType="image/png"/>
  <Override PartName="/word/media/rId619.png" ContentType="image/png"/>
  <Override PartName="/word/media/rId623.png" ContentType="image/png"/>
  <Override PartName="/word/media/rId9.svg" ContentType="image/svg+xml"/>
  <Override PartName="/word/media/rId39.png" ContentType="image/png"/>
  <Override PartName="/word/media/rId12.png" ContentType="image/png"/>
  <Override PartName="/word/media/rId19.png" ContentType="image/png"/>
  <Override PartName="/word/media/rId45.png" ContentType="image/png"/>
  <Override PartName="/word/media/rId219.png" ContentType="image/png"/>
  <Override PartName="/word/media/rId306.png" ContentType="image/png"/>
  <Override PartName="/word/media/rId298.png" ContentType="image/png"/>
  <Override PartName="/word/media/rId323.png" ContentType="image/png"/>
  <Override PartName="/word/media/rId318.png" ContentType="image/png"/>
  <Override PartName="/word/media/rId3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16,153 species distribution models with extinction risk assessments across US waters (9,230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4"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FirstParagraph"/>
      </w:pPr>
      <w:r>
        <w:t xml:space="preserve">Both render</w:t>
      </w:r>
      <w:r>
        <w:t xml:space="preserve"> </w:t>
      </w:r>
      <w:r>
        <w:rPr>
          <w:b/>
          <w:bCs/>
        </w:rPr>
        <w:t xml:space="preserve">any published release</w:t>
      </w:r>
      <w:r>
        <w:t xml:space="preserve">: substitute the version in the URL path (e.g. </w:t>
      </w:r>
      <w:r>
        <w:rPr>
          <w:rStyle w:val="VerbatimChar"/>
        </w:rPr>
        <w:t xml:space="preserve">/v3/scores/</w:t>
      </w:r>
      <w:r>
        <w:t xml:space="preserve">) to view that one; an older</w:t>
      </w:r>
      <w:r>
        <w:t xml:space="preserve"> </w:t>
      </w:r>
      <w:r>
        <w:rPr>
          <w:rStyle w:val="VerbatimChar"/>
        </w:rPr>
        <w:t xml:space="preserve">?ver=v3</w:t>
      </w:r>
      <w:r>
        <w:t xml:space="preserve"> </w:t>
      </w:r>
      <w:r>
        <w:t xml:space="preserve">link still resolves, 301’d to the equivalent path.</w:t>
      </w:r>
    </w:p>
    <w:p>
      <w:pPr>
        <w:pStyle w:val="Compact"/>
        <w:numPr>
          <w:ilvl w:val="0"/>
          <w:numId w:val="1002"/>
        </w:numPr>
      </w:pPr>
      <w:hyperlink r:id="rId23">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4"/>
    <w:bookmarkStart w:id="25"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5"/>
    <w:bookmarkStart w:id="27"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6">
        <w:r>
          <w:rPr>
            <w:rStyle w:val="Hyperlink"/>
          </w:rPr>
          <w:t xml:space="preserve">https://marinesensitivity.org/docs/</w:t>
        </w:r>
      </w:hyperlink>
    </w:p>
    <w:bookmarkEnd w:id="27"/>
    <w:bookmarkStart w:id="34" w:name="acknowledgments"/>
    <w:p>
      <w:pPr>
        <w:pStyle w:val="Heading3"/>
      </w:pPr>
      <w:r>
        <w:t xml:space="preserve">Acknowledgments</w:t>
      </w:r>
    </w:p>
    <w:p>
      <w:pPr>
        <w:pStyle w:val="FirstParagraph"/>
      </w:pPr>
      <w:r>
        <w:t xml:space="preserve">This work is funded by the</w:t>
      </w:r>
      <w:r>
        <w:t xml:space="preserve"> </w:t>
      </w:r>
      <w:hyperlink r:id="rId28">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29">
        <w:r>
          <w:rPr>
            <w:rStyle w:val="Hyperlink"/>
          </w:rPr>
          <w:t xml:space="preserve">AquaMaps</w:t>
        </w:r>
      </w:hyperlink>
      <w:r>
        <w:t xml:space="preserve">,</w:t>
      </w:r>
      <w:r>
        <w:t xml:space="preserve"> </w:t>
      </w:r>
      <w:hyperlink r:id="rId30">
        <w:r>
          <w:rPr>
            <w:rStyle w:val="Hyperlink"/>
          </w:rPr>
          <w:t xml:space="preserve">BirdLife International</w:t>
        </w:r>
      </w:hyperlink>
      <w:r>
        <w:t xml:space="preserve">,</w:t>
      </w:r>
      <w:r>
        <w:t xml:space="preserve"> </w:t>
      </w:r>
      <w:hyperlink r:id="rId31">
        <w:r>
          <w:rPr>
            <w:rStyle w:val="Hyperlink"/>
          </w:rPr>
          <w:t xml:space="preserve">IUCN Red List</w:t>
        </w:r>
      </w:hyperlink>
      <w:r>
        <w:t xml:space="preserve">,</w:t>
      </w:r>
      <w:r>
        <w:t xml:space="preserve"> </w:t>
      </w:r>
      <w:hyperlink r:id="rId32">
        <w:r>
          <w:rPr>
            <w:rStyle w:val="Hyperlink"/>
          </w:rPr>
          <w:t xml:space="preserve">NOAA Fisheries</w:t>
        </w:r>
      </w:hyperlink>
      <w:r>
        <w:t xml:space="preserve">, and</w:t>
      </w:r>
      <w:r>
        <w:t xml:space="preserve"> </w:t>
      </w:r>
      <w:hyperlink r:id="rId33">
        <w:r>
          <w:rPr>
            <w:rStyle w:val="Hyperlink"/>
          </w:rPr>
          <w:t xml:space="preserve">U.S. Fish &amp; Wildlife Service</w:t>
        </w:r>
      </w:hyperlink>
      <w:r>
        <w:t xml:space="preserve">.</w:t>
      </w:r>
    </w:p>
    <w:bookmarkEnd w:id="34"/>
    <w:bookmarkEnd w:id="35"/>
    <w:bookmarkStart w:id="48"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6">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v7</w:t>
      </w:r>
      <w:r>
        <w:t xml:space="preserve">, which integrates</w:t>
      </w:r>
      <w:r>
        <w:t xml:space="preserve"> </w:t>
      </w:r>
      <w:r>
        <w:rPr>
          <w:b/>
          <w:bCs/>
        </w:rPr>
        <w:t xml:space="preserve">16,153 valid marine species</w:t>
      </w:r>
      <w:r>
        <w:t xml:space="preserve"> </w:t>
      </w:r>
      <w:r>
        <w:t xml:space="preserve">across</w:t>
      </w:r>
      <w:r>
        <w:t xml:space="preserve"> </w:t>
      </w:r>
      <w:r>
        <w:rPr>
          <w:b/>
          <w:bCs/>
        </w:rPr>
        <w:t xml:space="preserve">8 source datasets</w:t>
      </w:r>
      <w:r>
        <w:t xml:space="preserve"> </w:t>
      </w:r>
      <w:r>
        <w:t xml:space="preserve">on a 0.05° grid (~4 km cells) covering the US Exclusive Economic Zone study area; of these,</w:t>
      </w:r>
      <w:r>
        <w:t xml:space="preserve"> </w:t>
      </w:r>
      <w:r>
        <w:rPr>
          <w:b/>
          <w:bCs/>
        </w:rPr>
        <w:t xml:space="preserve">9,230</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7">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38">
        <w:r>
          <w:rPr>
            <w:rStyle w:val="Hyperlink"/>
          </w:rPr>
          <w:t xml:space="preserve">Executive Order 14303</w:t>
        </w:r>
      </w:hyperlink>
      <w:r>
        <w:t xml:space="preserve">, we aim to provide a transparent and reproducible process that can be regularly updated as new data and methods become available.</w:t>
      </w:r>
    </w:p>
    <w:bookmarkStart w:id="47"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8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2" w:name="fig-process"/>
          <w:p>
            <w:pPr>
              <w:jc w:val="center"/>
            </w:pPr>
            <w:r>
              <w:drawing>
                <wp:inline>
                  <wp:extent cx="5334000" cy="1315720"/>
                  <wp:effectExtent b="0" l="0" r="0" t="0"/>
                  <wp:docPr descr="" title="" id="40" name="Picture"/>
                  <a:graphic>
                    <a:graphicData uri="http://schemas.openxmlformats.org/drawingml/2006/picture">
                      <pic:pic>
                        <pic:nvPicPr>
                          <pic:cNvPr descr="intro_files/figure-docx/mermaid-figure-2.png" id="41" name="Picture"/>
                          <pic:cNvPicPr>
                            <a:picLocks noChangeArrowheads="1" noChangeAspect="1"/>
                          </pic:cNvPicPr>
                        </pic:nvPicPr>
                        <pic:blipFill>
                          <a:blip r:embed="rId39"/>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2"/>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6" w:name="fig-overview"/>
          <w:p>
            <w:pPr>
              <w:pStyle w:val="Compact"/>
              <w:jc w:val="center"/>
            </w:pPr>
            <w:r>
              <w:drawing>
                <wp:inline>
                  <wp:extent cx="5334000" cy="3030681"/>
                  <wp:effectExtent b="0" l="0" r="0" t="0"/>
                  <wp:docPr descr="" title="" id="43" name="Picture"/>
                  <a:graphic>
                    <a:graphicData uri="http://schemas.openxmlformats.org/drawingml/2006/picture">
                      <pic:pic>
                        <pic:nvPicPr>
                          <pic:cNvPr descr="figures/overview-methods.svg" id="44" name="Picture"/>
                          <pic:cNvPicPr>
                            <a:picLocks noChangeArrowheads="1" noChangeAspect="1"/>
                          </pic:cNvPicPr>
                        </pic:nvPicPr>
                        <pic:blipFill>
                          <a:blip r:embed="rId4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6"/>
        </w:tc>
      </w:tr>
    </w:tbl>
    <w:bookmarkEnd w:id="47"/>
    <w:bookmarkEnd w:id="48"/>
    <w:bookmarkStart w:id="87"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v7</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v7 — Validity decoupled from Program Areas</w:t>
            </w:r>
          </w:p>
        </w:tc>
      </w:tr>
      <w:tr>
        <w:trPr>
          <w:cantSplit/>
        </w:trPr>
        <w:tc>
          <w:tcPr>
            <w:tcMar>
              <w:top w:w="108" w:type="dxa"/>
              <w:bottom w:w="108" w:type="dxa"/>
            </w:tcMar>
          </w:tcPr>
          <w:p>
            <w:pPr>
              <w:pStyle w:val="BodyText"/>
            </w:pPr>
            <w:pPr>
              <w:spacing w:before="16" w:after="16"/>
            </w:pPr>
            <w:r>
              <w:t xml:space="preserve">Released 2026-06-12. This is the promoted release.</w:t>
            </w:r>
          </w:p>
          <w:p/>
        </w:tc>
      </w:tr>
    </w:tbl>
    <w:bookmarkStart w:id="56"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1"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rPr>
                      <w:b/>
                      <w:bCs/>
                    </w:rP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1"/>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5"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5"/>
          <w:p/>
        </w:tc>
      </w:tr>
    </w:tbl>
    <w:bookmarkEnd w:id="56"/>
    <w:bookmarkStart w:id="83"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3"/>
    <w:bookmarkStart w:id="86"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w:t>
      </w:r>
      <w:r>
        <w:t xml:space="preserve"> </w:t>
      </w:r>
      <w:hyperlink r:id="rId84">
        <w:r>
          <w:rPr>
            <w:rStyle w:val="VerbatimChar"/>
          </w:rPr>
          <w:t xml:space="preserve">/v3/scores/</w:t>
        </w:r>
      </w:hyperlink>
      <w:r>
        <w:t xml:space="preserve"> </w:t>
      </w:r>
      <w:r>
        <w:t xml:space="preserve">and</w:t>
      </w:r>
      <w:r>
        <w:t xml:space="preserve"> </w:t>
      </w:r>
      <w:hyperlink r:id="rId85">
        <w:r>
          <w:rPr>
            <w:rStyle w:val="VerbatimChar"/>
          </w:rPr>
          <w:t xml:space="preserve">/v3/species/</w:t>
        </w:r>
      </w:hyperlink>
      <w:r>
        <w:t xml:space="preserve">, substituting any published version in the path. The per-version application forks are retired; their old URLs 301 to the equivalent path, so links printed in earlier reports — including an older</w:t>
      </w:r>
      <w:r>
        <w:t xml:space="preserve"> </w:t>
      </w:r>
      <w:r>
        <w:rPr>
          <w:rStyle w:val="VerbatimChar"/>
        </w:rPr>
        <w:t xml:space="preserve">?ver=v3</w:t>
      </w:r>
      <w:r>
        <w:t xml:space="preserve"> </w:t>
      </w:r>
      <w:r>
        <w:t xml:space="preserve">deep link —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6"/>
    <w:bookmarkEnd w:id="87"/>
    <w:bookmarkStart w:id="108"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3"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0"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0"/>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1"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1"/>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2"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2"/>
    <w:bookmarkEnd w:id="93"/>
    <w:bookmarkStart w:id="94"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4"/>
    <w:bookmarkStart w:id="97"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5"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5"/>
    <w:bookmarkStart w:id="96"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6"/>
    <w:bookmarkEnd w:id="97"/>
    <w:bookmarkStart w:id="98"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8"/>
    <w:bookmarkStart w:id="102"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2"/>
    <w:bookmarkStart w:id="105"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quarto/share/formats/docx/note.png" id="10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5"/>
    <w:bookmarkStart w:id="106"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6"/>
    <w:bookmarkStart w:id="107"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7"/>
    <w:bookmarkEnd w:id="108"/>
    <w:bookmarkStart w:id="111"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1"/>
    <w:bookmarkStart w:id="127"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quarto/share/formats/docx/tip.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3">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6"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5"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5"/>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6"/>
    <w:bookmarkStart w:id="118"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7"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7"/>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8"/>
    <w:bookmarkStart w:id="119"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16,153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19"/>
    <w:bookmarkStart w:id="126"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0"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0"/>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5"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4" w:name="fig-map-ecoregions-science"/>
          <w:p>
            <w:pPr>
              <w:pStyle w:val="Compact"/>
              <w:jc w:val="center"/>
            </w:pPr>
            <w:r>
              <w:drawing>
                <wp:inline>
                  <wp:extent cx="5334000" cy="3182620"/>
                  <wp:effectExtent b="0" l="0" r="0" t="0"/>
                  <wp:docPr descr="" title="" id="122" name="Picture"/>
                  <a:graphic>
                    <a:graphicData uri="http://schemas.openxmlformats.org/drawingml/2006/picture">
                      <pic:pic>
                        <pic:nvPicPr>
                          <pic:cNvPr descr="figures/map-ecoregions-static.png" id="123" name="Picture"/>
                          <pic:cNvPicPr>
                            <a:picLocks noChangeArrowheads="1" noChangeAspect="1"/>
                          </pic:cNvPicPr>
                        </pic:nvPicPr>
                        <pic:blipFill>
                          <a:blip r:embed="rId121"/>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24"/>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5"/>
    <w:bookmarkEnd w:id="126"/>
    <w:bookmarkEnd w:id="127"/>
    <w:bookmarkStart w:id="171"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8 source datasets</w:t>
      </w:r>
      <w:r>
        <w:t xml:space="preserve">, though not in equal measure —</w:t>
      </w:r>
      <w:r>
        <w:t xml:space="preserve"> </w:t>
      </w:r>
      <w:r>
        <w:rPr>
          <w:rStyle w:val="VerbatimChar"/>
        </w:rPr>
        <w:t xml:space="preserve">am_0.05</w:t>
      </w:r>
      <w:r>
        <w:t xml:space="preserve"> </w:t>
      </w:r>
      <w:r>
        <w:t xml:space="preserve">alone supplies the distribution of 97%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v7</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3"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0" w:name="tbl-datasets"/>
          <w:p>
            <w:pPr>
              <w:jc w:val="center"/>
            </w:pPr>
            <w:pPr>
              <w:jc w:val="left"/>
              <w:spacing w:before="200"/>
              <w:pStyle w:val="ImageCaption"/>
            </w:pPr>
            <w:r>
              <w:t xml:space="preserve">Table 6.1: Source datasets in v7,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1742"/>
              <w:gridCol w:w="1742"/>
              <w:gridCol w:w="2930"/>
              <w:gridCol w:w="475"/>
              <w:gridCol w:w="554"/>
              <w:gridCol w:w="475"/>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am_0.05</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15,665</w:t>
                  </w:r>
                </w:p>
              </w:tc>
              <w:tc>
                <w:tcPr/>
                <w:p>
                  <w:pPr>
                    <w:pStyle w:val="Compact"/>
                    <w:jc w:val="right"/>
                    <w:jc w:val="center"/>
                  </w:pPr>
                  <w:r>
                    <w:t xml:space="preserve">97.0%</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26</w:t>
                  </w:r>
                </w:p>
              </w:tc>
              <w:tc>
                <w:tcPr/>
                <w:p>
                  <w:pPr>
                    <w:pStyle w:val="Compact"/>
                    <w:jc w:val="right"/>
                    <w:jc w:val="center"/>
                  </w:pPr>
                  <w:r>
                    <w:t xml:space="preserve">0.2%</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21</w:t>
                  </w:r>
                </w:p>
              </w:tc>
              <w:tc>
                <w:tcPr/>
                <w:p>
                  <w:pPr>
                    <w:pStyle w:val="Compact"/>
                    <w:jc w:val="right"/>
                    <w:jc w:val="center"/>
                  </w:pPr>
                  <w:r>
                    <w:t xml:space="preserve">0.1%</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70</w:t>
                  </w:r>
                </w:p>
              </w:tc>
              <w:tc>
                <w:tcPr/>
                <w:p>
                  <w:pPr>
                    <w:pStyle w:val="Compact"/>
                    <w:jc w:val="right"/>
                    <w:jc w:val="center"/>
                  </w:pPr>
                  <w:r>
                    <w:t xml:space="preserve">0.4%</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441</w:t>
                  </w:r>
                </w:p>
              </w:tc>
              <w:tc>
                <w:tcPr/>
                <w:p>
                  <w:pPr>
                    <w:pStyle w:val="Compact"/>
                    <w:jc w:val="right"/>
                    <w:jc w:val="center"/>
                  </w:pPr>
                  <w:r>
                    <w:t xml:space="preserve">2.7%</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2,619</w:t>
                  </w:r>
                </w:p>
              </w:tc>
              <w:tc>
                <w:tcPr/>
                <w:p>
                  <w:pPr>
                    <w:pStyle w:val="Compact"/>
                    <w:jc w:val="right"/>
                    <w:jc w:val="center"/>
                  </w:pPr>
                  <w:r>
                    <w:t xml:space="preserve">16.2%</w:t>
                  </w:r>
                </w:p>
              </w:tc>
            </w:tr>
            <w:tr>
              <w:tc>
                <w:tcPr/>
                <w:p>
                  <w:pPr>
                    <w:pStyle w:val="Compact"/>
                    <w:jc w:val="left"/>
                    <w:jc w:val="center"/>
                  </w:pPr>
                  <w:r>
                    <w:rPr>
                      <w:rStyle w:val="VerbatimChar"/>
                    </w:rPr>
                    <w:t xml:space="preserve">rng_turtle_swot_dps</w:t>
                  </w:r>
                </w:p>
              </w:tc>
              <w:tc>
                <w:tcPr/>
                <w:p>
                  <w:pPr>
                    <w:pStyle w:val="Compact"/>
                    <w:jc w:val="left"/>
                    <w:jc w:val="center"/>
                  </w:pPr>
                  <w:r>
                    <w:t xml:space="preserve">SWOT+DPS Turtle Range</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6</w:t>
                  </w:r>
                </w:p>
              </w:tc>
              <w:tc>
                <w:tcPr/>
                <w:p>
                  <w:pPr>
                    <w:pStyle w:val="Compact"/>
                    <w:jc w:val="right"/>
                    <w:jc w:val="center"/>
                  </w:pPr>
                  <w:r>
                    <w:t xml:space="preserve">&lt;0.1%</w:t>
                  </w:r>
                </w:p>
              </w:tc>
            </w:tr>
          </w:tbl>
          <w:bookmarkEnd w:id="130"/>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Applications/quarto/share/formats/docx/important.png" id="132"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am_0.05</w:t>
            </w:r>
            <w:r>
              <w:t xml:space="preserve"> </w:t>
            </w:r>
            <w:r>
              <w:t xml:space="preserve">(15,665),</w:t>
            </w:r>
            <w:r>
              <w:t xml:space="preserve"> </w:t>
            </w:r>
            <w:r>
              <w:rPr>
                <w:rStyle w:val="VerbatimChar"/>
              </w:rPr>
              <w:t xml:space="preserve">bl</w:t>
            </w:r>
            <w:r>
              <w:t xml:space="preserve"> </w:t>
            </w:r>
            <w:r>
              <w:t xml:space="preserve">(441),</w:t>
            </w:r>
            <w:r>
              <w:t xml:space="preserve"> </w:t>
            </w:r>
            <w:r>
              <w:rPr>
                <w:rStyle w:val="VerbatimChar"/>
              </w:rPr>
              <w:t xml:space="preserve">rng_iucn</w:t>
            </w:r>
            <w:r>
              <w:t xml:space="preserve"> </w:t>
            </w:r>
            <w:r>
              <w:t xml:space="preserve">(2,619)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(26),</w:t>
            </w:r>
            <w:r>
              <w:t xml:space="preserve"> </w:t>
            </w:r>
            <w:r>
              <w:rPr>
                <w:rStyle w:val="VerbatimChar"/>
              </w:rPr>
              <w:t xml:space="preserve">ch_fws</w:t>
            </w:r>
            <w:r>
              <w:t xml:space="preserve"> </w:t>
            </w:r>
            <w:r>
              <w:t xml:space="preserve">(21),</w:t>
            </w:r>
            <w:r>
              <w:t xml:space="preserve"> </w:t>
            </w:r>
            <w:r>
              <w:rPr>
                <w:rStyle w:val="VerbatimChar"/>
              </w:rPr>
              <w:t xml:space="preserve">rng_fws</w:t>
            </w:r>
            <w:r>
              <w:t xml:space="preserve"> </w:t>
            </w:r>
            <w:r>
              <w:t xml:space="preserve">(70),</w:t>
            </w:r>
            <w:r>
              <w:t xml:space="preserve"> </w:t>
            </w:r>
            <w:r>
              <w:rPr>
                <w:rStyle w:val="VerbatimChar"/>
              </w:rPr>
              <w:t xml:space="preserve">rng_turtle_swot_dps</w:t>
            </w:r>
            <w:r>
              <w:t xml:space="preserve"> </w:t>
            </w:r>
            <w:r>
              <w:t xml:space="preserve">(6)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p>
      <w:pPr>
        <w:pStyle w:val="BodyText"/>
      </w:pPr>
      <w:r>
        <w:t xml:space="preserve">In v7 the merged model covers</w:t>
      </w:r>
      <w:r>
        <w:t xml:space="preserve"> </w:t>
      </w:r>
      <w:r>
        <w:rPr>
          <w:b/>
          <w:bCs/>
        </w:rPr>
        <w:t xml:space="preserve">9,424</w:t>
      </w:r>
      <w:r>
        <w:t xml:space="preserve"> </w:t>
      </w:r>
      <w:r>
        <w:t xml:space="preserve">of the 16,153 valid species (58%). The remainder carry a single source model directly — this release merges only where a taxon has more than one contributing dataset, so most species are scored straight from their source.</w:t>
      </w:r>
    </w:p>
    <w:bookmarkEnd w:id="133"/>
    <w:bookmarkStart w:id="156" w:name="the-sources"/>
    <w:p>
      <w:pPr>
        <w:pStyle w:val="Heading2"/>
      </w:pPr>
      <w:r>
        <w:t xml:space="preserve">6.2 The sources</w:t>
      </w:r>
    </w:p>
    <w:bookmarkStart w:id="136" w:name="aquamaps-sdm-am_0.05"/>
    <w:p>
      <w:pPr>
        <w:pStyle w:val="Heading3"/>
      </w:pPr>
      <w:r>
        <w:t xml:space="preserve">6.2.1 AquaMaps SDM (</w:t>
      </w:r>
      <w:r>
        <w:rPr>
          <w:rStyle w:val="VerbatimChar"/>
        </w:rPr>
        <w:t xml:space="preserve">am_0.05</w:t>
      </w:r>
      <w:r>
        <w:t xml:space="preserve">)</w:t>
      </w:r>
    </w:p>
    <w:p>
      <w:pPr>
        <w:pStyle w:val="FirstParagraph"/>
      </w:pPr>
      <w:r>
        <w:t xml:space="preserve">AquaMaps species distribution models downscaled from 0.5° to 0.05° cells</w:t>
      </w:r>
    </w:p>
    <w:p>
      <w:pPr>
        <w:pStyle w:val="Compact"/>
        <w:numPr>
          <w:ilvl w:val="0"/>
          <w:numId w:val="1011"/>
        </w:numPr>
      </w:pPr>
      <w:r>
        <w:rPr>
          <w:b/>
          <w:bCs/>
        </w:rPr>
        <w:t xml:space="preserve">Models</w:t>
      </w:r>
      <w:r>
        <w:t xml:space="preserve">: 17,550</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Coverage</w:t>
      </w:r>
      <w:r>
        <w:t xml:space="preserve">: Global</w:t>
      </w:r>
    </w:p>
    <w:p>
      <w:pPr>
        <w:pStyle w:val="Compact"/>
        <w:numPr>
          <w:ilvl w:val="0"/>
          <w:numId w:val="1011"/>
        </w:numPr>
      </w:pPr>
      <w:r>
        <w:rPr>
          <w:b/>
          <w:bCs/>
        </w:rPr>
        <w:t xml:space="preserve">Taxa</w:t>
      </w:r>
      <w:r>
        <w:t xml:space="preserve">: all taxa, except birds</w:t>
      </w:r>
    </w:p>
    <w:p>
      <w:pPr>
        <w:pStyle w:val="Compact"/>
        <w:numPr>
          <w:ilvl w:val="0"/>
          <w:numId w:val="1011"/>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29">
        <w:r>
          <w:rPr>
            <w:rStyle w:val="Hyperlink"/>
          </w:rPr>
          <w:t xml:space="preserve">Source</w:t>
        </w:r>
      </w:hyperlink>
      <w:r>
        <w:t xml:space="preserve"> </w:t>
      </w:r>
      <w:r>
        <w:t xml:space="preserve">·</w:t>
      </w:r>
      <w:r>
        <w:t xml:space="preserve"> </w:t>
      </w:r>
      <w:hyperlink r:id="rId134">
        <w:r>
          <w:rPr>
            <w:rStyle w:val="Hyperlink"/>
          </w:rPr>
          <w:t xml:space="preserve">Download</w:t>
        </w:r>
      </w:hyperlink>
      <w:r>
        <w:t xml:space="preserve"> </w:t>
      </w:r>
      <w:r>
        <w:t xml:space="preserve">·</w:t>
      </w:r>
      <w:r>
        <w:t xml:space="preserve"> </w:t>
      </w:r>
      <w:hyperlink r:id="rId135">
        <w:r>
          <w:rPr>
            <w:rStyle w:val="Hyperlink"/>
          </w:rPr>
          <w:t xml:space="preserve">Metadata</w:t>
        </w:r>
      </w:hyperlink>
    </w:p>
    <w:bookmarkEnd w:id="136"/>
    <w:bookmarkStart w:id="139" w:name="nmfs-core-area-ca_nmfs"/>
    <w:p>
      <w:pPr>
        <w:pStyle w:val="Heading3"/>
      </w:pPr>
      <w:r>
        <w:t xml:space="preserve">6.2.2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2"/>
        </w:numPr>
      </w:pPr>
      <w:r>
        <w:rPr>
          <w:b/>
          <w:bCs/>
        </w:rPr>
        <w:t xml:space="preserve">Models</w:t>
      </w:r>
      <w:r>
        <w:t xml:space="preserve">: 1</w:t>
      </w:r>
    </w:p>
    <w:p>
      <w:pPr>
        <w:pStyle w:val="Compact"/>
        <w:numPr>
          <w:ilvl w:val="0"/>
          <w:numId w:val="1012"/>
        </w:numPr>
      </w:pPr>
      <w:r>
        <w:rPr>
          <w:b/>
          <w:bCs/>
        </w:rPr>
        <w:t xml:space="preserve">Response</w:t>
      </w:r>
      <w:r>
        <w:t xml:space="preserve">: binary</w:t>
      </w:r>
    </w:p>
    <w:p>
      <w:pPr>
        <w:pStyle w:val="Compact"/>
        <w:numPr>
          <w:ilvl w:val="0"/>
          <w:numId w:val="1012"/>
        </w:numPr>
      </w:pPr>
      <w:r>
        <w:rPr>
          <w:b/>
          <w:bCs/>
        </w:rPr>
        <w:t xml:space="preserve">Cell values</w:t>
      </w:r>
      <w:r>
        <w:t xml:space="preserve">: Core: 100</w:t>
      </w:r>
    </w:p>
    <w:p>
      <w:pPr>
        <w:pStyle w:val="Compact"/>
        <w:numPr>
          <w:ilvl w:val="0"/>
          <w:numId w:val="1012"/>
        </w:numPr>
      </w:pPr>
      <w:r>
        <w:rPr>
          <w:b/>
          <w:bCs/>
        </w:rPr>
        <w:t xml:space="preserve">Coverage</w:t>
      </w:r>
      <w:r>
        <w:t xml:space="preserve">: USA</w:t>
      </w:r>
    </w:p>
    <w:p>
      <w:pPr>
        <w:pStyle w:val="Compact"/>
        <w:numPr>
          <w:ilvl w:val="0"/>
          <w:numId w:val="1012"/>
        </w:numPr>
      </w:pPr>
      <w:r>
        <w:rPr>
          <w:b/>
          <w:bCs/>
        </w:rPr>
        <w:t xml:space="preserve">Taxa</w:t>
      </w:r>
      <w:r>
        <w:t xml:space="preserve">: cetaceans</w:t>
      </w:r>
    </w:p>
    <w:p>
      <w:pPr>
        <w:pStyle w:val="Compact"/>
        <w:numPr>
          <w:ilvl w:val="0"/>
          <w:numId w:val="1012"/>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37">
        <w:r>
          <w:rPr>
            <w:rStyle w:val="Hyperlink"/>
          </w:rPr>
          <w:t xml:space="preserve">Source</w:t>
        </w:r>
      </w:hyperlink>
      <w:r>
        <w:t xml:space="preserve"> </w:t>
      </w:r>
      <w:r>
        <w:t xml:space="preserve">·</w:t>
      </w:r>
      <w:r>
        <w:t xml:space="preserve"> </w:t>
      </w:r>
      <w:hyperlink r:id="rId138">
        <w:r>
          <w:rPr>
            <w:rStyle w:val="Hyperlink"/>
          </w:rPr>
          <w:t xml:space="preserve">Download</w:t>
        </w:r>
      </w:hyperlink>
    </w:p>
    <w:bookmarkEnd w:id="139"/>
    <w:bookmarkStart w:id="143" w:name="nmfs-critical-habitat-ch_nmfs"/>
    <w:p>
      <w:pPr>
        <w:pStyle w:val="Heading3"/>
      </w:pPr>
      <w:r>
        <w:t xml:space="preserve">6.2.3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3"/>
        </w:numPr>
      </w:pPr>
      <w:r>
        <w:rPr>
          <w:b/>
          <w:bCs/>
        </w:rPr>
        <w:t xml:space="preserve">Models</w:t>
      </w:r>
      <w:r>
        <w:t xml:space="preserve">: 34</w:t>
      </w:r>
    </w:p>
    <w:p>
      <w:pPr>
        <w:pStyle w:val="Compact"/>
        <w:numPr>
          <w:ilvl w:val="0"/>
          <w:numId w:val="1013"/>
        </w:numPr>
      </w:pPr>
      <w:r>
        <w:rPr>
          <w:b/>
          <w:bCs/>
        </w:rPr>
        <w:t xml:space="preserve">Response</w:t>
      </w:r>
      <w:r>
        <w:t xml:space="preserve">: binary</w:t>
      </w:r>
    </w:p>
    <w:p>
      <w:pPr>
        <w:pStyle w:val="Compact"/>
        <w:numPr>
          <w:ilvl w:val="0"/>
          <w:numId w:val="1013"/>
        </w:numPr>
      </w:pPr>
      <w:r>
        <w:rPr>
          <w:b/>
          <w:bCs/>
        </w:rPr>
        <w:t xml:space="preserve">Cell values</w:t>
      </w:r>
      <w:r>
        <w:t xml:space="preserve">: EN:100, TN:50</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all taxa</w:t>
      </w:r>
    </w:p>
    <w:p>
      <w:pPr>
        <w:pStyle w:val="Compact"/>
        <w:numPr>
          <w:ilvl w:val="0"/>
          <w:numId w:val="101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0">
        <w:r>
          <w:rPr>
            <w:rStyle w:val="Hyperlink"/>
          </w:rPr>
          <w:t xml:space="preserve">Source</w:t>
        </w:r>
      </w:hyperlink>
      <w:r>
        <w:t xml:space="preserve"> </w:t>
      </w:r>
      <w:r>
        <w:t xml:space="preserve">·</w:t>
      </w:r>
      <w:r>
        <w:t xml:space="preserve"> </w:t>
      </w:r>
      <w:hyperlink r:id="rId141">
        <w:r>
          <w:rPr>
            <w:rStyle w:val="Hyperlink"/>
          </w:rPr>
          <w:t xml:space="preserve">Download</w:t>
        </w:r>
      </w:hyperlink>
      <w:r>
        <w:t xml:space="preserve"> </w:t>
      </w:r>
      <w:r>
        <w:t xml:space="preserve">·</w:t>
      </w:r>
      <w:r>
        <w:t xml:space="preserve"> </w:t>
      </w:r>
      <w:hyperlink r:id="rId142">
        <w:r>
          <w:rPr>
            <w:rStyle w:val="Hyperlink"/>
          </w:rPr>
          <w:t xml:space="preserve">Metadata</w:t>
        </w:r>
      </w:hyperlink>
    </w:p>
    <w:bookmarkEnd w:id="143"/>
    <w:bookmarkStart w:id="146" w:name="fws-critical-habitat-ch_fws"/>
    <w:p>
      <w:pPr>
        <w:pStyle w:val="Heading3"/>
      </w:pPr>
      <w:r>
        <w:t xml:space="preserve">6.2.4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4"/>
        </w:numPr>
      </w:pPr>
      <w:r>
        <w:rPr>
          <w:b/>
          <w:bCs/>
        </w:rPr>
        <w:t xml:space="preserve">Models</w:t>
      </w:r>
      <w:r>
        <w:t xml:space="preserve">: 29</w:t>
      </w:r>
    </w:p>
    <w:p>
      <w:pPr>
        <w:pStyle w:val="Compact"/>
        <w:numPr>
          <w:ilvl w:val="0"/>
          <w:numId w:val="1014"/>
        </w:numPr>
      </w:pPr>
      <w:r>
        <w:rPr>
          <w:b/>
          <w:bCs/>
        </w:rPr>
        <w:t xml:space="preserve">Response</w:t>
      </w:r>
      <w:r>
        <w:t xml:space="preserve">: binary</w:t>
      </w:r>
    </w:p>
    <w:p>
      <w:pPr>
        <w:pStyle w:val="Compact"/>
        <w:numPr>
          <w:ilvl w:val="0"/>
          <w:numId w:val="1014"/>
        </w:numPr>
      </w:pPr>
      <w:r>
        <w:rPr>
          <w:b/>
          <w:bCs/>
        </w:rPr>
        <w:t xml:space="preserve">Cell values</w:t>
      </w:r>
      <w:r>
        <w:t xml:space="preserve">: EN:100, TN:50</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Compact"/>
        <w:numPr>
          <w:ilvl w:val="0"/>
          <w:numId w:val="1014"/>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4">
        <w:r>
          <w:rPr>
            <w:rStyle w:val="Hyperlink"/>
          </w:rPr>
          <w:t xml:space="preserve">Source</w:t>
        </w:r>
      </w:hyperlink>
      <w:r>
        <w:t xml:space="preserve"> </w:t>
      </w:r>
      <w:r>
        <w:t xml:space="preserve">·</w:t>
      </w:r>
      <w:r>
        <w:t xml:space="preserve"> </w:t>
      </w:r>
      <w:hyperlink r:id="rId145">
        <w:r>
          <w:rPr>
            <w:rStyle w:val="Hyperlink"/>
          </w:rPr>
          <w:t xml:space="preserve">Download</w:t>
        </w:r>
      </w:hyperlink>
      <w:r>
        <w:t xml:space="preserve"> </w:t>
      </w:r>
      <w:r>
        <w:t xml:space="preserve">·</w:t>
      </w:r>
      <w:r>
        <w:t xml:space="preserve"> </w:t>
      </w:r>
      <w:hyperlink r:id="rId144">
        <w:r>
          <w:rPr>
            <w:rStyle w:val="Hyperlink"/>
          </w:rPr>
          <w:t xml:space="preserve">Metadata</w:t>
        </w:r>
      </w:hyperlink>
    </w:p>
    <w:bookmarkEnd w:id="146"/>
    <w:bookmarkStart w:id="149" w:name="fws-range-rng_fws"/>
    <w:p>
      <w:pPr>
        <w:pStyle w:val="Heading3"/>
      </w:pPr>
      <w:r>
        <w:t xml:space="preserve">6.2.5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5"/>
        </w:numPr>
      </w:pPr>
      <w:r>
        <w:rPr>
          <w:b/>
          <w:bCs/>
        </w:rPr>
        <w:t xml:space="preserve">Models</w:t>
      </w:r>
      <w:r>
        <w:t xml:space="preserve">: 106</w:t>
      </w:r>
    </w:p>
    <w:p>
      <w:pPr>
        <w:pStyle w:val="Compact"/>
        <w:numPr>
          <w:ilvl w:val="0"/>
          <w:numId w:val="1015"/>
        </w:numPr>
      </w:pPr>
      <w:r>
        <w:rPr>
          <w:b/>
          <w:bCs/>
        </w:rPr>
        <w:t xml:space="preserve">Response</w:t>
      </w:r>
      <w:r>
        <w:t xml:space="preserve">: binary</w:t>
      </w:r>
    </w:p>
    <w:p>
      <w:pPr>
        <w:pStyle w:val="Compact"/>
        <w:numPr>
          <w:ilvl w:val="0"/>
          <w:numId w:val="1015"/>
        </w:numPr>
      </w:pPr>
      <w:r>
        <w:rPr>
          <w:b/>
          <w:bCs/>
        </w:rPr>
        <w:t xml:space="preserve">Cell values</w:t>
      </w:r>
      <w:r>
        <w:t xml:space="preserve">: EN:100, TN:50, LC:1</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Compact"/>
        <w:numPr>
          <w:ilvl w:val="0"/>
          <w:numId w:val="1015"/>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7">
        <w:r>
          <w:rPr>
            <w:rStyle w:val="Hyperlink"/>
          </w:rPr>
          <w:t xml:space="preserve">Source</w:t>
        </w:r>
      </w:hyperlink>
      <w:r>
        <w:t xml:space="preserve"> </w:t>
      </w:r>
      <w:r>
        <w:t xml:space="preserve">·</w:t>
      </w:r>
      <w:r>
        <w:t xml:space="preserve"> </w:t>
      </w:r>
      <w:hyperlink r:id="rId148">
        <w:r>
          <w:rPr>
            <w:rStyle w:val="Hyperlink"/>
          </w:rPr>
          <w:t xml:space="preserve">Download</w:t>
        </w:r>
      </w:hyperlink>
    </w:p>
    <w:bookmarkEnd w:id="149"/>
    <w:bookmarkStart w:id="151" w:name="birdlife-range-bl"/>
    <w:p>
      <w:pPr>
        <w:pStyle w:val="Heading3"/>
      </w:pPr>
      <w:r>
        <w:t xml:space="preserve">6.2.6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6"/>
        </w:numPr>
      </w:pPr>
      <w:r>
        <w:rPr>
          <w:b/>
          <w:bCs/>
        </w:rPr>
        <w:t xml:space="preserve">Models</w:t>
      </w:r>
      <w:r>
        <w:t xml:space="preserve">: 573</w:t>
      </w:r>
    </w:p>
    <w:p>
      <w:pPr>
        <w:pStyle w:val="Compact"/>
        <w:numPr>
          <w:ilvl w:val="0"/>
          <w:numId w:val="1016"/>
        </w:numPr>
      </w:pPr>
      <w:r>
        <w:rPr>
          <w:b/>
          <w:bCs/>
        </w:rPr>
        <w:t xml:space="preserve">Response</w:t>
      </w:r>
      <w:r>
        <w:t xml:space="preserve">: binary</w:t>
      </w:r>
    </w:p>
    <w:p>
      <w:pPr>
        <w:pStyle w:val="Compact"/>
        <w:numPr>
          <w:ilvl w:val="0"/>
          <w:numId w:val="1016"/>
        </w:numPr>
      </w:pPr>
      <w:r>
        <w:rPr>
          <w:b/>
          <w:bCs/>
        </w:rPr>
        <w:t xml:space="preserve">Cell values</w:t>
      </w:r>
      <w:r>
        <w:t xml:space="preserve">: CR:50, EN:25, VU:5, NT:2, LC:1, DD:1</w:t>
      </w:r>
    </w:p>
    <w:p>
      <w:pPr>
        <w:pStyle w:val="Compact"/>
        <w:numPr>
          <w:ilvl w:val="0"/>
          <w:numId w:val="1016"/>
        </w:numPr>
      </w:pPr>
      <w:r>
        <w:rPr>
          <w:b/>
          <w:bCs/>
        </w:rPr>
        <w:t xml:space="preserve">Coverage</w:t>
      </w:r>
      <w:r>
        <w:t xml:space="preserve">: Global</w:t>
      </w:r>
    </w:p>
    <w:p>
      <w:pPr>
        <w:pStyle w:val="Compact"/>
        <w:numPr>
          <w:ilvl w:val="0"/>
          <w:numId w:val="1016"/>
        </w:numPr>
      </w:pPr>
      <w:r>
        <w:rPr>
          <w:b/>
          <w:bCs/>
        </w:rPr>
        <w:t xml:space="preserve">Taxa</w:t>
      </w:r>
      <w:r>
        <w:t xml:space="preserve">: birds</w:t>
      </w:r>
    </w:p>
    <w:p>
      <w:pPr>
        <w:pStyle w:val="Compact"/>
        <w:numPr>
          <w:ilvl w:val="0"/>
          <w:numId w:val="1016"/>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0">
        <w:r>
          <w:rPr>
            <w:rStyle w:val="Hyperlink"/>
          </w:rPr>
          <w:t xml:space="preserve">Source</w:t>
        </w:r>
      </w:hyperlink>
      <w:r>
        <w:t xml:space="preserve"> </w:t>
      </w:r>
      <w:r>
        <w:t xml:space="preserve">·</w:t>
      </w:r>
      <w:r>
        <w:t xml:space="preserve"> </w:t>
      </w:r>
      <w:hyperlink r:id="rId150">
        <w:r>
          <w:rPr>
            <w:rStyle w:val="Hyperlink"/>
          </w:rPr>
          <w:t xml:space="preserve">Download</w:t>
        </w:r>
      </w:hyperlink>
      <w:r>
        <w:t xml:space="preserve"> </w:t>
      </w:r>
      <w:r>
        <w:t xml:space="preserve">·</w:t>
      </w:r>
      <w:r>
        <w:t xml:space="preserve"> </w:t>
      </w:r>
      <w:hyperlink r:id="rId142">
        <w:r>
          <w:rPr>
            <w:rStyle w:val="Hyperlink"/>
          </w:rPr>
          <w:t xml:space="preserve">Metadata</w:t>
        </w:r>
      </w:hyperlink>
    </w:p>
    <w:bookmarkEnd w:id="151"/>
    <w:bookmarkStart w:id="153" w:name="iucn-range-rng_iucn"/>
    <w:p>
      <w:pPr>
        <w:pStyle w:val="Heading3"/>
      </w:pPr>
      <w:r>
        <w:t xml:space="preserve">6.2.7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17"/>
        </w:numPr>
      </w:pPr>
      <w:r>
        <w:rPr>
          <w:b/>
          <w:bCs/>
        </w:rPr>
        <w:t xml:space="preserve">Models</w:t>
      </w:r>
      <w:r>
        <w:t xml:space="preserve">: 3,766</w:t>
      </w:r>
    </w:p>
    <w:p>
      <w:pPr>
        <w:pStyle w:val="Compact"/>
        <w:numPr>
          <w:ilvl w:val="0"/>
          <w:numId w:val="1017"/>
        </w:numPr>
      </w:pPr>
      <w:r>
        <w:rPr>
          <w:b/>
          <w:bCs/>
        </w:rPr>
        <w:t xml:space="preserve">Response</w:t>
      </w:r>
      <w:r>
        <w:t xml:space="preserve">: binary</w:t>
      </w:r>
    </w:p>
    <w:p>
      <w:pPr>
        <w:pStyle w:val="Compact"/>
        <w:numPr>
          <w:ilvl w:val="0"/>
          <w:numId w:val="1017"/>
        </w:numPr>
      </w:pPr>
      <w:r>
        <w:rPr>
          <w:b/>
          <w:bCs/>
        </w:rPr>
        <w:t xml:space="preserve">Cell values</w:t>
      </w:r>
      <w:r>
        <w:t xml:space="preserve">: CR:50, EN:25, VU:5, NT:2, LC:1, DD:1</w:t>
      </w:r>
    </w:p>
    <w:p>
      <w:pPr>
        <w:pStyle w:val="Compact"/>
        <w:numPr>
          <w:ilvl w:val="0"/>
          <w:numId w:val="1017"/>
        </w:numPr>
      </w:pPr>
      <w:r>
        <w:rPr>
          <w:b/>
          <w:bCs/>
        </w:rPr>
        <w:t xml:space="preserve">Coverage</w:t>
      </w:r>
      <w:r>
        <w:t xml:space="preserve">: Global</w:t>
      </w:r>
    </w:p>
    <w:p>
      <w:pPr>
        <w:pStyle w:val="Compact"/>
        <w:numPr>
          <w:ilvl w:val="0"/>
          <w:numId w:val="1017"/>
        </w:numPr>
      </w:pPr>
      <w:r>
        <w:rPr>
          <w:b/>
          <w:bCs/>
        </w:rPr>
        <w:t xml:space="preserve">Taxa</w:t>
      </w:r>
      <w:r>
        <w:t xml:space="preserve">: all taxa (except birds)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152">
        <w:r>
          <w:rPr>
            <w:rStyle w:val="Hyperlink"/>
          </w:rPr>
          <w:t xml:space="preserve">Source</w:t>
        </w:r>
      </w:hyperlink>
    </w:p>
    <w:bookmarkEnd w:id="153"/>
    <w:bookmarkStart w:id="155" w:name="swotdps-turtle-range-rng_turtle_swot_dps"/>
    <w:p>
      <w:pPr>
        <w:pStyle w:val="Heading3"/>
      </w:pPr>
      <w:r>
        <w:t xml:space="preserve">6.2.8 SWOT+DPS Turtle Range (</w:t>
      </w:r>
      <w:r>
        <w:rPr>
          <w:rStyle w:val="VerbatimChar"/>
        </w:rPr>
        <w:t xml:space="preserve">rng_turtle_swot_dps</w:t>
      </w:r>
      <w:r>
        <w:t xml:space="preserve">)</w:t>
      </w:r>
    </w:p>
    <w:p>
      <w:pPr>
        <w:pStyle w:val="FirstParagraph"/>
      </w:pPr>
      <w:r>
        <w:t xml:space="preserve">SWOT sea turtle global distributions overlaid with NMFS Endangered Distinct Population Segments. EN DPS areas coded as Endangered (value=100), remainder as Threatened (value=50).</w:t>
      </w:r>
    </w:p>
    <w:p>
      <w:pPr>
        <w:pStyle w:val="Compact"/>
        <w:numPr>
          <w:ilvl w:val="0"/>
          <w:numId w:val="1018"/>
        </w:numPr>
      </w:pPr>
      <w:r>
        <w:rPr>
          <w:b/>
          <w:bCs/>
        </w:rPr>
        <w:t xml:space="preserve">Models</w:t>
      </w:r>
      <w:r>
        <w:t xml:space="preserve">: 6</w:t>
      </w:r>
    </w:p>
    <w:p>
      <w:pPr>
        <w:pStyle w:val="Compact"/>
        <w:numPr>
          <w:ilvl w:val="0"/>
          <w:numId w:val="1018"/>
        </w:numPr>
      </w:pPr>
      <w:r>
        <w:rPr>
          <w:b/>
          <w:bCs/>
        </w:rPr>
        <w:t xml:space="preserve">Response</w:t>
      </w:r>
      <w:r>
        <w:t xml:space="preserve">: binary</w:t>
      </w:r>
    </w:p>
    <w:p>
      <w:pPr>
        <w:pStyle w:val="Compact"/>
        <w:numPr>
          <w:ilvl w:val="0"/>
          <w:numId w:val="1018"/>
        </w:numPr>
      </w:pPr>
      <w:r>
        <w:rPr>
          <w:b/>
          <w:bCs/>
        </w:rPr>
        <w:t xml:space="preserve">Cell values</w:t>
      </w:r>
      <w:r>
        <w:t xml:space="preserve">: EN:100, TN:50</w:t>
      </w:r>
    </w:p>
    <w:p>
      <w:pPr>
        <w:pStyle w:val="Compact"/>
        <w:numPr>
          <w:ilvl w:val="0"/>
          <w:numId w:val="1018"/>
        </w:numPr>
      </w:pPr>
      <w:r>
        <w:rPr>
          <w:b/>
          <w:bCs/>
        </w:rPr>
        <w:t xml:space="preserve">Coverage</w:t>
      </w:r>
      <w:r>
        <w:t xml:space="preserve">: Global</w:t>
      </w:r>
    </w:p>
    <w:p>
      <w:pPr>
        <w:pStyle w:val="Compact"/>
        <w:numPr>
          <w:ilvl w:val="0"/>
          <w:numId w:val="1018"/>
        </w:numPr>
      </w:pPr>
      <w:r>
        <w:rPr>
          <w:b/>
          <w:bCs/>
        </w:rPr>
        <w:t xml:space="preserve">Taxa</w:t>
      </w:r>
      <w:r>
        <w:t xml:space="preserve">: turtles</w:t>
      </w:r>
    </w:p>
    <w:p>
      <w:pPr>
        <w:pStyle w:val="Compact"/>
        <w:numPr>
          <w:ilvl w:val="0"/>
          <w:numId w:val="1018"/>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Wallace BP et al. (2023) Marine turtle regional management units 2.0. Endangered Species Research 52:209-223. DOI:10.3354/esr01243</w:t>
      </w:r>
    </w:p>
    <w:p>
      <w:pPr>
        <w:pStyle w:val="FirstParagraph"/>
      </w:pPr>
      <w:hyperlink r:id="rId154">
        <w:r>
          <w:rPr>
            <w:rStyle w:val="Hyperlink"/>
          </w:rPr>
          <w:t xml:space="preserve">Source</w:t>
        </w:r>
      </w:hyperlink>
    </w:p>
    <w:bookmarkEnd w:id="155"/>
    <w:bookmarkEnd w:id="156"/>
    <w:bookmarkStart w:id="161" w:name="notes-on-individual-sources"/>
    <w:p>
      <w:pPr>
        <w:pStyle w:val="Heading2"/>
      </w:pPr>
      <w:r>
        <w:t xml:space="preserve">6.3 Notes on individual sources</w:t>
      </w:r>
    </w:p>
    <w:bookmarkStart w:id="157"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57"/>
    <w:bookmarkStart w:id="158"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58"/>
    <w:bookmarkStart w:id="159"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59"/>
    <w:bookmarkStart w:id="160"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60"/>
    <w:bookmarkEnd w:id="161"/>
    <w:bookmarkStart w:id="164"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usa05</w:t>
      </w:r>
      <w:r>
        <w:t xml:space="preserve"> </w:t>
      </w:r>
      <w:r>
        <w:t xml:space="preserve">grid (US study area, 0.05 deg (0-360 frame)): 3,103 × 2,006 cells of 0.05° at 0–360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662,075</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Applications/quarto/share/formats/docx/warning.png" id="163"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64"/>
    <w:bookmarkStart w:id="170"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65">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vgpm"/>
          <w:p>
            <w:pPr>
              <w:pStyle w:val="Compact"/>
              <w:jc w:val="center"/>
            </w:pPr>
            <w:r>
              <w:drawing>
                <wp:inline>
                  <wp:extent cx="5334000" cy="3418702"/>
                  <wp:effectExtent b="0" l="0" r="0" t="0"/>
                  <wp:docPr descr="" title="" id="167" name="Picture"/>
                  <a:graphic>
                    <a:graphicData uri="http://schemas.openxmlformats.org/drawingml/2006/picture">
                      <pic:pic>
                        <pic:nvPicPr>
                          <pic:cNvPr descr="figures/vgpm2021_offhab.jpg" id="168" name="Picture"/>
                          <pic:cNvPicPr>
                            <a:picLocks noChangeArrowheads="1" noChangeAspect="1"/>
                          </pic:cNvPicPr>
                        </pic:nvPicPr>
                        <pic:blipFill>
                          <a:blip r:embed="rId166"/>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69"/>
        </w:tc>
      </w:tr>
    </w:tbl>
    <w:bookmarkEnd w:id="170"/>
    <w:bookmarkEnd w:id="171"/>
    <w:bookmarkStart w:id="191"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72"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19"/>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19"/>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72"/>
    <w:bookmarkStart w:id="177"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76"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73">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0">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74">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75">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1">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76"/>
          <w:p/>
        </w:tc>
      </w:tr>
    </w:tbl>
    <w:p>
      <w:pPr>
        <w:pStyle w:val="BodyText"/>
      </w:pPr>
      <w:r>
        <w:t xml:space="preserve">At each stage deprecated names resolve to their accepted synonyms, with the original source name kept alongside the accepted one.</w:t>
      </w:r>
    </w:p>
    <w:bookmarkEnd w:id="177"/>
    <w:bookmarkStart w:id="181"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78" w:name="tbl-species-categories"/>
          <w:p>
            <w:pPr>
              <w:jc w:val="center"/>
            </w:pPr>
            <w:pPr>
              <w:jc w:val="left"/>
              <w:spacing w:before="200"/>
              <w:pStyle w:val="ImageCaption"/>
            </w:pPr>
            <w:r>
              <w:t xml:space="preserve">Table 7.2: Species categories in v7.</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8,243</w:t>
                  </w:r>
                </w:p>
              </w:tc>
              <w:tc>
                <w:tcPr/>
                <w:p>
                  <w:pPr>
                    <w:pStyle w:val="Compact"/>
                    <w:jc w:val="right"/>
                    <w:jc w:val="center"/>
                  </w:pPr>
                  <w:r>
                    <w:t xml:space="preserve">8,062</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6,679</w:t>
                  </w:r>
                </w:p>
              </w:tc>
              <w:tc>
                <w:tcPr/>
                <w:p>
                  <w:pPr>
                    <w:pStyle w:val="Compact"/>
                    <w:jc w:val="right"/>
                    <w:jc w:val="center"/>
                  </w:pPr>
                  <w:r>
                    <w:t xml:space="preserve">5,943</w:t>
                  </w:r>
                </w:p>
              </w:tc>
              <w:tc>
                <w:tcPr/>
                <w:p>
                  <w:pPr>
                    <w:pStyle w:val="Compact"/>
                    <w:jc w:val="center"/>
                    <w:jc w:val="center"/>
                  </w:pPr>
                  <w:r>
                    <w:t xml:space="preserve">Yes</w:t>
                  </w:r>
                </w:p>
              </w:tc>
            </w:tr>
            <w:tr>
              <w:tc>
                <w:tcPr/>
                <w:p>
                  <w:pPr>
                    <w:pStyle w:val="Compact"/>
                    <w:jc w:val="left"/>
                    <w:jc w:val="center"/>
                  </w:pPr>
                  <w:r>
                    <w:rPr>
                      <w:rStyle w:val="VerbatimChar"/>
                    </w:rPr>
                    <w:t xml:space="preserve">other</w:t>
                  </w:r>
                </w:p>
              </w:tc>
              <w:tc>
                <w:tcPr/>
                <w:p>
                  <w:pPr>
                    <w:pStyle w:val="Compact"/>
                    <w:jc w:val="right"/>
                    <w:jc w:val="center"/>
                  </w:pPr>
                  <w:r>
                    <w:t xml:space="preserve">1,129</w:t>
                  </w:r>
                </w:p>
              </w:tc>
              <w:tc>
                <w:tcPr/>
                <w:p>
                  <w:pPr>
                    <w:pStyle w:val="Compact"/>
                    <w:jc w:val="right"/>
                    <w:jc w:val="center"/>
                  </w:pPr>
                  <w:r>
                    <w:t xml:space="preserve">1,125</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614</w:t>
                  </w:r>
                </w:p>
              </w:tc>
              <w:tc>
                <w:tcPr/>
                <w:p>
                  <w:pPr>
                    <w:pStyle w:val="Compact"/>
                    <w:jc w:val="right"/>
                    <w:jc w:val="center"/>
                  </w:pPr>
                  <w:r>
                    <w:t xml:space="preserve">476</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775</w:t>
                  </w:r>
                </w:p>
              </w:tc>
              <w:tc>
                <w:tcPr/>
                <w:p>
                  <w:pPr>
                    <w:pStyle w:val="Compact"/>
                    <w:jc w:val="right"/>
                    <w:jc w:val="center"/>
                  </w:pPr>
                  <w:r>
                    <w:t xml:space="preserve">457</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89</w:t>
                  </w:r>
                </w:p>
              </w:tc>
              <w:tc>
                <w:tcPr/>
                <w:p>
                  <w:pPr>
                    <w:pStyle w:val="Compact"/>
                    <w:jc w:val="right"/>
                    <w:jc w:val="center"/>
                  </w:pPr>
                  <w:r>
                    <w:t xml:space="preserve">84</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26</w:t>
                  </w:r>
                </w:p>
              </w:tc>
              <w:tc>
                <w:tcPr/>
                <w:p>
                  <w:pPr>
                    <w:pStyle w:val="Compact"/>
                    <w:jc w:val="right"/>
                    <w:jc w:val="center"/>
                  </w:pPr>
                  <w:r>
                    <w:t xml:space="preserve">0</w:t>
                  </w:r>
                </w:p>
              </w:tc>
              <w:tc>
                <w:tcPr/>
                <w:p>
                  <w:pPr>
                    <w:pStyle w:val="Compact"/>
                    <w:jc w:val="center"/>
                    <w:jc w:val="center"/>
                  </w:pPr>
                  <w:r>
                    <w:rPr>
                      <w:b/>
                      <w:bCs/>
                    </w:rPr>
                    <w:t xml:space="preserve">No</w:t>
                  </w:r>
                </w:p>
              </w:tc>
            </w:tr>
          </w:tbl>
          <w:bookmarkEnd w:id="178"/>
          <w:p/>
        </w:tc>
      </w:tr>
    </w:tbl>
    <w:p>
      <w:pPr>
        <w:pStyle w:val="BodyText"/>
      </w:pPr>
      <w:r>
        <w:t xml:space="preserve">Categories present in the taxonomy but</w:t>
      </w:r>
      <w:r>
        <w:t xml:space="preserve"> </w:t>
      </w:r>
      <w:r>
        <w:rPr>
          <w:b/>
          <w:bCs/>
        </w:rPr>
        <w:t xml:space="preserve">not scored</w:t>
      </w:r>
      <w:r>
        <w:t xml:space="preserve"> </w:t>
      </w:r>
      <w:r>
        <w:t xml:space="preserve">in v7:</w:t>
      </w:r>
      <w:r>
        <w:t xml:space="preserve"> </w:t>
      </w:r>
      <w:r>
        <w:rPr>
          <w:rStyle w:val="VerbatimChar"/>
        </w:rPr>
        <w:t xml:space="preserve">reptile</w:t>
      </w:r>
      <w:r>
        <w:t xml:space="preserve">. They are carried in the taxon table — the identity is real — but no metric aggregates them, so they contribute nothing to any score.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Applications/quarto/share/formats/docx/note.png" id="1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Compact"/>
              <w:numPr>
                <w:ilvl w:val="0"/>
                <w:numId w:val="1020"/>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20"/>
              </w:numPr>
            </w:pPr>
            <w:r>
              <w:rPr>
                <w:rStyle w:val="VerbatimChar"/>
                <w:b/>
                <w:bCs/>
              </w:rPr>
              <w:t xml:space="preserve">other</w:t>
            </w:r>
            <w:r>
              <w:t xml:space="preserve"> </w:t>
            </w:r>
            <w:r>
              <w:t xml:space="preserve">collects taxa this release’s assignment could not place. It is a symptom rather than a category, and later releases removed the need for it by assigning from the taxonomic hierarchy instead — see</w:t>
            </w:r>
            <w:r>
              <w:t xml:space="preserve"> </w:t>
            </w:r>
            <w:hyperlink w:anchor="sec-releases">
              <w:r>
                <w:rPr>
                  <w:rStyle w:val="Hyperlink"/>
                </w:rPr>
                <w:t xml:space="preserve">Releases</w:t>
              </w:r>
            </w:hyperlink>
            <w:r>
              <w:t xml:space="preserve">.</w:t>
            </w:r>
          </w:p>
          <w:p/>
        </w:tc>
      </w:tr>
    </w:tbl>
    <w:bookmarkEnd w:id="181"/>
    <w:bookmarkStart w:id="182"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predates the explicit marine-relevance cull. Marine status comes from WoRMS</w:t>
      </w:r>
      <w:r>
        <w:t xml:space="preserve"> </w:t>
      </w:r>
      <w:r>
        <w:rPr>
          <w:rStyle w:val="VerbatimChar"/>
        </w:rPr>
        <w:t xml:space="preserve">isMarine</w:t>
      </w:r>
      <w:r>
        <w:t xml:space="preserve">, with birds admitted through BirdLife instead, so the bird counts on this page are</w:t>
      </w:r>
      <w:r>
        <w:t xml:space="preserve"> </w:t>
      </w:r>
      <w:r>
        <w:t xml:space="preserve">broader than in later releases.</w:t>
      </w:r>
    </w:p>
    <w:bookmarkEnd w:id="182"/>
    <w:bookmarkStart w:id="186"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83" w:name="tbl-filter-funnel"/>
          <w:p>
            <w:pPr>
              <w:jc w:val="center"/>
            </w:pPr>
            <w:pPr>
              <w:jc w:val="left"/>
              <w:spacing w:before="200"/>
              <w:pStyle w:val="ImageCaption"/>
            </w:pPr>
            <w:r>
              <w:t xml:space="preserve">Table 7.3: Validity gates applied cumulatively to v7’s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Has a merged distribution</w:t>
                  </w:r>
                </w:p>
              </w:tc>
              <w:tc>
                <w:tcPr/>
                <w:p>
                  <w:pPr>
                    <w:pStyle w:val="Compact"/>
                    <w:jc w:val="right"/>
                    <w:jc w:val="center"/>
                  </w:pPr>
                  <w:r>
                    <w:t xml:space="preserve">−1,173</w:t>
                  </w:r>
                </w:p>
              </w:tc>
              <w:tc>
                <w:tcPr/>
                <w:p>
                  <w:pPr>
                    <w:pStyle w:val="Compact"/>
                    <w:jc w:val="right"/>
                    <w:jc w:val="center"/>
                  </w:pPr>
                  <w:r>
                    <w:t xml:space="preserve">16,388</w:t>
                  </w:r>
                </w:p>
              </w:tc>
            </w:tr>
            <w:tr>
              <w:tc>
                <w:tcPr/>
                <w:p>
                  <w:pPr>
                    <w:pStyle w:val="Compact"/>
                    <w:jc w:val="left"/>
                    <w:jc w:val="center"/>
                  </w:pPr>
                  <w:r>
                    <w:t xml:space="preserve">Not extinct</w:t>
                  </w:r>
                </w:p>
              </w:tc>
              <w:tc>
                <w:tcPr/>
                <w:p>
                  <w:pPr>
                    <w:pStyle w:val="Compact"/>
                    <w:jc w:val="right"/>
                    <w:jc w:val="center"/>
                  </w:pPr>
                  <w:r>
                    <w:t xml:space="preserve">−21</w:t>
                  </w:r>
                </w:p>
              </w:tc>
              <w:tc>
                <w:tcPr/>
                <w:p>
                  <w:pPr>
                    <w:pStyle w:val="Compact"/>
                    <w:jc w:val="right"/>
                    <w:jc w:val="center"/>
                  </w:pPr>
                  <w:r>
                    <w:t xml:space="preserve">16,367</w:t>
                  </w:r>
                </w:p>
              </w:tc>
            </w:tr>
            <w:tr>
              <w:tc>
                <w:tcPr/>
                <w:p>
                  <w:pPr>
                    <w:pStyle w:val="Compact"/>
                    <w:jc w:val="left"/>
                    <w:jc w:val="center"/>
                  </w:pPr>
                  <w:r>
                    <w:t xml:space="preserve">Marine (WoRMS, or a BirdLife bird)</w:t>
                  </w:r>
                </w:p>
              </w:tc>
              <w:tc>
                <w:tcPr/>
                <w:p>
                  <w:pPr>
                    <w:pStyle w:val="Compact"/>
                    <w:jc w:val="right"/>
                    <w:jc w:val="center"/>
                  </w:pPr>
                  <w:r>
                    <w:t xml:space="preserve">−48</w:t>
                  </w:r>
                </w:p>
              </w:tc>
              <w:tc>
                <w:tcPr/>
                <w:p>
                  <w:pPr>
                    <w:pStyle w:val="Compact"/>
                    <w:jc w:val="right"/>
                    <w:jc w:val="center"/>
                  </w:pPr>
                  <w:r>
                    <w:t xml:space="preserve">16,319</w:t>
                  </w:r>
                </w:p>
              </w:tc>
            </w:tr>
            <w:tr>
              <w:tc>
                <w:tcPr/>
                <w:p>
                  <w:pPr>
                    <w:pStyle w:val="Compact"/>
                    <w:jc w:val="left"/>
                    <w:jc w:val="center"/>
                  </w:pPr>
                  <w:r>
                    <w:t xml:space="preserve">Valid for scoring (the release’s</w:t>
                  </w:r>
                  <w:r>
                    <w:t xml:space="preserve"> </w:t>
                  </w:r>
                  <w:r>
                    <w:rPr>
                      <w:rStyle w:val="VerbatimChar"/>
                    </w:rPr>
                    <w:t xml:space="preserve">is_ok</w:t>
                  </w:r>
                  <w:r>
                    <w:t xml:space="preserve">)</w:t>
                  </w:r>
                </w:p>
              </w:tc>
              <w:tc>
                <w:tcPr/>
                <w:p>
                  <w:pPr>
                    <w:pStyle w:val="Compact"/>
                    <w:jc w:val="right"/>
                    <w:jc w:val="center"/>
                  </w:pPr>
                  <w:r>
                    <w:t xml:space="preserve">−166</w:t>
                  </w:r>
                </w:p>
              </w:tc>
              <w:tc>
                <w:tcPr/>
                <w:p>
                  <w:pPr>
                    <w:pStyle w:val="Compact"/>
                    <w:jc w:val="right"/>
                    <w:jc w:val="center"/>
                  </w:pPr>
                  <w:r>
                    <w:t xml:space="preserve">16,153</w:t>
                  </w:r>
                </w:p>
              </w:tc>
            </w:tr>
          </w:tbl>
          <w:bookmarkEnd w:id="183"/>
          <w:p/>
        </w:tc>
      </w:tr>
    </w:tbl>
    <w:p>
      <w:pPr>
        <w:pStyle w:val="BodyText"/>
      </w:pPr>
      <w:r>
        <w:t xml:space="preserve">This yields</w:t>
      </w:r>
      <w:r>
        <w:t xml:space="preserve"> </w:t>
      </w:r>
      <w:r>
        <w:rPr>
          <w:b/>
          <w:bCs/>
        </w:rPr>
        <w:t xml:space="preserve">16,153 valid species</w:t>
      </w:r>
      <w:r>
        <w:t xml:space="preserve"> </w:t>
      </w:r>
      <w:r>
        <w:t xml:space="preserve">across the study area.</w:t>
      </w:r>
    </w:p>
    <w:p>
      <w:pPr>
        <w:pStyle w:val="BodyText"/>
      </w:pPr>
      <w:r>
        <w:t xml:space="preserve">Of those,</w:t>
      </w:r>
      <w:r>
        <w:t xml:space="preserve"> </w:t>
      </w:r>
      <w:r>
        <w:rPr>
          <w:b/>
          <w:bCs/>
        </w:rPr>
        <w:t xml:space="preserve">9,230</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Applications/quarto/share/formats/docx/important.png" id="185"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86"/>
    <w:bookmarkStart w:id="189" w:name="data-quality"/>
    <w:p>
      <w:pPr>
        <w:pStyle w:val="Heading2"/>
      </w:pPr>
      <w:r>
        <w:t xml:space="preserve">7.6 Data quality</w:t>
      </w:r>
    </w:p>
    <w:bookmarkStart w:id="187"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87"/>
    <w:bookmarkStart w:id="188"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88"/>
    <w:bookmarkEnd w:id="189"/>
    <w:bookmarkStart w:id="190"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90"/>
    <w:bookmarkEnd w:id="191"/>
    <w:bookmarkStart w:id="215"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03" w:name="regulatory-framework"/>
    <w:p>
      <w:pPr>
        <w:pStyle w:val="Heading2"/>
      </w:pPr>
      <w:r>
        <w:t xml:space="preserve">8.1 Regulatory framework</w:t>
      </w:r>
    </w:p>
    <w:bookmarkStart w:id="193" w:name="endangered-species-act-esa"/>
    <w:p>
      <w:pPr>
        <w:pStyle w:val="Heading3"/>
      </w:pPr>
      <w:r>
        <w:t xml:space="preserve">8.1.1 Endangered Species Act (ESA)</w:t>
      </w:r>
    </w:p>
    <w:p>
      <w:pPr>
        <w:pStyle w:val="FirstParagraph"/>
      </w:pPr>
      <w:r>
        <w:t xml:space="preserve">The</w:t>
      </w:r>
      <w:r>
        <w:t xml:space="preserve"> </w:t>
      </w:r>
      <w:hyperlink r:id="rId192">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193"/>
    <w:bookmarkStart w:id="195"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194">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195"/>
    <w:bookmarkStart w:id="199"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196">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Applications/quarto/share/formats/docx/important.png" id="198"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199"/>
    <w:bookmarkStart w:id="202"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1">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Applications/quarto/share/formats/docx/note.png" id="20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02"/>
    <w:bookmarkEnd w:id="203"/>
    <w:bookmarkStart w:id="212"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06"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04"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04"/>
    </w:p>
    <w:tbl>
      <w:tblPr>
        <w:tblStyle w:val="Table"/>
        <w:tblW w:type="pct" w:w="5000"/>
        <w:tblLayout w:type="fixed"/>
        <w:tblLook w:firstRow="0" w:lastRow="0" w:firstColumn="0" w:lastColumn="0" w:noHBand="0" w:noVBand="0" w:val="0000"/>
      </w:tblPr>
      <w:tblGrid>
        <w:gridCol w:w="7920"/>
      </w:tblGrid>
      <w:tr>
        <w:tc>
          <w:tcPr/>
          <w:bookmarkStart w:id="205"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05"/>
          <w:p/>
        </w:tc>
      </w:tr>
    </w:tbl>
    <w:p>
      <w:pPr>
        <w:pStyle w:val="BodyText"/>
      </w:pPr>
      <w:r>
        <w:t xml:space="preserve">Worked examples:</w:t>
      </w:r>
    </w:p>
    <w:p>
      <w:pPr>
        <w:pStyle w:val="Compact"/>
        <w:numPr>
          <w:ilvl w:val="0"/>
          <w:numId w:val="1021"/>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1"/>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1"/>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1"/>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06"/>
    <w:bookmarkStart w:id="208"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07"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07"/>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08"/>
    <w:bookmarkStart w:id="209"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09"/>
    <w:bookmarkStart w:id="211"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0"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v7’s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44</w:t>
                  </w:r>
                </w:p>
              </w:tc>
              <w:tc>
                <w:tcPr/>
                <w:p>
                  <w:pPr>
                    <w:pStyle w:val="Compact"/>
                    <w:jc w:val="right"/>
                    <w:jc w:val="center"/>
                  </w:pPr>
                  <w:r>
                    <w:t xml:space="preserve">0.3%</w:t>
                  </w:r>
                </w:p>
              </w:tc>
            </w:tr>
            <w:tr>
              <w:tc>
                <w:tcPr/>
                <w:p>
                  <w:pPr>
                    <w:pStyle w:val="Compact"/>
                    <w:jc w:val="right"/>
                    <w:jc w:val="center"/>
                  </w:pPr>
                  <w:r>
                    <w:t xml:space="preserve">50</w:t>
                  </w:r>
                </w:p>
              </w:tc>
              <w:tc>
                <w:tcPr/>
                <w:p>
                  <w:pPr>
                    <w:pStyle w:val="Compact"/>
                    <w:jc w:val="right"/>
                    <w:jc w:val="center"/>
                  </w:pPr>
                  <w:r>
                    <w:t xml:space="preserve">54</w:t>
                  </w:r>
                </w:p>
              </w:tc>
              <w:tc>
                <w:tcPr/>
                <w:p>
                  <w:pPr>
                    <w:pStyle w:val="Compact"/>
                    <w:jc w:val="right"/>
                    <w:jc w:val="center"/>
                  </w:pPr>
                  <w:r>
                    <w:t xml:space="preserve">0.3%</w:t>
                  </w:r>
                </w:p>
              </w:tc>
            </w:tr>
            <w:tr>
              <w:tc>
                <w:tcPr/>
                <w:p>
                  <w:pPr>
                    <w:pStyle w:val="Compact"/>
                    <w:jc w:val="right"/>
                    <w:jc w:val="center"/>
                  </w:pPr>
                  <w:r>
                    <w:t xml:space="preserve">25</w:t>
                  </w:r>
                </w:p>
              </w:tc>
              <w:tc>
                <w:tcPr/>
                <w:p>
                  <w:pPr>
                    <w:pStyle w:val="Compact"/>
                    <w:jc w:val="right"/>
                    <w:jc w:val="center"/>
                  </w:pPr>
                  <w:r>
                    <w:t xml:space="preserve">104</w:t>
                  </w:r>
                </w:p>
              </w:tc>
              <w:tc>
                <w:tcPr/>
                <w:p>
                  <w:pPr>
                    <w:pStyle w:val="Compact"/>
                    <w:jc w:val="right"/>
                    <w:jc w:val="center"/>
                  </w:pPr>
                  <w:r>
                    <w:t xml:space="preserve">0.6%</w:t>
                  </w:r>
                </w:p>
              </w:tc>
            </w:tr>
            <w:tr>
              <w:tc>
                <w:tcPr/>
                <w:p>
                  <w:pPr>
                    <w:pStyle w:val="Compact"/>
                    <w:jc w:val="right"/>
                    <w:jc w:val="center"/>
                  </w:pPr>
                  <w:r>
                    <w:t xml:space="preserve">20</w:t>
                  </w:r>
                </w:p>
              </w:tc>
              <w:tc>
                <w:tcPr/>
                <w:p>
                  <w:pPr>
                    <w:pStyle w:val="Compact"/>
                    <w:jc w:val="right"/>
                    <w:jc w:val="center"/>
                  </w:pPr>
                  <w:r>
                    <w:t xml:space="preserve">44</w:t>
                  </w:r>
                </w:p>
              </w:tc>
              <w:tc>
                <w:tcPr/>
                <w:p>
                  <w:pPr>
                    <w:pStyle w:val="Compact"/>
                    <w:jc w:val="right"/>
                    <w:jc w:val="center"/>
                  </w:pPr>
                  <w:r>
                    <w:t xml:space="preserve">0.3%</w:t>
                  </w:r>
                </w:p>
              </w:tc>
            </w:tr>
            <w:tr>
              <w:tc>
                <w:tcPr/>
                <w:p>
                  <w:pPr>
                    <w:pStyle w:val="Compact"/>
                    <w:jc w:val="right"/>
                    <w:jc w:val="center"/>
                  </w:pPr>
                  <w:r>
                    <w:t xml:space="preserve">10</w:t>
                  </w:r>
                </w:p>
              </w:tc>
              <w:tc>
                <w:tcPr/>
                <w:p>
                  <w:pPr>
                    <w:pStyle w:val="Compact"/>
                    <w:jc w:val="right"/>
                    <w:jc w:val="center"/>
                  </w:pPr>
                  <w:r>
                    <w:t xml:space="preserve">121</w:t>
                  </w:r>
                </w:p>
              </w:tc>
              <w:tc>
                <w:tcPr/>
                <w:p>
                  <w:pPr>
                    <w:pStyle w:val="Compact"/>
                    <w:jc w:val="right"/>
                    <w:jc w:val="center"/>
                  </w:pPr>
                  <w:r>
                    <w:t xml:space="preserve">0.7%</w:t>
                  </w:r>
                </w:p>
              </w:tc>
            </w:tr>
            <w:tr>
              <w:tc>
                <w:tcPr/>
                <w:p>
                  <w:pPr>
                    <w:pStyle w:val="Compact"/>
                    <w:jc w:val="right"/>
                    <w:jc w:val="center"/>
                  </w:pPr>
                  <w:r>
                    <w:t xml:space="preserve">5</w:t>
                  </w:r>
                </w:p>
              </w:tc>
              <w:tc>
                <w:tcPr/>
                <w:p>
                  <w:pPr>
                    <w:pStyle w:val="Compact"/>
                    <w:jc w:val="right"/>
                    <w:jc w:val="center"/>
                  </w:pPr>
                  <w:r>
                    <w:t xml:space="preserve">105</w:t>
                  </w:r>
                </w:p>
              </w:tc>
              <w:tc>
                <w:tcPr/>
                <w:p>
                  <w:pPr>
                    <w:pStyle w:val="Compact"/>
                    <w:jc w:val="right"/>
                    <w:jc w:val="center"/>
                  </w:pPr>
                  <w:r>
                    <w:t xml:space="preserve">0.7%</w:t>
                  </w:r>
                </w:p>
              </w:tc>
            </w:tr>
            <w:tr>
              <w:tc>
                <w:tcPr/>
                <w:p>
                  <w:pPr>
                    <w:pStyle w:val="Compact"/>
                    <w:jc w:val="right"/>
                    <w:jc w:val="center"/>
                  </w:pPr>
                  <w:r>
                    <w:t xml:space="preserve">2</w:t>
                  </w:r>
                </w:p>
              </w:tc>
              <w:tc>
                <w:tcPr/>
                <w:p>
                  <w:pPr>
                    <w:pStyle w:val="Compact"/>
                    <w:jc w:val="right"/>
                    <w:jc w:val="center"/>
                  </w:pPr>
                  <w:r>
                    <w:t xml:space="preserve">102</w:t>
                  </w:r>
                </w:p>
              </w:tc>
              <w:tc>
                <w:tcPr/>
                <w:p>
                  <w:pPr>
                    <w:pStyle w:val="Compact"/>
                    <w:jc w:val="right"/>
                    <w:jc w:val="center"/>
                  </w:pPr>
                  <w:r>
                    <w:t xml:space="preserve">0.6%</w:t>
                  </w:r>
                </w:p>
              </w:tc>
            </w:tr>
            <w:tr>
              <w:tc>
                <w:tcPr/>
                <w:p>
                  <w:pPr>
                    <w:pStyle w:val="Compact"/>
                    <w:jc w:val="right"/>
                    <w:jc w:val="center"/>
                  </w:pPr>
                  <w:r>
                    <w:t xml:space="preserve">1</w:t>
                  </w:r>
                </w:p>
              </w:tc>
              <w:tc>
                <w:tcPr/>
                <w:p>
                  <w:pPr>
                    <w:pStyle w:val="Compact"/>
                    <w:jc w:val="right"/>
                    <w:jc w:val="center"/>
                  </w:pPr>
                  <w:r>
                    <w:t xml:space="preserve">15,579</w:t>
                  </w:r>
                </w:p>
              </w:tc>
              <w:tc>
                <w:tcPr/>
                <w:p>
                  <w:pPr>
                    <w:pStyle w:val="Compact"/>
                    <w:jc w:val="right"/>
                    <w:jc w:val="center"/>
                  </w:pPr>
                  <w:r>
                    <w:t xml:space="preserve">96.4%</w:t>
                  </w:r>
                </w:p>
              </w:tc>
            </w:tr>
          </w:tbl>
          <w:bookmarkEnd w:id="210"/>
          <w:p/>
        </w:tc>
      </w:tr>
    </w:tbl>
    <w:p>
      <w:pPr>
        <w:pStyle w:val="BodyText"/>
      </w:pPr>
      <w:r>
        <w:t xml:space="preserve">Of v7’s 16,153 valid species,</w:t>
      </w:r>
      <w:r>
        <w:t xml:space="preserve"> </w:t>
      </w:r>
      <w:r>
        <w:rPr>
          <w:b/>
          <w:bCs/>
        </w:rPr>
        <w:t xml:space="preserve">62</w:t>
      </w:r>
      <w:r>
        <w:t xml:space="preserve"> </w:t>
      </w:r>
      <w:r>
        <w:t xml:space="preserve">carry the MMPA floor and</w:t>
      </w:r>
      <w:r>
        <w:t xml:space="preserve"> </w:t>
      </w:r>
      <w:r>
        <w:rPr>
          <w:b/>
          <w:bCs/>
        </w:rPr>
        <w:t xml:space="preserve">132</w:t>
      </w:r>
      <w:r>
        <w:t xml:space="preserve"> </w:t>
      </w:r>
      <w:r>
        <w:t xml:space="preserve">the MBTA floor.</w:t>
      </w:r>
    </w:p>
    <w:bookmarkEnd w:id="211"/>
    <w:bookmarkEnd w:id="212"/>
    <w:bookmarkStart w:id="213"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13"/>
    <w:bookmarkStart w:id="214"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14"/>
    <w:bookmarkEnd w:id="215"/>
    <w:bookmarkStart w:id="241"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Applications/quarto/share/formats/docx/tip.png" id="21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3">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18"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18"/>
    <w:bookmarkStart w:id="235"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22" w:name="fig-merge-pipeline"/>
          <w:p>
            <w:pPr>
              <w:jc w:val="center"/>
            </w:pPr>
            <w:r>
              <w:drawing>
                <wp:inline>
                  <wp:extent cx="5334000" cy="5351779"/>
                  <wp:effectExtent b="0" l="0" r="0" t="0"/>
                  <wp:docPr descr="" title="" id="220" name="Picture"/>
                  <a:graphic>
                    <a:graphicData uri="http://schemas.openxmlformats.org/drawingml/2006/picture">
                      <pic:pic>
                        <pic:nvPicPr>
                          <pic:cNvPr descr="model-merging_files/figure-docx/mermaid-figure-2.png" id="221" name="Picture"/>
                          <pic:cNvPicPr>
                            <a:picLocks noChangeArrowheads="1" noChangeAspect="1"/>
                          </pic:cNvPicPr>
                        </pic:nvPicPr>
                        <pic:blipFill>
                          <a:blip r:embed="rId219"/>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22"/>
        </w:tc>
      </w:tr>
    </w:tbl>
    <w:bookmarkStart w:id="223"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23"/>
    <w:bookmarkStart w:id="227"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24"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24"/>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Applications/quarto/share/formats/docx/important.png" id="226"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27"/>
    <w:bookmarkStart w:id="228" w:name="step-3-two-surfaces-not-one"/>
    <w:p>
      <w:pPr>
        <w:pStyle w:val="Heading3"/>
      </w:pPr>
      <w:r>
        <w:t xml:space="preserve">9.2.3 Step 3 — two surfaces, not one</w:t>
      </w:r>
    </w:p>
    <w:bookmarkEnd w:id="228"/>
    <w:bookmarkStart w:id="230"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29"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29"/>
    </w:p>
    <w:p>
      <w:pPr>
        <w:pStyle w:val="FirstParagraph"/>
      </w:pPr>
      <w:r>
        <w:t xml:space="preserve">Critical-habitat designations then override with a maximum, so a designated cell is never scored below its designation.</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30"/>
    <w:bookmarkStart w:id="234"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31"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31"/>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Applications/quarto/share/formats/docx/note.png" id="23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2"/>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2"/>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2"/>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34"/>
    <w:bookmarkEnd w:id="235"/>
    <w:bookmarkStart w:id="236"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36"/>
    <w:bookmarkStart w:id="237"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37"/>
    <w:bookmarkStart w:id="238" w:name="persisted-output"/>
    <w:p>
      <w:pPr>
        <w:pStyle w:val="Heading2"/>
      </w:pPr>
      <w:r>
        <w:t xml:space="preserve">9.5 Persisted output</w:t>
      </w:r>
    </w:p>
    <w:p>
      <w:pPr>
        <w:pStyle w:val="FirstParagraph"/>
      </w:pPr>
      <w:r>
        <w:t xml:space="preserve">The merged result is stored as:</w:t>
      </w:r>
    </w:p>
    <w:p>
      <w:pPr>
        <w:pStyle w:val="Compact"/>
        <w:numPr>
          <w:ilvl w:val="0"/>
          <w:numId w:val="1023"/>
        </w:numPr>
      </w:pPr>
      <w:r>
        <w:rPr>
          <w:rStyle w:val="VerbatimChar"/>
          <w:b/>
          <w:bCs/>
        </w:rPr>
        <w:t xml:space="preserve">model</w:t>
      </w:r>
      <w:r>
        <w:t xml:space="preserve"> </w:t>
      </w:r>
      <w:r>
        <w:t xml:space="preserve">— one row per merged model, keyed by</w:t>
      </w:r>
      <w:r>
        <w:t xml:space="preserve"> </w:t>
      </w:r>
      <w:r>
        <w:rPr>
          <w:rStyle w:val="VerbatimChar"/>
        </w:rPr>
        <w:t xml:space="preserve">mdl_seq</w:t>
      </w:r>
      <w:r>
        <w:t xml:space="preserve">.</w:t>
      </w:r>
    </w:p>
    <w:p>
      <w:pPr>
        <w:pStyle w:val="Compact"/>
        <w:numPr>
          <w:ilvl w:val="0"/>
          <w:numId w:val="1023"/>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bookmarkEnd w:id="238"/>
    <w:bookmarkStart w:id="239"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v7 this yields</w:t>
      </w:r>
      <w:r>
        <w:t xml:space="preserve"> </w:t>
      </w:r>
      <w:r>
        <w:rPr>
          <w:b/>
          <w:bCs/>
        </w:rPr>
        <w:t xml:space="preserve">16,153 valid species</w:t>
      </w:r>
      <w:r>
        <w:t xml:space="preserve"> </w:t>
      </w:r>
      <w:r>
        <w:t xml:space="preserve">across the study area, of which</w:t>
      </w:r>
      <w:r>
        <w:t xml:space="preserve"> </w:t>
      </w:r>
      <w:r>
        <w:rPr>
          <w:b/>
          <w:bCs/>
        </w:rPr>
        <w:t xml:space="preserve">9,230</w:t>
      </w:r>
      <w:r>
        <w:t xml:space="preserve"> </w:t>
      </w:r>
      <w:r>
        <w:t xml:space="preserve">contribute to scores within the 20 BOEM Program Areas of the current program cycle.</w:t>
      </w:r>
    </w:p>
    <w:bookmarkEnd w:id="239"/>
    <w:bookmarkStart w:id="240"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40"/>
    <w:bookmarkEnd w:id="241"/>
    <w:bookmarkStart w:id="282"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Applications/quarto/share/formats/docx/tip.png" id="24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3">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48"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44"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44"/>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47"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45"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45"/>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46"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46"/>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47"/>
    <w:bookmarkEnd w:id="248"/>
    <w:bookmarkStart w:id="250"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49" w:name="tbl-metrics"/>
          <w:p>
            <w:pPr>
              <w:jc w:val="center"/>
            </w:pPr>
            <w:pPr>
              <w:jc w:val="left"/>
              <w:spacing w:before="200"/>
              <w:pStyle w:val="ImageCaption"/>
            </w:pPr>
            <w:r>
              <w:t xml:space="preserve">Table 10.1: Cell-level metrics published by v7.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1271"/>
              <w:gridCol w:w="6648"/>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 risk for bird</w:t>
                  </w:r>
                </w:p>
              </w:tc>
            </w:tr>
            <w:tr>
              <w:tc>
                <w:tcPr/>
                <w:p>
                  <w:pPr>
                    <w:pStyle w:val="Compact"/>
                    <w:jc w:val="left"/>
                    <w:jc w:val="center"/>
                  </w:pPr>
                  <w:r>
                    <w:rPr>
                      <w:rStyle w:val="VerbatimChar"/>
                    </w:rPr>
                    <w:t xml:space="preserve">extrisk_bird_ecoregion_rescaled</w:t>
                  </w:r>
                </w:p>
              </w:tc>
              <w:tc>
                <w:tcPr/>
                <w:p>
                  <w:pPr>
                    <w:pStyle w:val="Compact"/>
                    <w:jc w:val="left"/>
                    <w:jc w:val="center"/>
                  </w:pPr>
                  <w:r>
                    <w:t xml:space="preserve">Extinction risk for bird, rescaled to [0,100] based on Ecoregional min/max values</w:t>
                  </w:r>
                </w:p>
              </w:tc>
            </w:tr>
            <w:tr>
              <w:tc>
                <w:tcPr/>
                <w:p>
                  <w:pPr>
                    <w:pStyle w:val="Compact"/>
                    <w:jc w:val="left"/>
                    <w:jc w:val="center"/>
                  </w:pPr>
                  <w:r>
                    <w:rPr>
                      <w:rStyle w:val="VerbatimChar"/>
                    </w:rPr>
                    <w:t xml:space="preserve">extrisk_coral</w:t>
                  </w:r>
                </w:p>
              </w:tc>
              <w:tc>
                <w:tcPr/>
                <w:p>
                  <w:pPr>
                    <w:pStyle w:val="Compact"/>
                    <w:jc w:val="left"/>
                    <w:jc w:val="center"/>
                  </w:pPr>
                  <w:r>
                    <w:t xml:space="preserve">Extinction risk for coral</w:t>
                  </w:r>
                </w:p>
              </w:tc>
            </w:tr>
            <w:tr>
              <w:tc>
                <w:tcPr/>
                <w:p>
                  <w:pPr>
                    <w:pStyle w:val="Compact"/>
                    <w:jc w:val="left"/>
                    <w:jc w:val="center"/>
                  </w:pPr>
                  <w:r>
                    <w:rPr>
                      <w:rStyle w:val="VerbatimChar"/>
                    </w:rPr>
                    <w:t xml:space="preserve">extrisk_coral_ecoregion_rescaled</w:t>
                  </w:r>
                </w:p>
              </w:tc>
              <w:tc>
                <w:tcPr/>
                <w:p>
                  <w:pPr>
                    <w:pStyle w:val="Compact"/>
                    <w:jc w:val="left"/>
                    <w:jc w:val="center"/>
                  </w:pPr>
                  <w:r>
                    <w:t xml:space="preserve">Extinction risk for coral, rescaled to [0,100] based on Ecoregional min/max values</w:t>
                  </w:r>
                </w:p>
              </w:tc>
            </w:tr>
            <w:tr>
              <w:tc>
                <w:tcPr/>
                <w:p>
                  <w:pPr>
                    <w:pStyle w:val="Compact"/>
                    <w:jc w:val="left"/>
                    <w:jc w:val="center"/>
                  </w:pPr>
                  <w:r>
                    <w:rPr>
                      <w:rStyle w:val="VerbatimChar"/>
                    </w:rPr>
                    <w:t xml:space="preserve">extrisk_fish</w:t>
                  </w:r>
                </w:p>
              </w:tc>
              <w:tc>
                <w:tcPr/>
                <w:p>
                  <w:pPr>
                    <w:pStyle w:val="Compact"/>
                    <w:jc w:val="left"/>
                    <w:jc w:val="center"/>
                  </w:pPr>
                  <w:r>
                    <w:t xml:space="preserve">Extinction risk for fish</w:t>
                  </w:r>
                </w:p>
              </w:tc>
            </w:tr>
            <w:tr>
              <w:tc>
                <w:tcPr/>
                <w:p>
                  <w:pPr>
                    <w:pStyle w:val="Compact"/>
                    <w:jc w:val="left"/>
                    <w:jc w:val="center"/>
                  </w:pPr>
                  <w:r>
                    <w:rPr>
                      <w:rStyle w:val="VerbatimChar"/>
                    </w:rPr>
                    <w:t xml:space="preserve">extrisk_fish_ecoregion_rescaled</w:t>
                  </w:r>
                </w:p>
              </w:tc>
              <w:tc>
                <w:tcPr/>
                <w:p>
                  <w:pPr>
                    <w:pStyle w:val="Compact"/>
                    <w:jc w:val="left"/>
                    <w:jc w:val="center"/>
                  </w:pPr>
                  <w:r>
                    <w:t xml:space="preserve">Extinction risk for fish, rescaled to [0,100] based on Ecoregional min/max values</w:t>
                  </w: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 risk for invertebrate</w:t>
                  </w:r>
                </w:p>
              </w:tc>
            </w:tr>
            <w:tr>
              <w:tc>
                <w:tcPr/>
                <w:p>
                  <w:pPr>
                    <w:pStyle w:val="Compact"/>
                    <w:jc w:val="left"/>
                    <w:jc w:val="center"/>
                  </w:pPr>
                  <w:r>
                    <w:rPr>
                      <w:rStyle w:val="VerbatimChar"/>
                    </w:rPr>
                    <w:t xml:space="preserve">extrisk_invertebrate_ecoregion_rescaled</w:t>
                  </w:r>
                </w:p>
              </w:tc>
              <w:tc>
                <w:tcPr/>
                <w:p>
                  <w:pPr>
                    <w:pStyle w:val="Compact"/>
                    <w:jc w:val="left"/>
                    <w:jc w:val="center"/>
                  </w:pPr>
                  <w:r>
                    <w:t xml:space="preserve">Extinction risk for invertebrate, rescaled to [0,100] based on Ecoregional min/max values</w:t>
                  </w:r>
                </w:p>
              </w:tc>
            </w:tr>
            <w:tr>
              <w:tc>
                <w:tcPr/>
                <w:p>
                  <w:pPr>
                    <w:pStyle w:val="Compact"/>
                    <w:jc w:val="left"/>
                    <w:jc w:val="center"/>
                  </w:pPr>
                  <w:r>
                    <w:rPr>
                      <w:rStyle w:val="VerbatimChar"/>
                    </w:rPr>
                    <w:t xml:space="preserve">extrisk_mammal</w:t>
                  </w:r>
                </w:p>
              </w:tc>
              <w:tc>
                <w:tcPr/>
                <w:p>
                  <w:pPr>
                    <w:pStyle w:val="Compact"/>
                    <w:jc w:val="left"/>
                    <w:jc w:val="center"/>
                  </w:pPr>
                  <w:r>
                    <w:t xml:space="preserve">Extinction risk for mammal</w:t>
                  </w:r>
                </w:p>
              </w:tc>
            </w:tr>
            <w:tr>
              <w:tc>
                <w:tcPr/>
                <w:p>
                  <w:pPr>
                    <w:pStyle w:val="Compact"/>
                    <w:jc w:val="left"/>
                    <w:jc w:val="center"/>
                  </w:pPr>
                  <w:r>
                    <w:rPr>
                      <w:rStyle w:val="VerbatimChar"/>
                    </w:rPr>
                    <w:t xml:space="preserve">extrisk_mammal_ecoregion_rescaled</w:t>
                  </w:r>
                </w:p>
              </w:tc>
              <w:tc>
                <w:tcPr/>
                <w:p>
                  <w:pPr>
                    <w:pStyle w:val="Compact"/>
                    <w:jc w:val="left"/>
                    <w:jc w:val="center"/>
                  </w:pPr>
                  <w:r>
                    <w:t xml:space="preserve">Extinction risk for mammal, rescaled to [0,100] based on Ecoregional min/max values</w:t>
                  </w:r>
                </w:p>
              </w:tc>
            </w:tr>
            <w:tr>
              <w:tc>
                <w:tcPr/>
                <w:p>
                  <w:pPr>
                    <w:pStyle w:val="Compact"/>
                    <w:jc w:val="left"/>
                    <w:jc w:val="center"/>
                  </w:pPr>
                  <w:r>
                    <w:rPr>
                      <w:rStyle w:val="VerbatimChar"/>
                    </w:rPr>
                    <w:t xml:space="preserve">extrisk_other</w:t>
                  </w:r>
                </w:p>
              </w:tc>
              <w:tc>
                <w:tcPr/>
                <w:p>
                  <w:pPr>
                    <w:pStyle w:val="Compact"/>
                    <w:jc w:val="left"/>
                    <w:jc w:val="center"/>
                  </w:pPr>
                  <w:r>
                    <w:t xml:space="preserve">Extinction risk for other</w:t>
                  </w:r>
                </w:p>
              </w:tc>
            </w:tr>
            <w:tr>
              <w:tc>
                <w:tcPr/>
                <w:p>
                  <w:pPr>
                    <w:pStyle w:val="Compact"/>
                    <w:jc w:val="left"/>
                    <w:jc w:val="center"/>
                  </w:pPr>
                  <w:r>
                    <w:rPr>
                      <w:rStyle w:val="VerbatimChar"/>
                    </w:rPr>
                    <w:t xml:space="preserve">extrisk_other_ecoregion_rescaled</w:t>
                  </w:r>
                </w:p>
              </w:tc>
              <w:tc>
                <w:tcPr/>
                <w:p>
                  <w:pPr>
                    <w:pStyle w:val="Compact"/>
                    <w:jc w:val="left"/>
                    <w:jc w:val="center"/>
                  </w:pPr>
                  <w:r>
                    <w:t xml:space="preserve">Extinction risk for other, rescaled to [0,100] based on Ecoregional min/max values</w:t>
                  </w:r>
                </w:p>
              </w:tc>
            </w:tr>
            <w:tr>
              <w:tc>
                <w:tcPr/>
                <w:p>
                  <w:pPr>
                    <w:pStyle w:val="Compact"/>
                    <w:jc w:val="left"/>
                    <w:jc w:val="center"/>
                  </w:pPr>
                  <w:r>
                    <w:rPr>
                      <w:rStyle w:val="VerbatimChar"/>
                    </w:rPr>
                    <w:t xml:space="preserve">extrisk_turtle</w:t>
                  </w:r>
                </w:p>
              </w:tc>
              <w:tc>
                <w:tcPr/>
                <w:p>
                  <w:pPr>
                    <w:pStyle w:val="Compact"/>
                    <w:jc w:val="left"/>
                    <w:jc w:val="center"/>
                  </w:pPr>
                  <w:r>
                    <w:t xml:space="preserve">Extinction risk for turtle</w:t>
                  </w:r>
                </w:p>
              </w:tc>
            </w:tr>
            <w:tr>
              <w:tc>
                <w:tcPr/>
                <w:p>
                  <w:pPr>
                    <w:pStyle w:val="Compact"/>
                    <w:jc w:val="left"/>
                    <w:jc w:val="center"/>
                  </w:pPr>
                  <w:r>
                    <w:rPr>
                      <w:rStyle w:val="VerbatimChar"/>
                    </w:rPr>
                    <w:t xml:space="preserve">extrisk_turtle_ecoregion_rescaled</w:t>
                  </w:r>
                </w:p>
              </w:tc>
              <w:tc>
                <w:tcPr/>
                <w:p>
                  <w:pPr>
                    <w:pStyle w:val="Compact"/>
                    <w:jc w:val="left"/>
                    <w:jc w:val="center"/>
                  </w:pPr>
                  <w:r>
                    <w:t xml:space="preserve">Extinction risk for turtle, rescaled to [0,100] based on Ecoregional min/max values</w:t>
                  </w: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Oregon State Vertically Generalized Production Model (VGPM) from Visible Infrared Imaging Radiometer Suite (VIIRS) satellite data (mg C / m^2 / day) from daily averages available as monthly averaged to annual and averaged to overall for the most recently available full years of data 2014 to 2023</w:t>
                  </w:r>
                </w:p>
              </w:tc>
            </w:tr>
            <w:tr>
              <w:tc>
                <w:tcPr/>
                <w:p>
                  <w:pPr>
                    <w:pStyle w:val="Compact"/>
                    <w:jc w:val="left"/>
                    <w:jc w:val="center"/>
                  </w:pPr>
                  <w:r>
                    <w:rPr>
                      <w:rStyle w:val="VerbatimChar"/>
                    </w:rPr>
                    <w:t xml:space="preserve">primprod_ecoregion_rescaled</w:t>
                  </w:r>
                </w:p>
              </w:tc>
              <w:tc>
                <w:tcPr/>
                <w:p>
                  <w:pPr>
                    <w:pStyle w:val="Compact"/>
                    <w:jc w:val="left"/>
                    <w:jc w:val="center"/>
                  </w:pPr>
                  <w:r>
                    <w:t xml:space="preserve">Primary productivity rescaled to [0,100] based on Ecoregional min/max values</w:t>
                  </w: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Combined score of extinction risk per species category and primary productivity, equally weighted (and each previously rescaled [0,100] based on Ecoregional min/max values)</w:t>
                  </w:r>
                </w:p>
              </w:tc>
            </w:tr>
          </w:tbl>
          <w:bookmarkEnd w:id="249"/>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bird</w:t>
      </w:r>
      <w:r>
        <w:t xml:space="preserve">,</w:t>
      </w:r>
      <w:r>
        <w:t xml:space="preserve"> </w:t>
      </w:r>
      <w:r>
        <w:rPr>
          <w:rStyle w:val="VerbatimChar"/>
        </w:rPr>
        <w:t xml:space="preserve">coral</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250"/>
    <w:bookmarkStart w:id="254"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51"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51"/>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Applications/quarto/share/formats/docx/important.png" id="253"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54"/>
    <w:bookmarkStart w:id="260"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55" w:name="tbl-zones"/>
          <w:p>
            <w:pPr>
              <w:jc w:val="center"/>
            </w:pPr>
            <w:pPr>
              <w:jc w:val="left"/>
              <w:spacing w:before="200"/>
              <w:pStyle w:val="ImageCaption"/>
            </w:pPr>
            <w:r>
              <w:t xml:space="preserve">Table 10.2: Spatial units v7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Planning Area</w:t>
                  </w:r>
                </w:p>
              </w:tc>
              <w:tc>
                <w:tcPr/>
                <w:p>
                  <w:pPr>
                    <w:pStyle w:val="Compact"/>
                    <w:jc w:val="left"/>
                    <w:jc w:val="center"/>
                  </w:pPr>
                  <w:r>
                    <w:rPr>
                      <w:rStyle w:val="VerbatimChar"/>
                    </w:rPr>
                    <w:t xml:space="preserve">planarea_key</w:t>
                  </w:r>
                </w:p>
              </w:tc>
              <w:tc>
                <w:tcPr/>
                <w:p>
                  <w:pPr>
                    <w:pStyle w:val="Compact"/>
                    <w:jc w:val="right"/>
                    <w:jc w:val="center"/>
                  </w:pPr>
                  <w:r>
                    <w:t xml:space="preserve">36</w:t>
                  </w:r>
                </w:p>
              </w:tc>
              <w:tc>
                <w:tcPr/>
                <w:p>
                  <w:pPr>
                    <w:pStyle w:val="Compact"/>
                    <w:jc w:val="left"/>
                    <w:jc w:val="center"/>
                  </w:pPr>
                  <w:r>
                    <w:rPr>
                      <w:rStyle w:val="VerbatimChar"/>
                    </w:rPr>
                    <w:t xml:space="preserve">planarea_2025-06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5</w:t>
                  </w:r>
                </w:p>
              </w:tc>
              <w:tc>
                <w:tcPr/>
                <w:p>
                  <w:pPr>
                    <w:pStyle w:val="Compact"/>
                    <w:jc w:val="left"/>
                    <w:jc w:val="center"/>
                  </w:pPr>
                  <w:r>
                    <w:rPr>
                      <w:rStyle w:val="VerbatimChar"/>
                    </w:rPr>
                    <w:t xml:space="preserve">subregion_2025-06</w:t>
                  </w:r>
                </w:p>
              </w:tc>
            </w:tr>
          </w:tbl>
          <w:bookmarkEnd w:id="255"/>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59"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58" w:name="fig-map-ecoregions-scoring"/>
          <w:p>
            <w:pPr>
              <w:pStyle w:val="Compact"/>
              <w:jc w:val="center"/>
            </w:pPr>
            <w:r>
              <w:drawing>
                <wp:inline>
                  <wp:extent cx="5334000" cy="3182620"/>
                  <wp:effectExtent b="0" l="0" r="0" t="0"/>
                  <wp:docPr descr="" title="" id="256" name="Picture"/>
                  <a:graphic>
                    <a:graphicData uri="http://schemas.openxmlformats.org/drawingml/2006/picture">
                      <pic:pic>
                        <pic:nvPicPr>
                          <pic:cNvPr descr="figures/map-ecoregions-static.png" id="257" name="Picture"/>
                          <pic:cNvPicPr>
                            <a:picLocks noChangeArrowheads="1" noChangeAspect="1"/>
                          </pic:cNvPicPr>
                        </pic:nvPicPr>
                        <pic:blipFill>
                          <a:blip r:embed="rId121"/>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258"/>
        </w:tc>
      </w:tr>
    </w:tbl>
    <w:bookmarkEnd w:id="259"/>
    <w:bookmarkEnd w:id="260"/>
    <w:bookmarkStart w:id="261"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61"/>
    <w:bookmarkStart w:id="263"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62"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62"/>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End w:id="263"/>
    <w:bookmarkStart w:id="280" w:name="visualization"/>
    <w:p>
      <w:pPr>
        <w:pStyle w:val="Heading2"/>
      </w:pPr>
      <w:r>
        <w:t xml:space="preserve">10.7 Visualization</w:t>
      </w:r>
    </w:p>
    <w:bookmarkStart w:id="268"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4"/>
        </w:numPr>
      </w:pPr>
      <w:r>
        <w:rPr>
          <w:b/>
          <w:bCs/>
        </w:rPr>
        <w:t xml:space="preserve">petal length</w:t>
      </w:r>
      <w:r>
        <w:t xml:space="preserve"> </w:t>
      </w:r>
      <w:r>
        <w:t xml:space="preserve">— the rescaled score (0–100) for that category; longer means more sensitive</w:t>
      </w:r>
    </w:p>
    <w:p>
      <w:pPr>
        <w:pStyle w:val="Compact"/>
        <w:numPr>
          <w:ilvl w:val="0"/>
          <w:numId w:val="1024"/>
        </w:numPr>
      </w:pPr>
      <w:r>
        <w:rPr>
          <w:b/>
          <w:bCs/>
        </w:rPr>
        <w:t xml:space="preserve">petal width</w:t>
      </w:r>
      <w:r>
        <w:t xml:space="preserve"> </w:t>
      </w:r>
      <w:r>
        <w:t xml:space="preserve">— that category’s weight in the composite; wider means more influence</w:t>
      </w:r>
    </w:p>
    <w:p>
      <w:pPr>
        <w:pStyle w:val="Compact"/>
        <w:numPr>
          <w:ilvl w:val="0"/>
          <w:numId w:val="1024"/>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67" w:name="fig-flower-programareas"/>
          <w:p>
            <w:pPr>
              <w:pStyle w:val="Compact"/>
              <w:jc w:val="center"/>
            </w:pPr>
            <w:r>
              <w:drawing>
                <wp:inline>
                  <wp:extent cx="5334000" cy="3556000"/>
                  <wp:effectExtent b="0" l="0" r="0" t="0"/>
                  <wp:docPr descr="" title="" id="265" name="Picture"/>
                  <a:graphic>
                    <a:graphicData uri="http://schemas.openxmlformats.org/drawingml/2006/picture">
                      <pic:pic>
                        <pic:nvPicPr>
                          <pic:cNvPr descr="figures/flower-plot_programareas.png" id="266" name="Picture"/>
                          <pic:cNvPicPr>
                            <a:picLocks noChangeArrowheads="1" noChangeAspect="1"/>
                          </pic:cNvPicPr>
                        </pic:nvPicPr>
                        <pic:blipFill>
                          <a:blip r:embed="rId264"/>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67"/>
        </w:tc>
      </w:tr>
    </w:tbl>
    <w:p>
      <w:pPr>
        <w:pStyle w:val="BodyText"/>
      </w:pPr>
      <w:r>
        <w:t xml:space="preserve">It lets a reader see at a glance which ecological elements drive sensitivity in an area. The scores app implements an interactive version.</w:t>
      </w:r>
    </w:p>
    <w:bookmarkEnd w:id="268"/>
    <w:bookmarkStart w:id="277"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72" w:name="fig-treemap"/>
          <w:p>
            <w:pPr>
              <w:pStyle w:val="Compact"/>
              <w:jc w:val="center"/>
            </w:pPr>
            <w:r>
              <w:drawing>
                <wp:inline>
                  <wp:extent cx="5118100" cy="4572000"/>
                  <wp:effectExtent b="0" l="0" r="0" t="0"/>
                  <wp:docPr descr="" title="" id="270" name="Picture"/>
                  <a:graphic>
                    <a:graphicData uri="http://schemas.openxmlformats.org/drawingml/2006/picture">
                      <pic:pic>
                        <pic:nvPicPr>
                          <pic:cNvPr descr="figures/treeamap_extrisk-taxa.png" id="271" name="Picture"/>
                          <pic:cNvPicPr>
                            <a:picLocks noChangeArrowheads="1" noChangeAspect="1"/>
                          </pic:cNvPicPr>
                        </pic:nvPicPr>
                        <pic:blipFill>
                          <a:blip r:embed="rId269"/>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6" w:name="fig-treemap-zoom"/>
          <w:p>
            <w:pPr>
              <w:pStyle w:val="Compact"/>
              <w:jc w:val="center"/>
            </w:pPr>
            <w:r>
              <w:drawing>
                <wp:inline>
                  <wp:extent cx="5334000" cy="3673186"/>
                  <wp:effectExtent b="0" l="0" r="0" t="0"/>
                  <wp:docPr descr="" title="" id="274" name="Picture"/>
                  <a:graphic>
                    <a:graphicData uri="http://schemas.openxmlformats.org/drawingml/2006/picture">
                      <pic:pic>
                        <pic:nvPicPr>
                          <pic:cNvPr descr="figures/treeamap_extrisk-taxa_zoom.png" id="275" name="Picture"/>
                          <pic:cNvPicPr>
                            <a:picLocks noChangeArrowheads="1" noChangeAspect="1"/>
                          </pic:cNvPicPr>
                        </pic:nvPicPr>
                        <pic:blipFill>
                          <a:blip r:embed="rId273"/>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76"/>
        </w:tc>
      </w:tr>
    </w:tbl>
    <w:bookmarkEnd w:id="277"/>
    <w:bookmarkStart w:id="278"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78"/>
    <w:bookmarkStart w:id="279" w:name="interactive-maps"/>
    <w:p>
      <w:pPr>
        <w:pStyle w:val="Heading3"/>
      </w:pPr>
      <w:r>
        <w:t xml:space="preserve">10.7.4 Interactive maps</w:t>
      </w:r>
    </w:p>
    <w:p>
      <w:pPr>
        <w:pStyle w:val="FirstParagraph"/>
      </w:pPr>
      <w:r>
        <w:t xml:space="preserve">Two Shiny applications present the results, each rendering</w:t>
      </w:r>
      <w:r>
        <w:t xml:space="preserve"> </w:t>
      </w:r>
      <w:r>
        <w:rPr>
          <w:b/>
          <w:bCs/>
        </w:rPr>
        <w:t xml:space="preserve">any published release</w:t>
      </w:r>
      <w:r>
        <w:t xml:space="preserve"> </w:t>
      </w:r>
      <w:r>
        <w:t xml:space="preserve">from the URL path rather than being frozen to one:</w:t>
      </w:r>
    </w:p>
    <w:p>
      <w:pPr>
        <w:pStyle w:val="Compact"/>
        <w:numPr>
          <w:ilvl w:val="0"/>
          <w:numId w:val="1025"/>
        </w:numPr>
      </w:pPr>
      <w:hyperlink r:id="rId21">
        <w:r>
          <w:rPr>
            <w:rStyle w:val="Hyperlink"/>
            <w:b/>
            <w:bCs/>
          </w:rPr>
          <w:t xml:space="preserve">Scores</w:t>
        </w:r>
      </w:hyperlink>
      <w:r>
        <w:t xml:space="preserve"> </w:t>
      </w:r>
      <w:r>
        <w:t xml:space="preserve">— composite and per-category sensitivity by zone, with flower plots and treemaps (see</w:t>
      </w:r>
      <w:r>
        <w:t xml:space="preserve"> </w:t>
      </w:r>
      <w:hyperlink w:anchor="sec-app-scores">
        <w:r>
          <w:rPr>
            <w:rStyle w:val="Hyperlink"/>
          </w:rPr>
          <w:t xml:space="preserve">Appendix D</w:t>
        </w:r>
      </w:hyperlink>
      <w:r>
        <w:t xml:space="preserve">)</w:t>
      </w:r>
    </w:p>
    <w:p>
      <w:pPr>
        <w:pStyle w:val="Compact"/>
        <w:numPr>
          <w:ilvl w:val="0"/>
          <w:numId w:val="1025"/>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species">
        <w:r>
          <w:rPr>
            <w:rStyle w:val="Hyperlink"/>
          </w:rPr>
          <w:t xml:space="preserve">Appendix F</w:t>
        </w:r>
      </w:hyperlink>
      <w:r>
        <w:t xml:space="preserve">)</w:t>
      </w:r>
    </w:p>
    <w:p>
      <w:pPr>
        <w:pStyle w:val="FirstParagraph"/>
      </w:pPr>
      <w:r>
        <w:t xml:space="preserve">Substitute the version in the path (e.g. </w:t>
      </w:r>
      <w:r>
        <w:rPr>
          <w:rStyle w:val="VerbatimChar"/>
        </w:rPr>
        <w:t xml:space="preserve">/v3/scores/</w:t>
      </w:r>
      <w:r>
        <w:t xml:space="preserve">) to view that release; an older</w:t>
      </w:r>
      <w:r>
        <w:t xml:space="preserve"> </w:t>
      </w:r>
      <w:r>
        <w:rPr>
          <w:rStyle w:val="VerbatimChar"/>
        </w:rPr>
        <w:t xml:space="preserve">?ver=v3</w:t>
      </w:r>
      <w:r>
        <w:t xml:space="preserve"> </w:t>
      </w:r>
      <w:r>
        <w:t xml:space="preserve">deep link still resolves, 301’d to the equivalent path. See</w:t>
      </w:r>
      <w:r>
        <w:t xml:space="preserve"> </w:t>
      </w:r>
      <w:hyperlink w:anchor="sec-apps">
        <w:r>
          <w:rPr>
            <w:rStyle w:val="Hyperlink"/>
          </w:rPr>
          <w:t xml:space="preserve">Chapter 19</w:t>
        </w:r>
      </w:hyperlink>
      <w:r>
        <w:t xml:space="preserve">.</w:t>
      </w:r>
    </w:p>
    <w:bookmarkEnd w:id="279"/>
    <w:bookmarkEnd w:id="280"/>
    <w:bookmarkStart w:id="281"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81"/>
    <w:bookmarkEnd w:id="282"/>
    <w:bookmarkStart w:id="285"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83">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84" w:name="mst-walkthrough-root"/>
    <w:bookmarkEnd w:id="284"/>
    <w:bookmarkEnd w:id="285"/>
    <w:bookmarkStart w:id="292"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90"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9" w:name="fig-cum-effects"/>
          <w:p>
            <w:pPr>
              <w:pStyle w:val="Compact"/>
              <w:jc w:val="center"/>
            </w:pPr>
            <w:r>
              <w:drawing>
                <wp:inline>
                  <wp:extent cx="5334000" cy="3953635"/>
                  <wp:effectExtent b="0" l="0" r="0" t="0"/>
                  <wp:docPr descr="" title="" id="287" name="Picture"/>
                  <a:graphic>
                    <a:graphicData uri="http://schemas.openxmlformats.org/drawingml/2006/picture">
                      <pic:pic>
                        <pic:nvPicPr>
                          <pic:cNvPr descr="figures/goodale2016_cumulative-effects.png" id="288" name="Picture"/>
                          <pic:cNvPicPr>
                            <a:picLocks noChangeArrowheads="1" noChangeAspect="1"/>
                          </pic:cNvPicPr>
                        </pic:nvPicPr>
                        <pic:blipFill>
                          <a:blip r:embed="rId286"/>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89"/>
        </w:tc>
      </w:tr>
    </w:tbl>
    <w:bookmarkEnd w:id="290"/>
    <w:bookmarkStart w:id="291" w:name="oil-gas"/>
    <w:p>
      <w:pPr>
        <w:pStyle w:val="Heading2"/>
      </w:pPr>
      <w:r>
        <w:t xml:space="preserve">12.2 Oil &amp; Gas</w:t>
      </w:r>
    </w:p>
    <w:bookmarkEnd w:id="291"/>
    <w:bookmarkEnd w:id="292"/>
    <w:bookmarkStart w:id="350" w:name="sec-software"/>
    <w:p>
      <w:pPr>
        <w:pStyle w:val="Heading1"/>
      </w:pPr>
      <w:r>
        <w:t xml:space="preserve">13. Software</w:t>
      </w:r>
    </w:p>
    <w:bookmarkStart w:id="349"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26"/>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26"/>
        </w:numPr>
      </w:pPr>
      <w:r>
        <w:rPr>
          <w:b/>
          <w:bCs/>
        </w:rPr>
        <w:t xml:space="preserve">database</w:t>
      </w:r>
      <w:r>
        <w:t xml:space="preserve"> </w:t>
      </w:r>
      <w:r>
        <w:t xml:space="preserve">— a columnar, embedded analytic database (</w:t>
      </w:r>
      <w:hyperlink r:id="rId293">
        <w:r>
          <w:rPr>
            <w:rStyle w:val="Hyperlink"/>
            <w:b/>
            <w:bCs/>
          </w:rPr>
          <w:t xml:space="preserve">DuckDB</w:t>
        </w:r>
      </w:hyperlink>
      <w:r>
        <w:t xml:space="preserve">) as the single source of truth for species distributions, per-cell scores and derived per-zone metrics;</w:t>
      </w:r>
    </w:p>
    <w:p>
      <w:pPr>
        <w:pStyle w:val="Compact"/>
        <w:numPr>
          <w:ilvl w:val="0"/>
          <w:numId w:val="1026"/>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26"/>
        </w:numPr>
      </w:pPr>
      <w:r>
        <w:rPr>
          <w:b/>
          <w:bCs/>
        </w:rPr>
        <w:t xml:space="preserve">APIs</w:t>
      </w:r>
      <w:r>
        <w:t xml:space="preserve"> </w:t>
      </w:r>
      <w:r>
        <w:t xml:space="preserve">— a custom R</w:t>
      </w:r>
      <w:r>
        <w:t xml:space="preserve"> </w:t>
      </w:r>
      <w:hyperlink r:id="rId294">
        <w:r>
          <w:rPr>
            <w:rStyle w:val="VerbatimChar"/>
          </w:rPr>
          <w:t xml:space="preserve">plumber</w:t>
        </w:r>
      </w:hyperlink>
      <w:r>
        <w:t xml:space="preserve"> </w:t>
      </w:r>
      <w:r>
        <w:t xml:space="preserve">API for data requests,</w:t>
      </w:r>
      <w:r>
        <w:t xml:space="preserve"> </w:t>
      </w:r>
      <w:hyperlink r:id="rId295">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26"/>
        </w:numPr>
      </w:pPr>
      <w:r>
        <w:rPr>
          <w:b/>
          <w:bCs/>
        </w:rPr>
        <w:t xml:space="preserve">libraries</w:t>
      </w:r>
      <w:r>
        <w:t xml:space="preserve"> </w:t>
      </w:r>
      <w:r>
        <w:t xml:space="preserve">— re-usable documented functions as the</w:t>
      </w:r>
      <w:r>
        <w:t xml:space="preserve"> </w:t>
      </w:r>
      <w:hyperlink r:id="rId296">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26"/>
        </w:numPr>
      </w:pPr>
      <w:r>
        <w:rPr>
          <w:b/>
          <w:bCs/>
        </w:rPr>
        <w:t xml:space="preserve">applications</w:t>
      </w:r>
      <w:r>
        <w:t xml:space="preserve"> </w:t>
      </w:r>
      <w:r>
        <w:t xml:space="preserve">— two Shiny apps (</w:t>
      </w:r>
      <w:r>
        <w:rPr>
          <w:rStyle w:val="VerbatimChar"/>
        </w:rPr>
        <w:t xml:space="preserve">scores</w:t>
      </w:r>
      <w:r>
        <w:t xml:space="preserve">,</w:t>
      </w:r>
      <w:r>
        <w:t xml:space="preserve"> </w:t>
      </w:r>
      <w:r>
        <w:rPr>
          <w:rStyle w:val="VerbatimChar"/>
        </w:rPr>
        <w:t xml:space="preserve">species</w:t>
      </w:r>
      <w:r>
        <w:t xml:space="preserve">) that combine COG raster layers with static</w:t>
      </w:r>
      <w:r>
        <w:t xml:space="preserve"> </w:t>
      </w:r>
      <w:hyperlink r:id="rId297">
        <w:r>
          <w:rPr>
            <w:rStyle w:val="Hyperlink"/>
          </w:rPr>
          <w:t xml:space="preserve">PMTiles</w:t>
        </w:r>
      </w:hyperlink>
      <w:r>
        <w:t xml:space="preserve"> </w:t>
      </w:r>
      <w:r>
        <w:t xml:space="preserve">vector layers and live-pushed choropleth paint rules, each rendering</w:t>
      </w:r>
      <w:r>
        <w:t xml:space="preserve"> </w:t>
      </w:r>
      <w:r>
        <w:rPr>
          <w:b/>
          <w:bCs/>
        </w:rPr>
        <w:t xml:space="preserve">any published release</w:t>
      </w:r>
      <w:r>
        <w:t xml:space="preserve"> </w:t>
      </w:r>
      <w:r>
        <w:t xml:space="preserve">from the URL path;</w:t>
      </w:r>
    </w:p>
    <w:p>
      <w:pPr>
        <w:pStyle w:val="Compact"/>
        <w:numPr>
          <w:ilvl w:val="0"/>
          <w:numId w:val="1026"/>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301" w:name="fig-architecture"/>
          <w:p>
            <w:pPr>
              <w:jc w:val="center"/>
            </w:pPr>
            <w:r>
              <w:drawing>
                <wp:inline>
                  <wp:extent cx="5334000" cy="2087880"/>
                  <wp:effectExtent b="0" l="0" r="0" t="0"/>
                  <wp:docPr descr="" title="" id="299" name="Picture"/>
                  <a:graphic>
                    <a:graphicData uri="http://schemas.openxmlformats.org/drawingml/2006/picture">
                      <pic:pic>
                        <pic:nvPicPr>
                          <pic:cNvPr descr="software_files/figure-docx/mermaid-figure-6.png" id="300" name="Picture"/>
                          <pic:cNvPicPr>
                            <a:picLocks noChangeArrowheads="1" noChangeAspect="1"/>
                          </pic:cNvPicPr>
                        </pic:nvPicPr>
                        <pic:blipFill>
                          <a:blip r:embed="rId298"/>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301"/>
        </w:tc>
      </w:tr>
    </w:tbl>
    <w:bookmarkStart w:id="303" w:name="interactive-applications"/>
    <w:p>
      <w:pPr>
        <w:pStyle w:val="Heading3"/>
      </w:pPr>
      <w:r>
        <w:t xml:space="preserve">13.1.1 Interactive Applications</w:t>
      </w:r>
    </w:p>
    <w:p>
      <w:pPr>
        <w:pStyle w:val="FirstParagraph"/>
      </w:pPr>
      <w:r>
        <w:t xml:space="preserve">We have developed a series of interactive applications to explore the data and results of the MST project. These applications allow users to visualize the data, explore the results, and interact with the data in a more intuitive way. The applications are built using the</w:t>
      </w:r>
      <w:r>
        <w:t xml:space="preserve"> </w:t>
      </w:r>
      <w:hyperlink r:id="rId302">
        <w:r>
          <w:rPr>
            <w:rStyle w:val="VerbatimChar"/>
          </w:rPr>
          <w:t xml:space="preserve">shiny</w:t>
        </w:r>
      </w:hyperlink>
      <w:r>
        <w:t xml:space="preserve"> </w:t>
      </w:r>
      <w:r>
        <w:t xml:space="preserve">package in R</w:t>
      </w:r>
      <w:r>
        <w:t xml:space="preserve"> </w:t>
      </w:r>
      <w:r>
        <w:t xml:space="preserve">(Chang et al. 2024)</w:t>
      </w:r>
      <w:r>
        <w:t xml:space="preserve">, which allows us to easily create a user interface with complex reactivity for an interactive web application easily accessed through a web browser. The applications are designed to be user-friendly and intuitive, with interactive maps, charts, and tables that allow users to explore the data in a more dynamic way.</w:t>
      </w:r>
    </w:p>
    <w:bookmarkEnd w:id="303"/>
    <w:bookmarkStart w:id="328"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04">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05">
        <w:r>
          <w:rPr>
            <w:rStyle w:val="Hyperlink"/>
          </w:rPr>
          <w:t xml:space="preserve">Cloud-Optimized Geospatial Formats Guide</w:t>
        </w:r>
      </w:hyperlink>
      <w:r>
        <w:t xml:space="preserve">) that transfers only the pixels / features visible in the current viewport:</w:t>
      </w:r>
    </w:p>
    <w:p>
      <w:pPr>
        <w:pStyle w:val="Compact"/>
        <w:numPr>
          <w:ilvl w:val="0"/>
          <w:numId w:val="1027"/>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27"/>
        </w:numPr>
      </w:pPr>
      <w:r>
        <w:rPr>
          <w:b/>
          <w:bCs/>
        </w:rPr>
        <w:t xml:space="preserve">Vector polygons</w:t>
      </w:r>
      <w:r>
        <w:t xml:space="preserve"> </w:t>
      </w:r>
      <w:r>
        <w:t xml:space="preserve">(Program Areas, Ecoregions, Planning Areas, …) are served as static</w:t>
      </w:r>
      <w:r>
        <w:t xml:space="preserve"> </w:t>
      </w:r>
      <w:hyperlink r:id="rId297">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27"/>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10"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28"/>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28"/>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09" w:name="fig-raster"/>
          <w:p>
            <w:pPr>
              <w:jc w:val="center"/>
            </w:pPr>
            <w:r>
              <w:drawing>
                <wp:inline>
                  <wp:extent cx="5334000" cy="2895599"/>
                  <wp:effectExtent b="0" l="0" r="0" t="0"/>
                  <wp:docPr descr="" title="" id="307" name="Picture"/>
                  <a:graphic>
                    <a:graphicData uri="http://schemas.openxmlformats.org/drawingml/2006/picture">
                      <pic:pic>
                        <pic:nvPicPr>
                          <pic:cNvPr descr="software_files/figure-docx/mermaid-figure-10.png" id="308" name="Picture"/>
                          <pic:cNvPicPr>
                            <a:picLocks noChangeArrowheads="1" noChangeAspect="1"/>
                          </pic:cNvPicPr>
                        </pic:nvPicPr>
                        <pic:blipFill>
                          <a:blip r:embed="rId306"/>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09"/>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10"/>
    <w:bookmarkStart w:id="317"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297">
        <w:r>
          <w:rPr>
            <w:rStyle w:val="Hyperlink"/>
          </w:rPr>
          <w:t xml:space="preserve">PMTiles</w:t>
        </w:r>
      </w:hyperlink>
      <w:r>
        <w:t xml:space="preserve"> </w:t>
      </w:r>
      <w:r>
        <w:t xml:space="preserve">archives offline via</w:t>
      </w:r>
      <w:r>
        <w:t xml:space="preserve"> </w:t>
      </w:r>
      <w:hyperlink r:id="rId311">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5" w:name="fig-pmtiles"/>
          <w:p>
            <w:pPr>
              <w:jc w:val="center"/>
            </w:pPr>
            <w:r>
              <w:drawing>
                <wp:inline>
                  <wp:extent cx="5334000" cy="1866900"/>
                  <wp:effectExtent b="0" l="0" r="0" t="0"/>
                  <wp:docPr descr="" title="" id="313" name="Picture"/>
                  <a:graphic>
                    <a:graphicData uri="http://schemas.openxmlformats.org/drawingml/2006/picture">
                      <pic:pic>
                        <pic:nvPicPr>
                          <pic:cNvPr descr="software_files/figure-docx/mermaid-figure-9.png" id="314" name="Picture"/>
                          <pic:cNvPicPr>
                            <a:picLocks noChangeArrowheads="1" noChangeAspect="1"/>
                          </pic:cNvPicPr>
                        </pic:nvPicPr>
                        <pic:blipFill>
                          <a:blip r:embed="rId312"/>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15"/>
        </w:tc>
      </w:tr>
    </w:tbl>
    <w:p>
      <w:pPr>
        <w:pStyle w:val="BodyText"/>
      </w:pPr>
      <w:r>
        <w:t xml:space="preserve">This is a deliberate simplification from the prior architecture which used PostgreSQL + PostGIS +</w:t>
      </w:r>
      <w:r>
        <w:t xml:space="preserve"> </w:t>
      </w:r>
      <w:hyperlink r:id="rId316">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17"/>
    <w:bookmarkStart w:id="322"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The Shiny server handles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maps</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1" w:name="fig-choropleth"/>
          <w:p>
            <w:pPr>
              <w:jc w:val="center"/>
            </w:pPr>
            <w:r>
              <w:drawing>
                <wp:inline>
                  <wp:extent cx="5334000" cy="2339340"/>
                  <wp:effectExtent b="0" l="0" r="0" t="0"/>
                  <wp:docPr descr="" title="" id="319" name="Picture"/>
                  <a:graphic>
                    <a:graphicData uri="http://schemas.openxmlformats.org/drawingml/2006/picture">
                      <pic:pic>
                        <pic:nvPicPr>
                          <pic:cNvPr descr="software_files/figure-docx/mermaid-figure-8.png" id="320" name="Picture"/>
                          <pic:cNvPicPr>
                            <a:picLocks noChangeArrowheads="1" noChangeAspect="1"/>
                          </pic:cNvPicPr>
                        </pic:nvPicPr>
                        <pic:blipFill>
                          <a:blip r:embed="rId318"/>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21"/>
        </w:tc>
      </w:tr>
    </w:tbl>
    <w:bookmarkEnd w:id="322"/>
    <w:bookmarkStart w:id="327"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6" w:name="fig-data-pipeline"/>
          <w:p>
            <w:pPr>
              <w:jc w:val="center"/>
            </w:pPr>
            <w:r>
              <w:drawing>
                <wp:inline>
                  <wp:extent cx="5334000" cy="3055619"/>
                  <wp:effectExtent b="0" l="0" r="0" t="0"/>
                  <wp:docPr descr="" title="" id="324" name="Picture"/>
                  <a:graphic>
                    <a:graphicData uri="http://schemas.openxmlformats.org/drawingml/2006/picture">
                      <pic:pic>
                        <pic:nvPicPr>
                          <pic:cNvPr descr="software_files/figure-docx/mermaid-figure-7.png" id="325" name="Picture"/>
                          <pic:cNvPicPr>
                            <a:picLocks noChangeArrowheads="1" noChangeAspect="1"/>
                          </pic:cNvPicPr>
                        </pic:nvPicPr>
                        <pic:blipFill>
                          <a:blip r:embed="rId323"/>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26"/>
        </w:tc>
      </w:tr>
    </w:tbl>
    <w:bookmarkEnd w:id="327"/>
    <w:bookmarkEnd w:id="328"/>
    <w:bookmarkStart w:id="343" w:name="github-repositories"/>
    <w:p>
      <w:pPr>
        <w:pStyle w:val="Heading3"/>
      </w:pPr>
      <w:r>
        <w:t xml:space="preserve">13.1.3 Github Repositories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jc w:val="left"/>
            </w:pPr>
            <w:r>
              <w:t xml:space="preserve">repo</w:t>
            </w:r>
          </w:p>
        </w:tc>
        <w:tc>
          <w:tcPr/>
          <w:p>
            <w:pPr>
              <w:pStyle w:val="Compact"/>
              <w:jc w:val="left"/>
            </w:pPr>
            <w:r>
              <w:t xml:space="preserve">description</w:t>
            </w:r>
          </w:p>
        </w:tc>
      </w:tr>
      <w:tr>
        <w:tc>
          <w:tcPr/>
          <w:p>
            <w:pPr>
              <w:pStyle w:val="Compact"/>
              <w:jc w:val="left"/>
            </w:pPr>
            <w:hyperlink r:id="rId329">
              <w:r>
                <w:rPr>
                  <w:rStyle w:val="Hyperlink"/>
                </w:rPr>
                <w:t xml:space="preserve">.github</w:t>
              </w:r>
            </w:hyperlink>
          </w:p>
        </w:tc>
        <w:tc>
          <w:tcPr/>
          <w:p>
            <w:pPr>
              <w:pStyle w:val="Compact"/>
              <w:jc w:val="left"/>
            </w:pPr>
            <w:r>
              <w:t xml:space="preserve">organization README</w:t>
            </w:r>
          </w:p>
        </w:tc>
      </w:tr>
      <w:tr>
        <w:tc>
          <w:tcPr/>
          <w:p>
            <w:pPr>
              <w:pStyle w:val="Compact"/>
              <w:jc w:val="left"/>
            </w:pPr>
            <w:hyperlink r:id="rId330">
              <w:r>
                <w:rPr>
                  <w:rStyle w:val="Hyperlink"/>
                </w:rPr>
                <w:t xml:space="preserve">analytics</w:t>
              </w:r>
            </w:hyperlink>
          </w:p>
        </w:tc>
        <w:tc>
          <w:tcPr/>
          <w:p>
            <w:pPr>
              <w:pStyle w:val="Compact"/>
              <w:jc w:val="left"/>
            </w:pPr>
            <w:r>
              <w:t xml:space="preserve">NA</w:t>
            </w:r>
          </w:p>
        </w:tc>
      </w:tr>
      <w:tr>
        <w:tc>
          <w:tcPr/>
          <w:p>
            <w:pPr>
              <w:pStyle w:val="Compact"/>
              <w:jc w:val="left"/>
            </w:pPr>
            <w:hyperlink r:id="rId331">
              <w:r>
                <w:rPr>
                  <w:rStyle w:val="Hyperlink"/>
                </w:rPr>
                <w:t xml:space="preserve">api</w:t>
              </w:r>
            </w:hyperlink>
          </w:p>
        </w:tc>
        <w:tc>
          <w:tcPr/>
          <w:p>
            <w:pPr>
              <w:pStyle w:val="Compact"/>
              <w:jc w:val="left"/>
            </w:pPr>
            <w:r>
              <w:t xml:space="preserve">application programming interface (API) using R Plumber package</w:t>
            </w:r>
          </w:p>
        </w:tc>
      </w:tr>
      <w:tr>
        <w:tc>
          <w:tcPr/>
          <w:p>
            <w:pPr>
              <w:pStyle w:val="Compact"/>
              <w:jc w:val="left"/>
            </w:pPr>
            <w:hyperlink r:id="rId332">
              <w:r>
                <w:rPr>
                  <w:rStyle w:val="Hyperlink"/>
                </w:rPr>
                <w:t xml:space="preserve">app</w:t>
              </w:r>
            </w:hyperlink>
          </w:p>
        </w:tc>
        <w:tc>
          <w:tcPr/>
          <w:p>
            <w:pPr>
              <w:pStyle w:val="Compact"/>
              <w:jc w:val="left"/>
            </w:pPr>
            <w:r>
              <w:t xml:space="preserve">app for viewing and summarizing MST composite scores and individual species distributions</w:t>
            </w:r>
          </w:p>
        </w:tc>
      </w:tr>
      <w:tr>
        <w:tc>
          <w:tcPr/>
          <w:p>
            <w:pPr>
              <w:pStyle w:val="Compact"/>
              <w:jc w:val="left"/>
            </w:pPr>
            <w:hyperlink r:id="rId333">
              <w:r>
                <w:rPr>
                  <w:rStyle w:val="Hyperlink"/>
                </w:rPr>
                <w:t xml:space="preserve">apps</w:t>
              </w:r>
            </w:hyperlink>
          </w:p>
        </w:tc>
        <w:tc>
          <w:tcPr/>
          <w:p>
            <w:pPr>
              <w:pStyle w:val="Compact"/>
              <w:jc w:val="left"/>
            </w:pPr>
            <w:r>
              <w:t xml:space="preserve">Shiny applications</w:t>
            </w:r>
          </w:p>
        </w:tc>
      </w:tr>
      <w:tr>
        <w:tc>
          <w:tcPr/>
          <w:p>
            <w:pPr>
              <w:pStyle w:val="Compact"/>
              <w:jc w:val="left"/>
            </w:pPr>
            <w:hyperlink r:id="rId334">
              <w:r>
                <w:rPr>
                  <w:rStyle w:val="Hyperlink"/>
                </w:rPr>
                <w:t xml:space="preserve">atlas</w:t>
              </w:r>
            </w:hyperlink>
          </w:p>
        </w:tc>
        <w:tc>
          <w:tcPr/>
          <w:p>
            <w:pPr>
              <w:pStyle w:val="Compact"/>
              <w:jc w:val="left"/>
            </w:pPr>
            <w:r>
              <w:t xml:space="preserve">Marine Sensitivity Atlas: one static browser app for scores, species, places and reports, reading the published marine-atlas release</w:t>
            </w:r>
          </w:p>
        </w:tc>
      </w:tr>
      <w:tr>
        <w:tc>
          <w:tcPr/>
          <w:p>
            <w:pPr>
              <w:pStyle w:val="Compact"/>
              <w:jc w:val="left"/>
            </w:pPr>
            <w:hyperlink r:id="rId335">
              <w:r>
                <w:rPr>
                  <w:rStyle w:val="Hyperlink"/>
                </w:rPr>
                <w:t xml:space="preserve">docs</w:t>
              </w:r>
            </w:hyperlink>
          </w:p>
        </w:tc>
        <w:tc>
          <w:tcPr/>
          <w:p>
            <w:pPr>
              <w:pStyle w:val="Compact"/>
              <w:jc w:val="left"/>
            </w:pPr>
            <w:r>
              <w:t xml:space="preserve">documentation for BOEM’s offshore environmental sensitivity index products</w:t>
            </w:r>
          </w:p>
        </w:tc>
      </w:tr>
      <w:tr>
        <w:tc>
          <w:tcPr/>
          <w:p>
            <w:pPr>
              <w:pStyle w:val="Compact"/>
              <w:jc w:val="left"/>
            </w:pPr>
            <w:hyperlink r:id="rId336">
              <w:r>
                <w:rPr>
                  <w:rStyle w:val="Hyperlink"/>
                </w:rPr>
                <w:t xml:space="preserve">manuscripts</w:t>
              </w:r>
            </w:hyperlink>
          </w:p>
        </w:tc>
        <w:tc>
          <w:tcPr/>
          <w:p>
            <w:pPr>
              <w:pStyle w:val="Compact"/>
              <w:jc w:val="left"/>
            </w:pPr>
            <w:r>
              <w:t xml:space="preserve">Manuscripts with review of sensitivities by industry and receptors (species, habitats, human uses)</w:t>
            </w:r>
          </w:p>
        </w:tc>
      </w:tr>
      <w:tr>
        <w:tc>
          <w:tcPr/>
          <w:p>
            <w:pPr>
              <w:pStyle w:val="Compact"/>
              <w:jc w:val="left"/>
            </w:pPr>
            <w:hyperlink r:id="rId337">
              <w:r>
                <w:rPr>
                  <w:rStyle w:val="Hyperlink"/>
                </w:rPr>
                <w:t xml:space="preserve">MarineSensitivity.github.io</w:t>
              </w:r>
            </w:hyperlink>
          </w:p>
        </w:tc>
        <w:tc>
          <w:tcPr/>
          <w:p>
            <w:pPr>
              <w:pStyle w:val="Compact"/>
              <w:jc w:val="left"/>
            </w:pPr>
            <w:r>
              <w:t xml:space="preserve">default website</w:t>
            </w:r>
          </w:p>
        </w:tc>
      </w:tr>
      <w:tr>
        <w:tc>
          <w:tcPr/>
          <w:p>
            <w:pPr>
              <w:pStyle w:val="Compact"/>
              <w:jc w:val="left"/>
            </w:pPr>
            <w:hyperlink r:id="rId338">
              <w:r>
                <w:rPr>
                  <w:rStyle w:val="Hyperlink"/>
                </w:rPr>
                <w:t xml:space="preserve">msens</w:t>
              </w:r>
            </w:hyperlink>
          </w:p>
        </w:tc>
        <w:tc>
          <w:tcPr/>
          <w:p>
            <w:pPr>
              <w:pStyle w:val="Compact"/>
              <w:jc w:val="left"/>
            </w:pPr>
            <w:r>
              <w:t xml:space="preserve">R library of functions for mapping marine sensitivities, sponsored by BOEM</w:t>
            </w:r>
          </w:p>
        </w:tc>
      </w:tr>
      <w:tr>
        <w:tc>
          <w:tcPr/>
          <w:p>
            <w:pPr>
              <w:pStyle w:val="Compact"/>
              <w:jc w:val="left"/>
            </w:pPr>
            <w:hyperlink r:id="rId339">
              <w:r>
                <w:rPr>
                  <w:rStyle w:val="Hyperlink"/>
                </w:rPr>
                <w:t xml:space="preserve">objectives</w:t>
              </w:r>
            </w:hyperlink>
          </w:p>
        </w:tc>
        <w:tc>
          <w:tcPr/>
          <w:p>
            <w:pPr>
              <w:pStyle w:val="Compact"/>
              <w:jc w:val="left"/>
            </w:pPr>
            <w:r>
              <w:t xml:space="preserve">repository for issues spanning multiple repositories and doing big picture roadmapping</w:t>
            </w:r>
          </w:p>
        </w:tc>
      </w:tr>
      <w:tr>
        <w:tc>
          <w:tcPr/>
          <w:p>
            <w:pPr>
              <w:pStyle w:val="Compact"/>
              <w:jc w:val="left"/>
            </w:pPr>
            <w:hyperlink r:id="rId340">
              <w:r>
                <w:rPr>
                  <w:rStyle w:val="Hyperlink"/>
                </w:rPr>
                <w:t xml:space="preserve">server</w:t>
              </w:r>
            </w:hyperlink>
          </w:p>
        </w:tc>
        <w:tc>
          <w:tcPr/>
          <w:p>
            <w:pPr>
              <w:pStyle w:val="Compact"/>
              <w:jc w:val="left"/>
            </w:pPr>
            <w:r>
              <w:t xml:space="preserve">server setup for R Shiny apps, RStudio IDE, Caddy web server, h3 TiTiler service and Varnish cache</w:t>
            </w:r>
          </w:p>
        </w:tc>
      </w:tr>
      <w:tr>
        <w:tc>
          <w:tcPr/>
          <w:p>
            <w:pPr>
              <w:pStyle w:val="Compact"/>
              <w:jc w:val="left"/>
            </w:pPr>
            <w:hyperlink r:id="rId341">
              <w:r>
                <w:rPr>
                  <w:rStyle w:val="Hyperlink"/>
                </w:rPr>
                <w:t xml:space="preserve">stac-sdm</w:t>
              </w:r>
            </w:hyperlink>
          </w:p>
        </w:tc>
        <w:tc>
          <w:tcPr/>
          <w:p>
            <w:pPr>
              <w:pStyle w:val="Compact"/>
              <w:jc w:val="left"/>
            </w:pPr>
            <w:r>
              <w:t xml:space="preserve">STAC extension for Species Distribution Models (SDMs)</w:t>
            </w:r>
          </w:p>
        </w:tc>
      </w:tr>
      <w:tr>
        <w:tc>
          <w:tcPr/>
          <w:p>
            <w:pPr>
              <w:pStyle w:val="Compact"/>
              <w:jc w:val="left"/>
            </w:pPr>
            <w:hyperlink r:id="rId342">
              <w:r>
                <w:rPr>
                  <w:rStyle w:val="Hyperlink"/>
                </w:rPr>
                <w:t xml:space="preserve">workflows</w:t>
              </w:r>
            </w:hyperlink>
          </w:p>
        </w:tc>
        <w:tc>
          <w:tcPr/>
          <w:p>
            <w:pPr>
              <w:pStyle w:val="Compact"/>
              <w:jc w:val="left"/>
            </w:pPr>
            <w:r>
              <w:t xml:space="preserve">scripts for testing data analytics and visualization as well as production workflows</w:t>
            </w:r>
          </w:p>
        </w:tc>
      </w:tr>
    </w:tbl>
    <w:bookmarkEnd w:id="343"/>
    <w:bookmarkStart w:id="348" w:name="software-components"/>
    <w:p>
      <w:pPr>
        <w:pStyle w:val="Heading3"/>
      </w:pPr>
      <w:r>
        <w:t xml:space="preserve">13.1.4 Software Components</w:t>
      </w:r>
    </w:p>
    <w:bookmarkStart w:id="344" w:name="list-components"/>
    <w:bookmarkEnd w:id="344"/>
    <w:p>
      <w:pPr>
        <w:pStyle w:val="FirstParagraph"/>
      </w:pPr>
      <w:r>
        <w:drawing>
          <wp:inline>
            <wp:extent cx="5334000" cy="5215816"/>
            <wp:effectExtent b="0" l="0" r="0" t="0"/>
            <wp:docPr descr="" title="" id="346" name="Picture"/>
            <a:graphic>
              <a:graphicData uri="http://schemas.openxmlformats.org/drawingml/2006/picture">
                <pic:pic>
                  <pic:nvPicPr>
                    <pic:cNvPr descr="figures/listing-software.png" id="347" name="Picture"/>
                    <pic:cNvPicPr>
                      <a:picLocks noChangeArrowheads="1" noChangeAspect="1"/>
                    </pic:cNvPicPr>
                  </pic:nvPicPr>
                  <pic:blipFill>
                    <a:blip r:embed="rId345"/>
                    <a:stretch>
                      <a:fillRect/>
                    </a:stretch>
                  </pic:blipFill>
                  <pic:spPr bwMode="auto">
                    <a:xfrm>
                      <a:off x="0" y="0"/>
                      <a:ext cx="5334000" cy="5215816"/>
                    </a:xfrm>
                    <a:prstGeom prst="rect">
                      <a:avLst/>
                    </a:prstGeom>
                    <a:noFill/>
                    <a:ln w="9525">
                      <a:noFill/>
                      <a:headEnd/>
                      <a:tailEnd/>
                    </a:ln>
                  </pic:spPr>
                </pic:pic>
              </a:graphicData>
            </a:graphic>
          </wp:inline>
        </w:drawing>
      </w:r>
    </w:p>
    <w:bookmarkEnd w:id="348"/>
    <w:bookmarkEnd w:id="349"/>
    <w:bookmarkEnd w:id="350"/>
    <w:bookmarkStart w:id="400" w:name="sec-server"/>
    <w:p>
      <w:pPr>
        <w:pStyle w:val="Heading1"/>
      </w:pPr>
      <w:r>
        <w:t xml:space="preserve">14. Server</w:t>
      </w:r>
    </w:p>
    <w:p>
      <w:pPr>
        <w:pStyle w:val="FirstParagraph"/>
      </w:pPr>
      <w:r>
        <w:t xml:space="preserve">The server is for serving up any web services outside those of Github (e.g.,</w:t>
      </w:r>
      <w:r>
        <w:t xml:space="preserve"> </w:t>
      </w:r>
      <w:hyperlink r:id="rId351">
        <w:r>
          <w:rPr>
            <w:rStyle w:val="Hyperlink"/>
          </w:rPr>
          <w:t xml:space="preserve">website</w:t>
        </w:r>
      </w:hyperlink>
      <w:r>
        <w:t xml:space="preserve">,</w:t>
      </w:r>
      <w:r>
        <w:t xml:space="preserve"> </w:t>
      </w:r>
      <w:hyperlink r:id="rId352">
        <w:r>
          <w:rPr>
            <w:rStyle w:val="Hyperlink"/>
          </w:rPr>
          <w:t xml:space="preserve">docs</w:t>
        </w:r>
      </w:hyperlink>
      <w:r>
        <w:t xml:space="preserve"> </w:t>
      </w:r>
      <w:r>
        <w:t xml:space="preserve">and R package</w:t>
      </w:r>
      <w:r>
        <w:t xml:space="preserve"> </w:t>
      </w:r>
      <w:hyperlink r:id="rId353">
        <w:r>
          <w:rPr>
            <w:rStyle w:val="Hyperlink"/>
          </w:rPr>
          <w:t xml:space="preserve">msens</w:t>
        </w:r>
      </w:hyperlink>
      <w:r>
        <w:t xml:space="preserve">) using</w:t>
      </w:r>
      <w:r>
        <w:t xml:space="preserve"> </w:t>
      </w:r>
      <w:hyperlink r:id="rId354">
        <w:r>
          <w:rPr>
            <w:rStyle w:val="Hyperlink"/>
          </w:rPr>
          <w:t xml:space="preserve">Docker</w:t>
        </w:r>
      </w:hyperlink>
      <w:r>
        <w:t xml:space="preserve"> </w:t>
      </w:r>
      <w:r>
        <w:t xml:space="preserve">(see the</w:t>
      </w:r>
      <w:r>
        <w:t xml:space="preserve"> </w:t>
      </w:r>
      <w:hyperlink r:id="rId355">
        <w:r>
          <w:rPr>
            <w:rStyle w:val="Hyperlink"/>
          </w:rPr>
          <w:t xml:space="preserve">docker-compose.yml</w:t>
        </w:r>
      </w:hyperlink>
      <w:r>
        <w:t xml:space="preserve">; with reverse proxying from subdomains to ports by</w:t>
      </w:r>
      <w:r>
        <w:t xml:space="preserve"> </w:t>
      </w:r>
      <w:hyperlink r:id="rId356">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72"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57">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60"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29"/>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29"/>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29"/>
        </w:numPr>
      </w:pPr>
      <w:r>
        <w:t xml:space="preserve">Firewall (security group)</w:t>
      </w:r>
      <w:r>
        <w:br/>
      </w:r>
      <w:r>
        <w:t xml:space="preserve">New security group</w:t>
      </w:r>
    </w:p>
    <w:p>
      <w:pPr>
        <w:pStyle w:val="Compact"/>
        <w:numPr>
          <w:ilvl w:val="0"/>
          <w:numId w:val="1029"/>
        </w:numPr>
      </w:pPr>
      <w:r>
        <w:t xml:space="preserve">Storage (volumes)</w:t>
      </w:r>
      <w:r>
        <w:br/>
      </w:r>
      <w:r>
        <w:t xml:space="preserve">2 volume(s)</w:t>
      </w:r>
    </w:p>
    <w:p>
      <w:pPr>
        <w:pStyle w:val="Compact"/>
        <w:numPr>
          <w:ilvl w:val="1"/>
          <w:numId w:val="1030"/>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30"/>
        </w:numPr>
      </w:pPr>
      <w:r>
        <w:rPr>
          <w:b/>
          <w:bCs/>
        </w:rPr>
        <w:t xml:space="preserve">60 GB</w:t>
      </w:r>
      <w:r>
        <w:br/>
      </w:r>
      <w:r>
        <w:rPr>
          <w:rStyle w:val="VerbatimChar"/>
        </w:rPr>
        <w:t xml:space="preserve">/share</w:t>
      </w:r>
      <w:r>
        <w:t xml:space="preserve"> </w:t>
      </w:r>
      <w:r>
        <w:t xml:space="preserve">for all data, persistent and to be backed up</w:t>
      </w:r>
    </w:p>
    <w:bookmarkStart w:id="359" w:name="allocate-ip-address"/>
    <w:p>
      <w:pPr>
        <w:pStyle w:val="Heading4"/>
      </w:pPr>
      <w:r>
        <w:t xml:space="preserve">14.1.1.1 allocate IP address</w:t>
      </w:r>
    </w:p>
    <w:p>
      <w:pPr>
        <w:numPr>
          <w:ilvl w:val="0"/>
          <w:numId w:val="1031"/>
        </w:numPr>
      </w:pPr>
      <w:hyperlink r:id="rId358">
        <w:r>
          <w:rPr>
            <w:rStyle w:val="Hyperlink"/>
          </w:rPr>
          <w:t xml:space="preserve">Elastic IP addresses | EC2 | us-east-1</w:t>
        </w:r>
      </w:hyperlink>
      <w:r>
        <w:t xml:space="preserve"> </w:t>
      </w:r>
      <w:r>
        <w:t xml:space="preserve">for persistent IP address</w:t>
      </w:r>
    </w:p>
    <w:p>
      <w:pPr>
        <w:numPr>
          <w:ilvl w:val="0"/>
          <w:numId w:val="1031"/>
        </w:numPr>
      </w:pPr>
      <w:r>
        <w:t xml:space="preserve">Allocated IPv4 address:</w:t>
      </w:r>
      <w:r>
        <w:t xml:space="preserve"> </w:t>
      </w:r>
      <w:r>
        <w:rPr>
          <w:rStyle w:val="VerbatimChar"/>
        </w:rPr>
        <w:t xml:space="preserve">100.25.173.0</w:t>
      </w:r>
    </w:p>
    <w:p>
      <w:pPr>
        <w:numPr>
          <w:ilvl w:val="0"/>
          <w:numId w:val="1031"/>
        </w:numPr>
      </w:pPr>
      <w:r>
        <w:t xml:space="preserve">Associate Elastic IP address</w:t>
      </w:r>
    </w:p>
    <w:bookmarkEnd w:id="359"/>
    <w:bookmarkEnd w:id="360"/>
    <w:bookmarkStart w:id="365"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62" w:name="set-hostname"/>
    <w:p>
      <w:pPr>
        <w:pStyle w:val="Heading4"/>
      </w:pPr>
      <w:r>
        <w:t xml:space="preserve">14.1.2.1 set hostname</w:t>
      </w:r>
    </w:p>
    <w:p>
      <w:pPr>
        <w:pStyle w:val="Compact"/>
        <w:numPr>
          <w:ilvl w:val="0"/>
          <w:numId w:val="1032"/>
        </w:numPr>
      </w:pPr>
      <w:hyperlink r:id="rId361">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62"/>
    <w:bookmarkStart w:id="364"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3"/>
        </w:numPr>
      </w:pPr>
      <w:hyperlink r:id="rId363">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64"/>
    <w:bookmarkEnd w:id="365"/>
    <w:bookmarkStart w:id="369" w:name="install-docker"/>
    <w:p>
      <w:pPr>
        <w:pStyle w:val="Heading3"/>
      </w:pPr>
      <w:r>
        <w:t xml:space="preserve">14.1.3 install docker</w:t>
      </w:r>
    </w:p>
    <w:p>
      <w:pPr>
        <w:pStyle w:val="FirstParagraph"/>
      </w:pPr>
      <w:r>
        <w:t xml:space="preserve">Following:</w:t>
      </w:r>
    </w:p>
    <w:p>
      <w:pPr>
        <w:pStyle w:val="Compact"/>
        <w:numPr>
          <w:ilvl w:val="0"/>
          <w:numId w:val="1034"/>
        </w:numPr>
      </w:pPr>
      <w:hyperlink r:id="rId366">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68" w:name="run-docker-compose"/>
    <w:p>
      <w:pPr>
        <w:pStyle w:val="Heading4"/>
      </w:pPr>
      <w:r>
        <w:t xml:space="preserve">14.1.3.1 run docker compose</w:t>
      </w:r>
    </w:p>
    <w:p>
      <w:pPr>
        <w:pStyle w:val="Compact"/>
        <w:numPr>
          <w:ilvl w:val="0"/>
          <w:numId w:val="1035"/>
        </w:numPr>
      </w:pPr>
      <w:r>
        <w:t xml:space="preserve">/Users/bbest/My Drive/private/</w:t>
      </w:r>
      <w:hyperlink r:id="rId367">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68"/>
    <w:bookmarkEnd w:id="369"/>
    <w:bookmarkStart w:id="371"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70">
        <w:r>
          <w:rPr>
            <w:rStyle w:val="Hyperlink"/>
          </w:rPr>
          <w:t xml:space="preserve">Automate snapshot lifecycles - Amazon Elastic Compute Cloud</w:t>
        </w:r>
      </w:hyperlink>
      <w:r>
        <w:t xml:space="preserve">, created two policies:</w:t>
      </w:r>
    </w:p>
    <w:p>
      <w:pPr>
        <w:pStyle w:val="Compact"/>
        <w:numPr>
          <w:ilvl w:val="0"/>
          <w:numId w:val="1036"/>
        </w:numPr>
      </w:pPr>
      <w:r>
        <w:rPr>
          <w:b/>
          <w:bCs/>
        </w:rPr>
        <w:t xml:space="preserve">bkup_msens-share_daily</w:t>
      </w:r>
      <w:r>
        <w:t xml:space="preserve"> </w:t>
      </w:r>
      <w:r>
        <w:t xml:space="preserve">every 24 hrs at 09:00 UTC, max of 7</w:t>
      </w:r>
    </w:p>
    <w:p>
      <w:pPr>
        <w:pStyle w:val="Compact"/>
        <w:numPr>
          <w:ilvl w:val="0"/>
          <w:numId w:val="1036"/>
        </w:numPr>
      </w:pPr>
      <w:r>
        <w:rPr>
          <w:b/>
          <w:bCs/>
        </w:rPr>
        <w:t xml:space="preserve">bkup_msens-share_weekly</w:t>
      </w:r>
      <w:r>
        <w:t xml:space="preserve"> </w:t>
      </w:r>
      <w:r>
        <w:t xml:space="preserve">every Monday 09:00 UTC, max of 8</w:t>
      </w:r>
    </w:p>
    <w:bookmarkEnd w:id="371"/>
    <w:bookmarkEnd w:id="372"/>
    <w:bookmarkStart w:id="373"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55">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for these to the review host</w:t>
      </w:r>
      <w:r>
        <w:br/>
      </w:r>
      <w:r>
        <w:rPr>
          <w:rStyle w:val="CommentTok"/>
        </w:rPr>
        <w:t xml:space="preserve">      # instead of silently rendering the promoted release (or, for atlas, a</w:t>
      </w:r>
      <w:r>
        <w:br/>
      </w:r>
      <w:r>
        <w:rPr>
          <w:rStyle w:val="CommentTok"/>
        </w:rPr>
        <w:t xml:space="preserve">      # bare 404 -- this host has no other route for /{ver}/atlas/ at all).</w:t>
      </w:r>
      <w:r>
        <w:br/>
      </w:r>
      <w:r>
        <w:rPr>
          <w:rStyle w:val="CommentTok"/>
        </w:rPr>
        <w:t xml:space="preserve">      # Kept in the server .env beside PREVIEW_REVIEWERS_&lt;VER&gt;; DEPLOY_CADDY</w:t>
      </w:r>
      <w:r>
        <w:br/>
      </w:r>
      <w:r>
        <w:rPr>
          <w:rStyle w:val="CommentTok"/>
        </w:rPr>
        <w:t xml:space="preserve">      # asserts it against versions.json. Unset, nothing matches and the old</w:t>
      </w:r>
      <w:r>
        <w:br/>
      </w:r>
      <w:r>
        <w:rPr>
          <w:rStyle w:val="CommentTok"/>
        </w:rPr>
        <w:t xml:space="preserve">      # fallback behaviour stands.</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73"/>
    <w:bookmarkStart w:id="376" w:name="dns"/>
    <w:p>
      <w:pPr>
        <w:pStyle w:val="Heading2"/>
      </w:pPr>
      <w:r>
        <w:t xml:space="preserve">14.3 DNS</w:t>
      </w:r>
    </w:p>
    <w:p>
      <w:pPr>
        <w:pStyle w:val="FirstParagraph"/>
      </w:pPr>
      <w:r>
        <w:t xml:space="preserve">The domain name server (DNS) records are managed by</w:t>
      </w:r>
      <w:r>
        <w:t xml:space="preserve"> </w:t>
      </w:r>
      <w:hyperlink r:id="rId374">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75">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76"/>
    <w:bookmarkStart w:id="378"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77">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and /gazetteer/</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/scores and /species are now ONE app that renders any published release</w:t>
      </w:r>
      <w:r>
        <w:br/>
      </w:r>
      <w:r>
        <w:rPr>
          <w:rStyle w:val="VerbatimChar"/>
        </w:rPr>
        <w:t xml:space="preserve">    # from ?ver=. Every former per-version instance redirects to it rather than</w:t>
      </w:r>
      <w:r>
        <w:br/>
      </w:r>
      <w:r>
        <w:rPr>
          <w:rStyle w:val="VerbatimChar"/>
        </w:rPr>
        <w:t xml:space="preserve">    # 404ing, so old links, bookmarks and anything in a published report keep</w:t>
      </w:r>
      <w:r>
        <w:br/>
      </w:r>
      <w:r>
        <w:rPr>
          <w:rStyle w:val="VerbatimChar"/>
        </w:rPr>
        <w:t xml:space="preserve">    # resolving — to the SAME release they always showed.</w:t>
      </w:r>
      <w:r>
        <w:br/>
      </w:r>
      <w:r>
        <w:rPr>
          <w:rStyle w:val="VerbatimChar"/>
        </w:rPr>
        <w:t xml:space="preserve">    #</w:t>
      </w:r>
      <w:r>
        <w:br/>
      </w:r>
      <w:r>
        <w:rPr>
          <w:rStyle w:val="VerbatimChar"/>
        </w:rPr>
        <w:t xml:space="preserve">    # The v7 apps were `mapgl` (scores) and `mapsp` (species); v1-v6 were</w:t>
      </w:r>
      <w:r>
        <w:br/>
      </w:r>
      <w:r>
        <w:rPr>
          <w:rStyle w:val="VerbatimChar"/>
        </w:rPr>
        <w:t xml:space="preserve">    # `mapgl_v{n}` / `mapsp_v{n}`; v6 and v8 also had `scores_v{n}` /</w:t>
      </w:r>
      <w:r>
        <w:br/>
      </w:r>
      <w:r>
        <w:rPr>
          <w:rStyle w:val="VerbatimChar"/>
        </w:rPr>
        <w:t xml:space="preserve">    # `species_v{n}` aliases. All of them land on /scores or /species with the</w:t>
      </w:r>
      <w:r>
        <w:br/>
      </w:r>
      <w:r>
        <w:rPr>
          <w:rStyle w:val="VerbatimChar"/>
        </w:rPr>
        <w:t xml:space="preserve">    # version they represent.</w:t>
      </w:r>
      <w:r>
        <w:br/>
      </w:r>
      <w:r>
        <w:rPr>
          <w:rStyle w:val="VerbatimChar"/>
        </w:rPr>
        <w:t xml:space="preserve">    #</w:t>
      </w:r>
      <w:r>
        <w:br/>
      </w:r>
      <w:r>
        <w:rPr>
          <w:rStyle w:val="VerbatimChar"/>
        </w:rPr>
        <w:t xml:space="preserve">    # 301 (permanent): these instances are not coming back, and a permanent</w:t>
      </w:r>
      <w:r>
        <w:br/>
      </w:r>
      <w:r>
        <w:rPr>
          <w:rStyle w:val="VerbatimChar"/>
        </w:rPr>
        <w:t xml:space="preserve">    # redirect lets browsers and crawlers stop asking.</w:t>
      </w:r>
      <w:r>
        <w:br/>
      </w:r>
      <w:r>
        <w:rPr>
          <w:rStyle w:val="VerbatimChar"/>
        </w:rPr>
        <w:t xml:space="preserve">    #</w:t>
      </w:r>
      <w:r>
        <w:br/>
      </w:r>
      <w:r>
        <w:rPr>
          <w:rStyle w:val="VerbatimChar"/>
        </w:rPr>
        <w:t xml:space="preserve">    # `&amp;{query}` IS THE POINT OF THE REDIRECT. A redir target that carries its own</w:t>
      </w:r>
      <w:r>
        <w:br/>
      </w:r>
      <w:r>
        <w:rPr>
          <w:rStyle w:val="VerbatimChar"/>
        </w:rPr>
        <w:t xml:space="preserve">    # query string REPLACES the incoming one, so these rules used to answer</w:t>
      </w:r>
      <w:r>
        <w:br/>
      </w:r>
      <w:r>
        <w:rPr>
          <w:rStyle w:val="VerbatimChar"/>
        </w:rPr>
        <w:t xml:space="preserve">    # /mapsp/?mdl_seq=1434 with /species/?ver=v7 -- dropping the very thing the</w:t>
      </w:r>
      <w:r>
        <w:br/>
      </w:r>
      <w:r>
        <w:rPr>
          <w:rStyle w:val="VerbatimChar"/>
        </w:rPr>
        <w:t xml:space="preserve">    # link was about. The app then opened on its default taxon, which is why every</w:t>
      </w:r>
      <w:r>
        <w:br/>
      </w:r>
      <w:r>
        <w:rPr>
          <w:rStyle w:val="VerbatimChar"/>
        </w:rPr>
        <w:t xml:space="preserve">    # deep link in the final report, and the ones in issue #5, silently showed the</w:t>
      </w:r>
      <w:r>
        <w:br/>
      </w:r>
      <w:r>
        <w:rPr>
          <w:rStyle w:val="VerbatimChar"/>
        </w:rPr>
        <w:t xml:space="preserve">    # leatherback turtle. Every published per-species link is of this form, so a</w:t>
      </w:r>
      <w:r>
        <w:br/>
      </w:r>
      <w:r>
        <w:rPr>
          <w:rStyle w:val="VerbatimChar"/>
        </w:rPr>
        <w:t xml:space="preserve">    # redirect that keeps the path and loses the id is worse than a 404: it looks</w:t>
      </w:r>
      <w:r>
        <w:br/>
      </w:r>
      <w:r>
        <w:rPr>
          <w:rStyle w:val="VerbatimChar"/>
        </w:rPr>
        <w:t xml:space="preserve">    # like it worked (MarineSensitivity/apps#6).</w:t>
      </w:r>
      <w:r>
        <w:br/>
      </w:r>
      <w:r>
        <w:rPr>
          <w:rStyle w:val="VerbatimChar"/>
        </w:rPr>
        <w:t xml:space="preserve">    #</w:t>
      </w:r>
      <w:r>
        <w:br/>
      </w:r>
      <w:r>
        <w:rPr>
          <w:rStyle w:val="VerbatimChar"/>
        </w:rPr>
        <w:t xml:space="preserve">    # An empty {query} leaves a harmless trailing "&amp;", which parses to nothing.</w:t>
      </w:r>
      <w:r>
        <w:br/>
      </w:r>
      <w:r>
        <w:rPr>
          <w:rStyle w:val="VerbatimChar"/>
        </w:rPr>
        <w:t xml:space="preserve">    @scores_ver path_regexp scv ^/(?:mapgl|scores)_(v[0-9]+[a-z]?)(?:/(.*))?$</w:t>
      </w:r>
      <w:r>
        <w:br/>
      </w:r>
      <w:r>
        <w:rPr>
          <w:rStyle w:val="VerbatimChar"/>
        </w:rPr>
        <w:t xml:space="preserve">    redir @scores_ver /{re.scv.1}/scores/?{query} 301</w:t>
      </w:r>
      <w:r>
        <w:br/>
      </w:r>
      <w:r>
        <w:br/>
      </w:r>
      <w:r>
        <w:rPr>
          <w:rStyle w:val="VerbatimChar"/>
        </w:rPr>
        <w:t xml:space="preserve">    @species_ver path_regexp spv ^/(?:mapsp|species)_(v[0-9]+[a-z]?)(?:/(.*))?$</w:t>
      </w:r>
      <w:r>
        <w:br/>
      </w:r>
      <w:r>
        <w:rPr>
          <w:rStyle w:val="VerbatimChar"/>
        </w:rPr>
        <w:t xml:space="preserve">    redir @species_ver /{re.spv.1}/species/?{query} 301</w:t>
      </w:r>
      <w:r>
        <w:br/>
      </w:r>
      <w:r>
        <w:br/>
      </w:r>
      <w:r>
        <w:rPr>
          <w:rStyle w:val="VerbatimChar"/>
        </w:rPr>
        <w:t xml:space="preserve">    # the unsuffixed v7 instances: `mapgl`/`mapsp` were what /scores and</w:t>
      </w:r>
      <w:r>
        <w:br/>
      </w:r>
      <w:r>
        <w:rPr>
          <w:rStyle w:val="VerbatimChar"/>
        </w:rPr>
        <w:t xml:space="preserve">    # /species pointed at, so they carry v7 explicitly</w:t>
      </w:r>
      <w:r>
        <w:br/>
      </w:r>
      <w:r>
        <w:rPr>
          <w:rStyle w:val="VerbatimChar"/>
        </w:rPr>
        <w:t xml:space="preserve">    @scores_v7 path_regexp sc7 ^/mapgl(?:/(.*))?$</w:t>
      </w:r>
      <w:r>
        <w:br/>
      </w:r>
      <w:r>
        <w:rPr>
          <w:rStyle w:val="VerbatimChar"/>
        </w:rPr>
        <w:t xml:space="preserve">    redir @scores_v7 /v7/scores/?{query} 301</w:t>
      </w:r>
      <w:r>
        <w:br/>
      </w:r>
      <w:r>
        <w:br/>
      </w:r>
      <w:r>
        <w:rPr>
          <w:rStyle w:val="VerbatimChar"/>
        </w:rPr>
        <w:t xml:space="preserve">    @species_v7 path_regexp sp7 ^/mapsp(?:/(.*))?$</w:t>
      </w:r>
      <w:r>
        <w:br/>
      </w:r>
      <w:r>
        <w:rPr>
          <w:rStyle w:val="VerbatimChar"/>
        </w:rPr>
        <w:t xml:space="preserve">    redir @species_v7 /v7/species/?{query} 301</w:t>
      </w:r>
      <w:r>
        <w:br/>
      </w:r>
      <w:r>
        <w:br/>
      </w:r>
      <w:r>
        <w:rPr>
          <w:rStyle w:val="VerbatimChar"/>
        </w:rPr>
        <w:t xml:space="preserve">    # A RESTRICTED release asked for on the PUBLIC host goes to the review host</w:t>
      </w:r>
      <w:r>
        <w:br/>
      </w:r>
      <w:r>
        <w:rPr>
          <w:rStyle w:val="VerbatimChar"/>
        </w:rPr>
        <w:t xml:space="preserve">    # (2026-08-28). The app process here cannot resolve a restricted version</w:t>
      </w:r>
      <w:r>
        <w:br/>
      </w:r>
      <w:r>
        <w:rPr>
          <w:rStyle w:val="VerbatimChar"/>
        </w:rPr>
        <w:t xml:space="preserve">    # (msens::atlas_allow_access), so /v8/scores/ used to render the promoted</w:t>
      </w:r>
      <w:r>
        <w:br/>
      </w:r>
      <w:r>
        <w:rPr>
          <w:rStyle w:val="VerbatimChar"/>
        </w:rPr>
        <w:t xml:space="preserve">    # release with no hint -- fail-closed, but from a published link it simply</w:t>
      </w:r>
      <w:r>
        <w:br/>
      </w:r>
      <w:r>
        <w:rPr>
          <w:rStyle w:val="VerbatimChar"/>
        </w:rPr>
        <w:t xml:space="preserve">    # looked like the wrong version (the homepage's v8 links "oddly ended up on</w:t>
      </w:r>
      <w:r>
        <w:br/>
      </w:r>
      <w:r>
        <w:rPr>
          <w:rStyle w:val="VerbatimChar"/>
        </w:rPr>
        <w:t xml:space="preserve">    # v7"). Every spelling funnels through the path form first -- the retirement</w:t>
      </w:r>
      <w:r>
        <w:br/>
      </w:r>
      <w:r>
        <w:rPr>
          <w:rStyle w:val="VerbatimChar"/>
        </w:rPr>
        <w:t xml:space="preserve">    # 301s above, the ?ver= 301s in app_version_routes.caddy -- so this ONE</w:t>
      </w:r>
      <w:r>
        <w:br/>
      </w:r>
      <w:r>
        <w:rPr>
          <w:rStyle w:val="VerbatimChar"/>
        </w:rPr>
        <w:t xml:space="preserve">    # matcher catches them all and {uri} carries the query (deep links keep</w:t>
      </w:r>
      <w:r>
        <w:br/>
      </w:r>
      <w:r>
        <w:rPr>
          <w:rStyle w:val="VerbatimChar"/>
        </w:rPr>
        <w:t xml:space="preserve">    # their mdl_key). 302, not 301: a version stops being restricted when it is</w:t>
      </w:r>
      <w:r>
        <w:br/>
      </w:r>
      <w:r>
        <w:rPr>
          <w:rStyle w:val="VerbatimChar"/>
        </w:rPr>
        <w:t xml:space="preserve">    # released, and a cached 301 would keep sending visitors to the review host.</w:t>
      </w:r>
      <w:r>
        <w:br/>
      </w:r>
      <w:r>
        <w:rPr>
          <w:rStyle w:val="VerbatimChar"/>
        </w:rPr>
        <w:t xml:space="preserve">    #</w:t>
      </w:r>
      <w:r>
        <w:br/>
      </w:r>
      <w:r>
        <w:rPr>
          <w:rStyle w:val="VerbatimChar"/>
        </w:rPr>
        <w:t xml:space="preserve">    # `atlas` joined this matcher 2026-09-24 (atlas-9): the static atlas app has</w:t>
      </w:r>
      <w:r>
        <w:br/>
      </w:r>
      <w:r>
        <w:rPr>
          <w:rStyle w:val="VerbatimChar"/>
        </w:rPr>
        <w:t xml:space="preserve">    # no canonical URL on THIS host (its public home is marinesensitivity.org/</w:t>
      </w:r>
      <w:r>
        <w:br/>
      </w:r>
      <w:r>
        <w:rPr>
          <w:rStyle w:val="VerbatimChar"/>
        </w:rPr>
        <w:t xml:space="preserve">    # atlas/?ver=, GitHub Pages -- a different origin this Caddyfile does not</w:t>
      </w:r>
      <w:r>
        <w:br/>
      </w:r>
      <w:r>
        <w:rPr>
          <w:rStyle w:val="VerbatimChar"/>
        </w:rPr>
        <w:t xml:space="preserve">    # serve at all), so nothing here would otherwise answer /{ver}/atlas/ except</w:t>
      </w:r>
      <w:r>
        <w:br/>
      </w:r>
      <w:r>
        <w:rPr>
          <w:rStyle w:val="VerbatimChar"/>
        </w:rPr>
        <w:t xml:space="preserve">    # falling through to `reverse_proxy rstudio:3838`, which does not know that</w:t>
      </w:r>
      <w:r>
        <w:br/>
      </w:r>
      <w:r>
        <w:rPr>
          <w:rStyle w:val="VerbatimChar"/>
        </w:rPr>
        <w:t xml:space="preserve">    # path. Covering it keeps the same guarantee scores/species already have --</w:t>
      </w:r>
      <w:r>
        <w:br/>
      </w:r>
      <w:r>
        <w:rPr>
          <w:rStyle w:val="VerbatimChar"/>
        </w:rPr>
        <w:t xml:space="preserve">    # a reviewer who guesses the /v9/atlas/ shape by analogy lands on the review</w:t>
      </w:r>
      <w:r>
        <w:br/>
      </w:r>
      <w:r>
        <w:rPr>
          <w:rStyle w:val="VerbatimChar"/>
        </w:rPr>
        <w:t xml:space="preserve">    # host, never a 404 that looks like "this version doesn't have an atlas" --</w:t>
      </w:r>
      <w:r>
        <w:br/>
      </w:r>
      <w:r>
        <w:rPr>
          <w:rStyle w:val="VerbatimChar"/>
        </w:rPr>
        <w:t xml:space="preserve">    # and it is what sends a restricted version's atlas request to the ONE place</w:t>
      </w:r>
      <w:r>
        <w:br/>
      </w:r>
      <w:r>
        <w:rPr>
          <w:rStyle w:val="VerbatimChar"/>
        </w:rPr>
        <w:t xml:space="preserve">    # that can actually serve it (preview_routes.caddy's atlas import).</w:t>
      </w:r>
      <w:r>
        <w:br/>
      </w:r>
      <w:r>
        <w:rPr>
          <w:rStyle w:val="VerbatimChar"/>
        </w:rPr>
        <w:t xml:space="preserve">    #</w:t>
      </w:r>
      <w:r>
        <w:br/>
      </w:r>
      <w:r>
        <w:rPr>
          <w:rStyle w:val="VerbatimChar"/>
        </w:rPr>
        <w:t xml:space="preserve">    # PREVIEW_RESTRICTED_VERSIONS is a regex alternation of the restricted</w:t>
      </w:r>
      <w:r>
        <w:br/>
      </w:r>
      <w:r>
        <w:rPr>
          <w:rStyle w:val="VerbatimChar"/>
        </w:rPr>
        <w:t xml:space="preserve">    # versions ("v8|v9") from the server .env -- the same manual step as</w:t>
      </w:r>
      <w:r>
        <w:br/>
      </w:r>
      <w:r>
        <w:rPr>
          <w:rStyle w:val="VerbatimChar"/>
        </w:rPr>
        <w:t xml:space="preserve">    # PREVIEW_REVIEWERS_&lt;VER&gt; and CF_ACCESS_AUD -- and DEPLOY_CADDY asserts it</w:t>
      </w:r>
      <w:r>
        <w:br/>
      </w:r>
      <w:r>
        <w:rPr>
          <w:rStyle w:val="VerbatimChar"/>
        </w:rPr>
        <w:t xml:space="preserve">    # against versions.json before restarting. Unset, it matches nothing and the</w:t>
      </w:r>
      <w:r>
        <w:br/>
      </w:r>
      <w:r>
        <w:rPr>
          <w:rStyle w:val="VerbatimChar"/>
        </w:rPr>
        <w:t xml:space="preserve">    # prior behaviour (fall back to the promoted release) stands.</w:t>
      </w:r>
      <w:r>
        <w:br/>
      </w:r>
      <w:r>
        <w:rPr>
          <w:rStyle w:val="VerbatimChar"/>
        </w:rPr>
        <w:t xml:space="preserve">    @restricted_app path_regexp rapp ^/(?:{$PREVIEW_RESTRICTED_VERSIONS:__none__})/(?:scores|species|atlas)(?:/.*)?$</w:t>
      </w:r>
      <w:r>
        <w:br/>
      </w:r>
      <w:r>
        <w:rPr>
          <w:rStyle w:val="VerbatimChar"/>
        </w:rPr>
        <w:t xml:space="preserve">    redir @restricted_app https://preview.marinesensitivity.org{uri} 302</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href="https://app.marinesensitivity.org/scores/"&gt;Scores&lt;/a&gt; ·</w:t>
      </w:r>
      <w:r>
        <w:br/>
      </w:r>
      <w:r>
        <w:rPr>
          <w:rStyle w:val="VerbatimChar"/>
        </w:rPr>
        <w:t xml:space="preserve">                &lt;a href="https://app.marinesensitivity.org/species/"&gt;Species&lt;/a&gt;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78"/>
    <w:bookmarkStart w:id="399"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91" w:name="app-data-plane"/>
    <w:p>
      <w:pPr>
        <w:pStyle w:val="Heading3"/>
      </w:pPr>
      <w:r>
        <w:t xml:space="preserve">14.5.1 App + data plane</w:t>
      </w:r>
    </w:p>
    <w:p>
      <w:pPr>
        <w:numPr>
          <w:ilvl w:val="0"/>
          <w:numId w:val="1037"/>
        </w:numPr>
      </w:pPr>
      <w:hyperlink r:id="rId379">
        <w:r>
          <w:rPr>
            <w:rStyle w:val="Hyperlink"/>
            <w:b/>
            <w:bCs/>
          </w:rPr>
          <w:t xml:space="preserve">app</w:t>
        </w:r>
      </w:hyperlink>
      <w:r>
        <w:t xml:space="preserve"> </w:t>
      </w:r>
      <w:r>
        <w:t xml:space="preserve">/</w:t>
      </w:r>
      <w:r>
        <w:t xml:space="preserve"> </w:t>
      </w:r>
      <w:hyperlink r:id="rId380">
        <w:r>
          <w:rPr>
            <w:rStyle w:val="Hyperlink"/>
            <w:b/>
            <w:bCs/>
          </w:rPr>
          <w:t xml:space="preserve">shiny</w:t>
        </w:r>
      </w:hyperlink>
      <w:r>
        <w:br/>
      </w:r>
      <w:r>
        <w:rPr>
          <w:i/>
          <w:iCs/>
        </w:rPr>
        <w:t xml:space="preserve">interactive Shiny applications</w:t>
      </w:r>
      <w:r>
        <w:t xml:space="preserve"> </w:t>
      </w:r>
      <w:r>
        <w:t xml:space="preserve">— proxied to the</w:t>
      </w:r>
      <w:r>
        <w:t xml:space="preserve"> </w:t>
      </w:r>
      <w:r>
        <w:rPr>
          <w:rStyle w:val="VerbatimChar"/>
        </w:rPr>
        <w:t xml:space="preserve">rstudio</w:t>
      </w:r>
      <w:r>
        <w:t xml:space="preserve"> </w:t>
      </w:r>
      <w:r>
        <w:t xml:space="preserve">container’s Shiny Server on internal port 3838. There are now</w:t>
      </w:r>
      <w:r>
        <w:t xml:space="preserve"> </w:t>
      </w:r>
      <w:r>
        <w:rPr>
          <w:b/>
          <w:bCs/>
        </w:rPr>
        <w:t xml:space="preserve">two</w:t>
      </w:r>
      <w:r>
        <w:t xml:space="preserve"> </w:t>
      </w:r>
      <w:r>
        <w:t xml:space="preserve">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each rendering any published release from the URL path (e.g. </w:t>
      </w:r>
      <w:r>
        <w:rPr>
          <w:rStyle w:val="VerbatimChar"/>
        </w:rPr>
        <w:t xml:space="preserve">/v8/scores/</w:t>
      </w:r>
      <w:r>
        <w:t xml:space="preserve">). The former per-version instances (</w:t>
      </w:r>
      <w:r>
        <w:rPr>
          <w:rStyle w:val="VerbatimChar"/>
        </w:rPr>
        <w:t xml:space="preserve">mapgl</w:t>
      </w:r>
      <w:r>
        <w:t xml:space="preserve">,</w:t>
      </w:r>
      <w:r>
        <w:t xml:space="preserve"> </w:t>
      </w:r>
      <w:r>
        <w:rPr>
          <w:rStyle w:val="VerbatimChar"/>
        </w:rPr>
        <w:t xml:space="preserve">mapsp</w:t>
      </w:r>
      <w:r>
        <w:t xml:space="preserve">,</w:t>
      </w:r>
      <w:r>
        <w:t xml:space="preserve"> </w:t>
      </w:r>
      <w:r>
        <w:rPr>
          <w:rStyle w:val="VerbatimChar"/>
        </w:rPr>
        <w:t xml:space="preserve">mapgl_v1</w:t>
      </w:r>
      <w:r>
        <w:t xml:space="preserve">…</w:t>
      </w:r>
      <w:r>
        <w:rPr>
          <w:rStyle w:val="VerbatimChar"/>
        </w:rPr>
        <w:t xml:space="preserve">mapsp_v6</w:t>
      </w:r>
      <w:r>
        <w:t xml:space="preserve">,</w:t>
      </w:r>
      <w:r>
        <w:t xml:space="preserve"> </w:t>
      </w:r>
      <w:r>
        <w:rPr>
          <w:rStyle w:val="VerbatimChar"/>
        </w:rPr>
        <w:t xml:space="preserve">scores_v6</w:t>
      </w:r>
      <w:r>
        <w:t xml:space="preserve">/</w:t>
      </w:r>
      <w:r>
        <w:rPr>
          <w:rStyle w:val="VerbatimChar"/>
        </w:rPr>
        <w:t xml:space="preserve">v8</w:t>
      </w:r>
      <w:r>
        <w:t xml:space="preserve">,</w:t>
      </w:r>
      <w:r>
        <w:t xml:space="preserve"> </w:t>
      </w:r>
      <w:r>
        <w:rPr>
          <w:rStyle w:val="VerbatimChar"/>
        </w:rPr>
        <w:t xml:space="preserve">species_v6</w:t>
      </w:r>
      <w:r>
        <w:t xml:space="preserve">/</w:t>
      </w:r>
      <w:r>
        <w:rPr>
          <w:rStyle w:val="VerbatimChar"/>
        </w:rPr>
        <w:t xml:space="preserve">v8</w:t>
      </w:r>
      <w:r>
        <w:t xml:space="preserve">) are retired, with Caddy issuing a</w:t>
      </w:r>
      <w:r>
        <w:t xml:space="preserve"> </w:t>
      </w:r>
      <w:r>
        <w:rPr>
          <w:b/>
          <w:bCs/>
        </w:rPr>
        <w:t xml:space="preserve">301 to the equivalent path</w:t>
      </w:r>
      <w:r>
        <w:t xml:space="preserve"> </w:t>
      </w:r>
      <w:r>
        <w:t xml:space="preserve">so every existing link — including any printed in a published report or an older</w:t>
      </w:r>
      <w:r>
        <w:t xml:space="preserve"> </w:t>
      </w:r>
      <w:r>
        <w:rPr>
          <w:rStyle w:val="VerbatimChar"/>
        </w:rPr>
        <w:t xml:space="preserve">?ver=</w:t>
      </w:r>
      <w:r>
        <w:t xml:space="preserve"> </w:t>
      </w:r>
      <w:r>
        <w:t xml:space="preserve">deep link — still resolves to the release it always showed.</w:t>
      </w:r>
      <w:r>
        <w:br/>
      </w:r>
      <w:r>
        <w:drawing>
          <wp:inline>
            <wp:extent cx="2857500" cy="1428750"/>
            <wp:effectExtent b="0" l="0" r="0" t="0"/>
            <wp:docPr descr="" title="" id="382" name="Picture"/>
            <a:graphic>
              <a:graphicData uri="http://schemas.openxmlformats.org/drawingml/2006/picture">
                <pic:pic>
                  <pic:nvPicPr>
                    <pic:cNvPr descr="figures/server/shiny.png" id="383" name="Picture"/>
                    <pic:cNvPicPr>
                      <a:picLocks noChangeArrowheads="1" noChangeAspect="1"/>
                    </pic:cNvPicPr>
                  </pic:nvPicPr>
                  <pic:blipFill>
                    <a:blip r:embed="rId381"/>
                    <a:stretch>
                      <a:fillRect/>
                    </a:stretch>
                  </pic:blipFill>
                  <pic:spPr bwMode="auto">
                    <a:xfrm>
                      <a:off x="0" y="0"/>
                      <a:ext cx="2857500" cy="1428750"/>
                    </a:xfrm>
                    <a:prstGeom prst="rect">
                      <a:avLst/>
                    </a:prstGeom>
                    <a:noFill/>
                    <a:ln w="9525">
                      <a:noFill/>
                      <a:headEnd/>
                      <a:tailEnd/>
                    </a:ln>
                  </pic:spPr>
                </pic:pic>
              </a:graphicData>
            </a:graphic>
          </wp:inline>
        </w:drawing>
      </w:r>
      <w:r>
        <w:br/>
      </w:r>
      <w:hyperlink r:id="rId384">
        <w:r>
          <w:rPr>
            <w:rStyle w:val="Hyperlink"/>
          </w:rPr>
          <w:t xml:space="preserve">Shiny Server docs</w:t>
        </w:r>
      </w:hyperlink>
    </w:p>
    <w:p>
      <w:pPr>
        <w:numPr>
          <w:ilvl w:val="0"/>
          <w:numId w:val="1037"/>
        </w:numPr>
      </w:pPr>
      <w:hyperlink r:id="rId385">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37"/>
        </w:numPr>
      </w:pPr>
      <w:hyperlink r:id="rId386">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295">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37"/>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37"/>
        </w:numPr>
      </w:pPr>
      <w:hyperlink r:id="rId387">
        <w:r>
          <w:rPr>
            <w:rStyle w:val="Hyperlink"/>
            <w:b/>
            <w:bCs/>
          </w:rPr>
          <w:t xml:space="preserve">api</w:t>
        </w:r>
      </w:hyperlink>
      <w:r>
        <w:br/>
      </w:r>
      <w:r>
        <w:rPr>
          <w:i/>
          <w:iCs/>
        </w:rPr>
        <w:t xml:space="preserve">custom R</w:t>
      </w:r>
      <w:r>
        <w:rPr>
          <w:i/>
          <w:iCs/>
        </w:rPr>
        <w:t xml:space="preserve"> </w:t>
      </w:r>
      <w:hyperlink r:id="rId294">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89" name="Picture"/>
            <a:graphic>
              <a:graphicData uri="http://schemas.openxmlformats.org/drawingml/2006/picture">
                <pic:pic>
                  <pic:nvPicPr>
                    <pic:cNvPr descr="figures/server/api.png" id="390" name="Picture"/>
                    <pic:cNvPicPr>
                      <a:picLocks noChangeArrowheads="1" noChangeAspect="1"/>
                    </pic:cNvPicPr>
                  </pic:nvPicPr>
                  <pic:blipFill>
                    <a:blip r:embed="rId388"/>
                    <a:stretch>
                      <a:fillRect/>
                    </a:stretch>
                  </pic:blipFill>
                  <pic:spPr bwMode="auto">
                    <a:xfrm>
                      <a:off x="0" y="0"/>
                      <a:ext cx="2857500" cy="2046839"/>
                    </a:xfrm>
                    <a:prstGeom prst="rect">
                      <a:avLst/>
                    </a:prstGeom>
                    <a:noFill/>
                    <a:ln w="9525">
                      <a:noFill/>
                      <a:headEnd/>
                      <a:tailEnd/>
                    </a:ln>
                  </pic:spPr>
                </pic:pic>
              </a:graphicData>
            </a:graphic>
          </wp:inline>
        </w:drawing>
      </w:r>
    </w:p>
    <w:bookmarkEnd w:id="391"/>
    <w:bookmarkStart w:id="397" w:name="admin"/>
    <w:p>
      <w:pPr>
        <w:pStyle w:val="Heading3"/>
      </w:pPr>
      <w:r>
        <w:t xml:space="preserve">14.5.2 Admin</w:t>
      </w:r>
    </w:p>
    <w:p>
      <w:pPr>
        <w:numPr>
          <w:ilvl w:val="0"/>
          <w:numId w:val="1038"/>
        </w:numPr>
      </w:pPr>
      <w:hyperlink r:id="rId392">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94" name="Picture"/>
            <a:graphic>
              <a:graphicData uri="http://schemas.openxmlformats.org/drawingml/2006/picture">
                <pic:pic>
                  <pic:nvPicPr>
                    <pic:cNvPr descr="figures/server/rstudio.png" id="395" name="Picture"/>
                    <pic:cNvPicPr>
                      <a:picLocks noChangeArrowheads="1" noChangeAspect="1"/>
                    </pic:cNvPicPr>
                  </pic:nvPicPr>
                  <pic:blipFill>
                    <a:blip r:embed="rId393"/>
                    <a:stretch>
                      <a:fillRect/>
                    </a:stretch>
                  </pic:blipFill>
                  <pic:spPr bwMode="auto">
                    <a:xfrm>
                      <a:off x="0" y="0"/>
                      <a:ext cx="2857500" cy="1926878"/>
                    </a:xfrm>
                    <a:prstGeom prst="rect">
                      <a:avLst/>
                    </a:prstGeom>
                    <a:noFill/>
                    <a:ln w="9525">
                      <a:noFill/>
                      <a:headEnd/>
                      <a:tailEnd/>
                    </a:ln>
                  </pic:spPr>
                </pic:pic>
              </a:graphicData>
            </a:graphic>
          </wp:inline>
        </w:drawing>
      </w:r>
      <w:r>
        <w:br/>
      </w:r>
      <w:hyperlink r:id="rId396">
        <w:r>
          <w:rPr>
            <w:rStyle w:val="Hyperlink"/>
          </w:rPr>
          <w:t xml:space="preserve">Posit RStudio Server</w:t>
        </w:r>
      </w:hyperlink>
    </w:p>
    <w:p>
      <w:pPr>
        <w:numPr>
          <w:ilvl w:val="0"/>
          <w:numId w:val="1038"/>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97"/>
    <w:bookmarkStart w:id="398" w:name="retired"/>
    <w:p>
      <w:pPr>
        <w:pStyle w:val="Heading3"/>
      </w:pPr>
      <w:r>
        <w:t xml:space="preserve">14.5.3 Retired</w:t>
      </w:r>
    </w:p>
    <w:p>
      <w:pPr>
        <w:numPr>
          <w:ilvl w:val="0"/>
          <w:numId w:val="1039"/>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39"/>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398"/>
    <w:bookmarkEnd w:id="399"/>
    <w:bookmarkEnd w:id="400"/>
    <w:bookmarkStart w:id="435"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v7</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Applications/quarto/share/formats/docx/note.png" id="40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408" w:name="table-and-column-naming-conventions"/>
    <w:p>
      <w:pPr>
        <w:pStyle w:val="Heading2"/>
      </w:pPr>
      <w:r>
        <w:t xml:space="preserve">15.1 Table and column naming conventions</w:t>
      </w:r>
    </w:p>
    <w:p>
      <w:pPr>
        <w:pStyle w:val="Compact"/>
        <w:numPr>
          <w:ilvl w:val="0"/>
          <w:numId w:val="1040"/>
        </w:numPr>
      </w:pPr>
      <w:r>
        <w:t xml:space="preserve">Table names are singular and lower case.</w:t>
      </w:r>
    </w:p>
    <w:p>
      <w:pPr>
        <w:pStyle w:val="Compact"/>
        <w:numPr>
          <w:ilvl w:val="0"/>
          <w:numId w:val="1040"/>
        </w:numPr>
      </w:pPr>
      <w:r>
        <w:t xml:space="preserve">Unique identifier columns are suffixed with:</w:t>
      </w:r>
    </w:p>
    <w:p>
      <w:pPr>
        <w:pStyle w:val="Compact"/>
        <w:numPr>
          <w:ilvl w:val="1"/>
          <w:numId w:val="1041"/>
        </w:numPr>
      </w:pPr>
      <w:r>
        <w:rPr>
          <w:rStyle w:val="VerbatimChar"/>
        </w:rPr>
        <w:t xml:space="preserve">*_id</w:t>
      </w:r>
      <w:r>
        <w:t xml:space="preserve"> </w:t>
      </w:r>
      <w:r>
        <w:t xml:space="preserve">for unique integer keys (stable across rebuilds);</w:t>
      </w:r>
    </w:p>
    <w:p>
      <w:pPr>
        <w:pStyle w:val="Compact"/>
        <w:numPr>
          <w:ilvl w:val="1"/>
          <w:numId w:val="1041"/>
        </w:numPr>
      </w:pPr>
      <w:r>
        <w:rPr>
          <w:rStyle w:val="VerbatimChar"/>
        </w:rPr>
        <w:t xml:space="preserve">*_key</w:t>
      </w:r>
      <w:r>
        <w:t xml:space="preserve"> </w:t>
      </w:r>
      <w:r>
        <w:t xml:space="preserve">for unique string keys (human-readable and stable across releases);</w:t>
      </w:r>
    </w:p>
    <w:p>
      <w:pPr>
        <w:pStyle w:val="Compact"/>
        <w:numPr>
          <w:ilvl w:val="1"/>
          <w:numId w:val="1041"/>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40"/>
        </w:numPr>
      </w:pPr>
      <w:r>
        <w:t xml:space="preserve">Column names are singular and use</w:t>
      </w:r>
      <w:r>
        <w:t xml:space="preserve"> </w:t>
      </w:r>
      <w:r>
        <w:rPr>
          <w:rStyle w:val="VerbatimChar"/>
        </w:rPr>
        <w:t xml:space="preserve">snake_case</w:t>
      </w:r>
      <w:r>
        <w:t xml:space="preserve">.</w:t>
      </w:r>
    </w:p>
    <w:p>
      <w:pPr>
        <w:pStyle w:val="Compact"/>
        <w:numPr>
          <w:ilvl w:val="0"/>
          <w:numId w:val="1040"/>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3" name="Picture"/>
                  <a:graphic>
                    <a:graphicData uri="http://schemas.openxmlformats.org/drawingml/2006/picture">
                      <pic:pic>
                        <pic:nvPicPr>
                          <pic:cNvPr descr="/Applications/quarto/share/formats/docx/important.png" id="404"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405" w:name="tbl-db-tables"/>
          <w:p>
            <w:pPr>
              <w:jc w:val="center"/>
            </w:pPr>
            <w:pPr>
              <w:jc w:val="left"/>
              <w:spacing w:before="200"/>
              <w:pStyle w:val="ImageCaption"/>
            </w:pPr>
            <w:r>
              <w:t xml:space="preserve">Table 15.1: Tables published by v7, with row counts read from the release itself.</w:t>
            </w:r>
          </w:p>
          <w:tbl>
            <w:tblPr>
              <w:tblStyle w:val="Table"/>
              <w:tblW w:type="pct" w:w="5000"/>
              <w:tblLayout w:type="fixed"/>
              <w:tblLook w:firstRow="1" w:lastRow="0" w:firstColumn="0" w:lastColumn="0" w:noHBand="0" w:noVBand="0" w:val="0020"/>
            </w:tblPr>
            <w:tblGrid>
              <w:gridCol w:w="649"/>
              <w:gridCol w:w="476"/>
              <w:gridCol w:w="6794"/>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662,075</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17,561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32,315</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43</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21,961,492</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73</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5,214,822</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1,021</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126,835</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9</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31,690</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718</w:t>
                  </w:r>
                </w:p>
              </w:tc>
              <w:tc>
                <w:tcPr/>
                <w:p>
                  <w:pPr>
                    <w:pStyle w:val="Compact"/>
                    <w:jc w:val="left"/>
                    <w:jc w:val="center"/>
                  </w:pPr>
                  <w:r>
                    <w:t xml:space="preserve">US federal listing lookup (ESA status, MMPA and MBTA protection).</w:t>
                  </w:r>
                </w:p>
              </w:tc>
            </w:tr>
            <w:tr>
              <w:tc>
                <w:tcPr/>
                <w:p>
                  <w:pPr>
                    <w:pStyle w:val="Compact"/>
                    <w:jc w:val="left"/>
                    <w:jc w:val="center"/>
                  </w:pPr>
                  <w:r>
                    <w:rPr>
                      <w:rStyle w:val="VerbatimChar"/>
                    </w:rPr>
                    <w:t xml:space="preserve">native_asset</w:t>
                  </w:r>
                </w:p>
              </w:tc>
              <w:tc>
                <w:tcPr/>
                <w:p>
                  <w:pPr>
                    <w:pStyle w:val="Compact"/>
                    <w:jc w:val="right"/>
                    <w:jc w:val="center"/>
                  </w:pPr>
                  <w:r>
                    <w:t xml:space="preserve">49,331</w:t>
                  </w:r>
                </w:p>
              </w:tc>
              <w:tc>
                <w:tcPr/>
                <w:p>
                  <w:pPr>
                    <w:pStyle w:val="Compact"/>
                    <w:jc w:val="left"/>
                    <w:jc w:val="center"/>
                  </w:pPr>
                  <w:r>
                    <w:t xml:space="preserve">Per-release pointers from each model to its distribution files (COGs, PMTiles) in the asset store (</w:t>
                  </w:r>
                  <w:hyperlink w:anchor="sec-asset-store">
                    <w:r>
                      <w:rPr>
                        <w:rStyle w:val="Hyperlink"/>
                      </w:rPr>
                      <w:t xml:space="preserve">Section 15.3</w:t>
                    </w:r>
                  </w:hyperlink>
                  <w:r>
                    <w:t xml:space="preserve">); the Atlas reads it to draw each input.</w:t>
                  </w:r>
                </w:p>
              </w:tc>
            </w:tr>
          </w:tbl>
          <w:bookmarkEnd w:id="405"/>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6" name="Picture"/>
                  <a:graphic>
                    <a:graphicData uri="http://schemas.openxmlformats.org/drawingml/2006/picture">
                      <pic:pic>
                        <pic:nvPicPr>
                          <pic:cNvPr descr="/Applications/quarto/share/formats/docx/note.png" id="40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v7</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 Sections that depend on these are omitted from this build rather than described from another release.</w:t>
            </w:r>
          </w:p>
          <w:p/>
        </w:tc>
      </w:tr>
    </w:tbl>
    <w:bookmarkEnd w:id="408"/>
    <w:bookmarkStart w:id="422" w:name="schema"/>
    <w:p>
      <w:pPr>
        <w:pStyle w:val="Heading2"/>
      </w:pPr>
      <w:r>
        <w:t xml:space="preserve">15.2 Schema</w:t>
      </w:r>
    </w:p>
    <w:p>
      <w:pPr>
        <w:pStyle w:val="FirstParagraph"/>
      </w:pPr>
      <w:r>
        <w:t xml:space="preserve">The columns of each published table, read from the release:</w:t>
      </w:r>
    </w:p>
    <w:bookmarkStart w:id="409"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width_km2</w:t>
            </w:r>
          </w:p>
        </w:tc>
        <w:tc>
          <w:tcPr/>
          <w:p>
            <w:pPr>
              <w:pStyle w:val="Compact"/>
              <w:jc w:val="left"/>
            </w:pPr>
            <w:r>
              <w:t xml:space="preserve">DOUBLE</w:t>
            </w:r>
          </w:p>
        </w:tc>
      </w:tr>
    </w:tbl>
    <w:bookmarkEnd w:id="409"/>
    <w:bookmarkStart w:id="410"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n_ds</w:t>
            </w:r>
          </w:p>
        </w:tc>
        <w:tc>
          <w:tcPr/>
          <w:p>
            <w:pPr>
              <w:pStyle w:val="Compact"/>
              <w:jc w:val="left"/>
            </w:pPr>
            <w:r>
              <w:t xml:space="preserve">INTEGER</w:t>
            </w:r>
          </w:p>
        </w:tc>
      </w:tr>
      <w:tr>
        <w:tc>
          <w:tcPr/>
          <w:p>
            <w:pPr>
              <w:pStyle w:val="Compact"/>
              <w:jc w:val="left"/>
            </w:pPr>
            <w:r>
              <w:t xml:space="preserve">ms_merge</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worms_id</w:t>
            </w:r>
          </w:p>
        </w:tc>
        <w:tc>
          <w:tcPr/>
          <w:p>
            <w:pPr>
              <w:pStyle w:val="Compact"/>
              <w:jc w:val="left"/>
            </w:pPr>
            <w:r>
              <w:t xml:space="preserve">INTEGER</w:t>
            </w:r>
          </w:p>
        </w:tc>
      </w:tr>
      <w:tr>
        <w:tc>
          <w:tcPr/>
          <w:p>
            <w:pPr>
              <w:pStyle w:val="Compact"/>
              <w:jc w:val="left"/>
            </w:pPr>
            <w:r>
              <w:t xml:space="preserve">redlist_code</w:t>
            </w:r>
          </w:p>
        </w:tc>
        <w:tc>
          <w:tcPr/>
          <w:p>
            <w:pPr>
              <w:pStyle w:val="Compact"/>
              <w:jc w:val="left"/>
            </w:pPr>
            <w:r>
              <w:t xml:space="preserve">VARCHAR</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is_ok</w:t>
            </w:r>
          </w:p>
        </w:tc>
        <w:tc>
          <w:tcPr/>
          <w:p>
            <w:pPr>
              <w:pStyle w:val="Compact"/>
              <w:jc w:val="left"/>
            </w:pPr>
            <w:r>
              <w:t xml:space="preserve">BOOLEAN</w:t>
            </w:r>
          </w:p>
        </w:tc>
      </w:tr>
      <w:tr>
        <w:tc>
          <w:tcPr/>
          <w:p>
            <w:pPr>
              <w:pStyle w:val="Compact"/>
              <w:jc w:val="left"/>
            </w:pPr>
            <w:r>
              <w:t xml:space="preserve">worms_taxonomic_status</w:t>
            </w:r>
          </w:p>
        </w:tc>
        <w:tc>
          <w:tcPr/>
          <w:p>
            <w:pPr>
              <w:pStyle w:val="Compact"/>
              <w:jc w:val="left"/>
            </w:pPr>
            <w:r>
              <w:t xml:space="preserve">VARCHAR</w:t>
            </w:r>
          </w:p>
        </w:tc>
      </w:tr>
      <w:tr>
        <w:tc>
          <w:tcPr/>
          <w:p>
            <w:pPr>
              <w:pStyle w:val="Compact"/>
              <w:jc w:val="left"/>
            </w:pPr>
            <w:r>
              <w:t xml:space="preserve">is_er_spatial</w:t>
            </w:r>
          </w:p>
        </w:tc>
        <w:tc>
          <w:tcPr/>
          <w:p>
            <w:pPr>
              <w:pStyle w:val="Compact"/>
              <w:jc w:val="left"/>
            </w:pPr>
            <w:r>
              <w:t xml:space="preserve">BOOLEAN</w:t>
            </w:r>
          </w:p>
        </w:tc>
      </w:tr>
    </w:tbl>
    <w:bookmarkEnd w:id="410"/>
    <w:bookmarkStart w:id="411"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taxa</w:t>
            </w:r>
          </w:p>
        </w:tc>
        <w:tc>
          <w:tcPr/>
          <w:p>
            <w:pPr>
              <w:pStyle w:val="Compact"/>
              <w:jc w:val="left"/>
            </w:pPr>
            <w:r>
              <w:t xml:space="preserve">VARCHAR</w:t>
            </w:r>
          </w:p>
        </w:tc>
      </w:tr>
      <w:tr>
        <w:tc>
          <w:tcPr/>
          <w:p>
            <w:pPr>
              <w:pStyle w:val="Compact"/>
              <w:jc w:val="left"/>
            </w:pPr>
            <w:r>
              <w:t xml:space="preserve">time_period</w:t>
            </w:r>
          </w:p>
        </w:tc>
        <w:tc>
          <w:tcPr/>
          <w:p>
            <w:pPr>
              <w:pStyle w:val="Compact"/>
              <w:jc w:val="left"/>
            </w:pPr>
            <w:r>
              <w:t xml:space="preserve">VARCHAR</w:t>
            </w:r>
          </w:p>
        </w:tc>
      </w:tr>
      <w:tr>
        <w:tc>
          <w:tcPr/>
          <w:p>
            <w:pPr>
              <w:pStyle w:val="Compact"/>
              <w:jc w:val="left"/>
            </w:pPr>
            <w:r>
              <w:t xml:space="preserve">region</w:t>
            </w:r>
          </w:p>
        </w:tc>
        <w:tc>
          <w:tcPr/>
          <w:p>
            <w:pPr>
              <w:pStyle w:val="Compact"/>
              <w:jc w:val="left"/>
            </w:pPr>
            <w:r>
              <w:t xml:space="preserve">VARCHAR</w:t>
            </w:r>
          </w:p>
        </w:tc>
      </w:tr>
      <w:tr>
        <w:tc>
          <w:tcPr/>
          <w:p>
            <w:pPr>
              <w:pStyle w:val="Compact"/>
              <w:jc w:val="left"/>
            </w:pPr>
            <w:r>
              <w:t xml:space="preserve">mdl_type</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1"/>
    <w:bookmarkStart w:id="412"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metric_title</w:t>
            </w:r>
          </w:p>
        </w:tc>
        <w:tc>
          <w:tcPr/>
          <w:p>
            <w:pPr>
              <w:pStyle w:val="Compact"/>
              <w:jc w:val="left"/>
            </w:pPr>
            <w:r>
              <w:t xml:space="preserve">VARCHAR</w:t>
            </w:r>
          </w:p>
        </w:tc>
      </w:tr>
      <w:tr>
        <w:tc>
          <w:tcPr/>
          <w:p>
            <w:pPr>
              <w:pStyle w:val="Compact"/>
              <w:jc w:val="left"/>
            </w:pPr>
            <w:r>
              <w:t xml:space="preserve">metric_abbrev</w:t>
            </w:r>
          </w:p>
        </w:tc>
        <w:tc>
          <w:tcPr/>
          <w:p>
            <w:pPr>
              <w:pStyle w:val="Compact"/>
              <w:jc w:val="left"/>
            </w:pPr>
            <w:r>
              <w:t xml:space="preserve">VARCHAR</w:t>
            </w:r>
          </w:p>
        </w:tc>
      </w:tr>
    </w:tbl>
    <w:bookmarkEnd w:id="412"/>
    <w:bookmarkStart w:id="413"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3"/>
    <w:bookmarkStart w:id="414"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value</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4"/>
    <w:bookmarkStart w:id="415"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15"/>
    <w:bookmarkStart w:id="416"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6"/>
    <w:bookmarkStart w:id="417"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zone_tbl</w:t>
            </w:r>
          </w:p>
        </w:tc>
        <w:tc>
          <w:tcPr/>
          <w:p>
            <w:pPr>
              <w:pStyle w:val="Compact"/>
              <w:jc w:val="left"/>
            </w:pPr>
            <w:r>
              <w:t xml:space="preserve">VARCHAR</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rl_code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is_er_spatial</w:t>
            </w:r>
          </w:p>
        </w:tc>
        <w:tc>
          <w:tcPr/>
          <w:p>
            <w:pPr>
              <w:pStyle w:val="Compact"/>
              <w:jc w:val="left"/>
            </w:pPr>
            <w:r>
              <w:t xml:space="preserve">BOOLEAN</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suit_rl</w:t>
            </w:r>
          </w:p>
        </w:tc>
        <w:tc>
          <w:tcPr/>
          <w:p>
            <w:pPr>
              <w:pStyle w:val="Compact"/>
              <w:jc w:val="left"/>
            </w:pPr>
            <w:r>
              <w:t xml:space="preserve">DOUBLE</w:t>
            </w:r>
          </w:p>
        </w:tc>
      </w:tr>
      <w:tr>
        <w:tc>
          <w:tcPr/>
          <w:p>
            <w:pPr>
              <w:pStyle w:val="Compact"/>
              <w:jc w:val="left"/>
            </w:pPr>
            <w:r>
              <w:t xml:space="preserve">suit_rl_area</w:t>
            </w:r>
          </w:p>
        </w:tc>
        <w:tc>
          <w:tcPr/>
          <w:p>
            <w:pPr>
              <w:pStyle w:val="Compact"/>
              <w:jc w:val="left"/>
            </w:pPr>
            <w:r>
              <w:t xml:space="preserve">DOUBLE</w:t>
            </w:r>
          </w:p>
        </w:tc>
      </w:tr>
      <w:tr>
        <w:tc>
          <w:tcPr/>
          <w:p>
            <w:pPr>
              <w:pStyle w:val="Compact"/>
              <w:jc w:val="left"/>
            </w:pPr>
            <w:r>
              <w:t xml:space="preserve">cat_suit_rl_area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17"/>
    <w:bookmarkStart w:id="418"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sort_order</w:t>
            </w:r>
          </w:p>
        </w:tc>
        <w:tc>
          <w:tcPr/>
          <w:p>
            <w:pPr>
              <w:pStyle w:val="Compact"/>
              <w:jc w:val="left"/>
            </w:pPr>
            <w:r>
              <w:t xml:space="preserve">INTEGER</w:t>
            </w:r>
          </w:p>
        </w:tc>
      </w:tr>
      <w:tr>
        <w:tc>
          <w:tcPr/>
          <w:p>
            <w:pPr>
              <w:pStyle w:val="Compact"/>
              <w:jc w:val="left"/>
            </w:pPr>
            <w:r>
              <w:t xml:space="preserve">global_mask_priority</w:t>
            </w:r>
          </w:p>
        </w:tc>
        <w:tc>
          <w:tcPr/>
          <w:p>
            <w:pPr>
              <w:pStyle w:val="Compact"/>
              <w:jc w:val="left"/>
            </w:pPr>
            <w:r>
              <w:t xml:space="preserve">DOUBLE</w:t>
            </w:r>
          </w:p>
        </w:tc>
      </w:tr>
    </w:tbl>
    <w:bookmarkEnd w:id="418"/>
    <w:bookmarkStart w:id="419"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bl>
    <w:bookmarkEnd w:id="419"/>
    <w:bookmarkStart w:id="420"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spp_id</w:t>
            </w:r>
          </w:p>
        </w:tc>
        <w:tc>
          <w:tcPr/>
          <w:p>
            <w:pPr>
              <w:pStyle w:val="Compact"/>
              <w:jc w:val="left"/>
            </w:pPr>
            <w:r>
              <w:t xml:space="preserve">DOUBLE</w:t>
            </w:r>
          </w:p>
        </w:tc>
      </w:tr>
      <w:tr>
        <w:tc>
          <w:tcPr/>
          <w:p>
            <w:pPr>
              <w:pStyle w:val="Compact"/>
              <w:jc w:val="left"/>
            </w:pPr>
            <w:r>
              <w:t xml:space="preserve">worms_id</w:t>
            </w:r>
          </w:p>
        </w:tc>
        <w:tc>
          <w:tcPr/>
          <w:p>
            <w:pPr>
              <w:pStyle w:val="Compact"/>
              <w:jc w:val="left"/>
            </w:pPr>
            <w:r>
              <w:t xml:space="preserve">DOUBLE</w:t>
            </w:r>
          </w:p>
        </w:tc>
      </w:tr>
      <w:tr>
        <w:tc>
          <w:tcPr/>
          <w:p>
            <w:pPr>
              <w:pStyle w:val="Compact"/>
              <w:jc w:val="left"/>
            </w:pPr>
            <w:r>
              <w:t xml:space="preserve">botw_id</w:t>
            </w:r>
          </w:p>
        </w:tc>
        <w:tc>
          <w:tcPr/>
          <w:p>
            <w:pPr>
              <w:pStyle w:val="Compact"/>
              <w:jc w:val="left"/>
            </w:pPr>
            <w:r>
              <w:t xml:space="preserve">DOUBLE</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common_name</w:t>
            </w:r>
          </w:p>
        </w:tc>
        <w:tc>
          <w:tcPr/>
          <w:p>
            <w:pPr>
              <w:pStyle w:val="Compact"/>
              <w:jc w:val="left"/>
            </w:pPr>
            <w:r>
              <w:t xml:space="preserve">VARCHAR</w:t>
            </w:r>
          </w:p>
        </w:tc>
      </w:tr>
    </w:tbl>
    <w:bookmarkEnd w:id="420"/>
    <w:bookmarkStart w:id="421" w:name="native_asset"/>
    <w:p>
      <w:pPr>
        <w:pStyle w:val="Heading3"/>
      </w:pPr>
      <w:r>
        <w:t xml:space="preserve">15.2.13</w:t>
      </w:r>
      <w:r>
        <w:t xml:space="preserve"> </w:t>
      </w:r>
      <w:r>
        <w:rPr>
          <w:rStyle w:val="VerbatimChar"/>
        </w:rPr>
        <w:t xml:space="preserve">native_asset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ms_merge_key</w:t>
            </w:r>
          </w:p>
        </w:tc>
        <w:tc>
          <w:tcPr/>
          <w:p>
            <w:pPr>
              <w:pStyle w:val="Compact"/>
              <w:jc w:val="left"/>
            </w:pPr>
            <w:r>
              <w:t xml:space="preserve">VARCHAR</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asset_type</w:t>
            </w:r>
          </w:p>
        </w:tc>
        <w:tc>
          <w:tcPr/>
          <w:p>
            <w:pPr>
              <w:pStyle w:val="Compact"/>
              <w:jc w:val="left"/>
            </w:pPr>
            <w:r>
              <w:t xml:space="preserve">VARCHAR</w:t>
            </w:r>
          </w:p>
        </w:tc>
      </w:tr>
      <w:tr>
        <w:tc>
          <w:tcPr/>
          <w:p>
            <w:pPr>
              <w:pStyle w:val="Compact"/>
              <w:jc w:val="left"/>
            </w:pPr>
            <w:r>
              <w:t xml:space="preserve">representation</w:t>
            </w:r>
          </w:p>
        </w:tc>
        <w:tc>
          <w:tcPr/>
          <w:p>
            <w:pPr>
              <w:pStyle w:val="Compact"/>
              <w:jc w:val="left"/>
            </w:pPr>
            <w:r>
              <w:t xml:space="preserve">VARCHAR</w:t>
            </w:r>
          </w:p>
        </w:tc>
      </w:tr>
      <w:tr>
        <w:tc>
          <w:tcPr/>
          <w:p>
            <w:pPr>
              <w:pStyle w:val="Compact"/>
              <w:jc w:val="left"/>
            </w:pPr>
            <w:r>
              <w:t xml:space="preserve">asset_url</w:t>
            </w:r>
          </w:p>
        </w:tc>
        <w:tc>
          <w:tcPr/>
          <w:p>
            <w:pPr>
              <w:pStyle w:val="Compact"/>
              <w:jc w:val="left"/>
            </w:pPr>
            <w:r>
              <w:t xml:space="preserve">VARCHAR</w:t>
            </w:r>
          </w:p>
        </w:tc>
      </w:tr>
      <w:tr>
        <w:tc>
          <w:tcPr/>
          <w:p>
            <w:pPr>
              <w:pStyle w:val="Compact"/>
              <w:jc w:val="left"/>
            </w:pPr>
            <w:r>
              <w:t xml:space="preserve">rescale_min</w:t>
            </w:r>
          </w:p>
        </w:tc>
        <w:tc>
          <w:tcPr/>
          <w:p>
            <w:pPr>
              <w:pStyle w:val="Compact"/>
              <w:jc w:val="left"/>
            </w:pPr>
            <w:r>
              <w:t xml:space="preserve">INTEGER</w:t>
            </w:r>
          </w:p>
        </w:tc>
      </w:tr>
      <w:tr>
        <w:tc>
          <w:tcPr/>
          <w:p>
            <w:pPr>
              <w:pStyle w:val="Compact"/>
              <w:jc w:val="left"/>
            </w:pPr>
            <w:r>
              <w:t xml:space="preserve">rescale_max</w:t>
            </w:r>
          </w:p>
        </w:tc>
        <w:tc>
          <w:tcPr/>
          <w:p>
            <w:pPr>
              <w:pStyle w:val="Compact"/>
              <w:jc w:val="left"/>
            </w:pPr>
            <w:r>
              <w:t xml:space="preserve">INTEGER</w:t>
            </w:r>
          </w:p>
        </w:tc>
      </w:tr>
      <w:tr>
        <w:tc>
          <w:tcPr/>
          <w:p>
            <w:pPr>
              <w:pStyle w:val="Compact"/>
              <w:jc w:val="left"/>
            </w:pPr>
            <w:r>
              <w:t xml:space="preserve">colormap</w:t>
            </w:r>
          </w:p>
        </w:tc>
        <w:tc>
          <w:tcPr/>
          <w:p>
            <w:pPr>
              <w:pStyle w:val="Compact"/>
              <w:jc w:val="left"/>
            </w:pPr>
            <w:r>
              <w:t xml:space="preserve">VARCHAR</w:t>
            </w:r>
          </w:p>
        </w:tc>
      </w:tr>
      <w:tr>
        <w:tc>
          <w:tcPr/>
          <w:p>
            <w:pPr>
              <w:pStyle w:val="Compact"/>
              <w:jc w:val="left"/>
            </w:pPr>
            <w:r>
              <w:t xml:space="preserve">xmin</w:t>
            </w:r>
          </w:p>
        </w:tc>
        <w:tc>
          <w:tcPr/>
          <w:p>
            <w:pPr>
              <w:pStyle w:val="Compact"/>
              <w:jc w:val="left"/>
            </w:pPr>
            <w:r>
              <w:t xml:space="preserve">DOUBLE</w:t>
            </w:r>
          </w:p>
        </w:tc>
      </w:tr>
      <w:tr>
        <w:tc>
          <w:tcPr/>
          <w:p>
            <w:pPr>
              <w:pStyle w:val="Compact"/>
              <w:jc w:val="left"/>
            </w:pPr>
            <w:r>
              <w:t xml:space="preserve">xmax</w:t>
            </w:r>
          </w:p>
        </w:tc>
        <w:tc>
          <w:tcPr/>
          <w:p>
            <w:pPr>
              <w:pStyle w:val="Compact"/>
              <w:jc w:val="left"/>
            </w:pPr>
            <w:r>
              <w:t xml:space="preserve">DOUBLE</w:t>
            </w:r>
          </w:p>
        </w:tc>
      </w:tr>
      <w:tr>
        <w:tc>
          <w:tcPr/>
          <w:p>
            <w:pPr>
              <w:pStyle w:val="Compact"/>
              <w:jc w:val="left"/>
            </w:pPr>
            <w:r>
              <w:t xml:space="preserve">ymin</w:t>
            </w:r>
          </w:p>
        </w:tc>
        <w:tc>
          <w:tcPr/>
          <w:p>
            <w:pPr>
              <w:pStyle w:val="Compact"/>
              <w:jc w:val="left"/>
            </w:pPr>
            <w:r>
              <w:t xml:space="preserve">DOUBLE</w:t>
            </w:r>
          </w:p>
        </w:tc>
      </w:tr>
      <w:tr>
        <w:tc>
          <w:tcPr/>
          <w:p>
            <w:pPr>
              <w:pStyle w:val="Compact"/>
              <w:jc w:val="left"/>
            </w:pPr>
            <w:r>
              <w:t xml:space="preserve">ymax</w:t>
            </w:r>
          </w:p>
        </w:tc>
        <w:tc>
          <w:tcPr/>
          <w:p>
            <w:pPr>
              <w:pStyle w:val="Compact"/>
              <w:jc w:val="left"/>
            </w:pPr>
            <w:r>
              <w:t xml:space="preserve">DOUBLE</w:t>
            </w:r>
          </w:p>
        </w:tc>
      </w:tr>
      <w:tr>
        <w:tc>
          <w:tcPr/>
          <w:p>
            <w:pPr>
              <w:pStyle w:val="Compact"/>
              <w:jc w:val="left"/>
            </w:pPr>
            <w:r>
              <w:t xml:space="preserve">source_layer</w:t>
            </w:r>
          </w:p>
        </w:tc>
        <w:tc>
          <w:tcPr/>
          <w:p>
            <w:pPr>
              <w:pStyle w:val="Compact"/>
              <w:jc w:val="left"/>
            </w:pPr>
            <w:r>
              <w:t xml:space="preserve">VARCHAR</w:t>
            </w:r>
          </w:p>
        </w:tc>
      </w:tr>
      <w:tr>
        <w:tc>
          <w:tcPr/>
          <w:p>
            <w:pPr>
              <w:pStyle w:val="Compact"/>
              <w:jc w:val="left"/>
            </w:pPr>
            <w:r>
              <w:t xml:space="preserve">content_hash</w:t>
            </w:r>
          </w:p>
        </w:tc>
        <w:tc>
          <w:tcPr/>
          <w:p>
            <w:pPr>
              <w:pStyle w:val="Compact"/>
              <w:jc w:val="left"/>
            </w:pPr>
            <w:r>
              <w:t xml:space="preserve">VARCHAR</w:t>
            </w:r>
          </w:p>
        </w:tc>
      </w:tr>
      <w:tr>
        <w:tc>
          <w:tcPr/>
          <w:p>
            <w:pPr>
              <w:pStyle w:val="Compact"/>
              <w:jc w:val="left"/>
            </w:pPr>
            <w:r>
              <w:t xml:space="preserve">source_key</w:t>
            </w:r>
          </w:p>
        </w:tc>
        <w:tc>
          <w:tcPr/>
          <w:p>
            <w:pPr>
              <w:pStyle w:val="Compact"/>
              <w:jc w:val="left"/>
            </w:pPr>
            <w:r>
              <w:t xml:space="preserve">VARCHAR</w:t>
            </w:r>
          </w:p>
        </w:tc>
      </w:tr>
    </w:tbl>
    <w:bookmarkEnd w:id="421"/>
    <w:bookmarkEnd w:id="422"/>
    <w:bookmarkStart w:id="433"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Applications/quarto/share/formats/docx/note.png" id="4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29"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2"/>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vector range, the normalized geometry and the attributes that reach the tile;</w:t>
      </w:r>
    </w:p>
    <w:p>
      <w:pPr>
        <w:pStyle w:val="Compact"/>
        <w:numPr>
          <w:ilvl w:val="0"/>
          <w:numId w:val="1042"/>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28" w:name="fig-asset-store"/>
          <w:p>
            <w:pPr>
              <w:jc w:val="center"/>
            </w:pPr>
            <w:r>
              <w:drawing>
                <wp:inline>
                  <wp:extent cx="4517136" cy="3639312"/>
                  <wp:effectExtent b="0" l="0" r="0" t="0"/>
                  <wp:docPr descr="" title="" id="426" name="Picture"/>
                  <a:graphic>
                    <a:graphicData uri="http://schemas.openxmlformats.org/drawingml/2006/picture">
                      <pic:pic>
                        <pic:nvPicPr>
                          <pic:cNvPr descr="db_files/figure-docx/mermaid-figure-2.png" id="427" name="Picture"/>
                          <pic:cNvPicPr>
                            <a:picLocks noChangeArrowheads="1" noChangeAspect="1"/>
                          </pic:cNvPicPr>
                        </pic:nvPicPr>
                        <pic:blipFill>
                          <a:blip r:embed="rId425"/>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28"/>
        </w:tc>
      </w:tr>
    </w:tbl>
    <w:bookmarkEnd w:id="429"/>
    <w:bookmarkStart w:id="430" w:name="the-catalog-and-the-pointer-table"/>
    <w:p>
      <w:pPr>
        <w:pStyle w:val="Heading3"/>
      </w:pPr>
      <w:r>
        <w:t xml:space="preserve">15.3.2 The catalog and the pointer table</w:t>
      </w:r>
    </w:p>
    <w:p>
      <w:pPr>
        <w:pStyle w:val="Compact"/>
        <w:numPr>
          <w:ilvl w:val="0"/>
          <w:numId w:val="1043"/>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3"/>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3"/>
        </w:numPr>
      </w:pPr>
      <w:r>
        <w:t xml:space="preserve">An object no release points at is garbage. Nothing is deleted except through a check that joins the catalog against every release’s pointer tables.</w:t>
      </w:r>
    </w:p>
    <w:bookmarkEnd w:id="430"/>
    <w:bookmarkStart w:id="431"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4"/>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4"/>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4"/>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31"/>
    <w:bookmarkStart w:id="432"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32"/>
    <w:bookmarkEnd w:id="433"/>
    <w:bookmarkStart w:id="434" w:name="how-the-tables-feed-the-serving-tier"/>
    <w:p>
      <w:pPr>
        <w:pStyle w:val="Heading2"/>
      </w:pPr>
      <w:r>
        <w:t xml:space="preserve">15.4 How the tables feed the serving tier</w:t>
      </w:r>
    </w:p>
    <w:p>
      <w:pPr>
        <w:pStyle w:val="Compact"/>
        <w:numPr>
          <w:ilvl w:val="0"/>
          <w:numId w:val="1045"/>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5"/>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5"/>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5"/>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34"/>
    <w:bookmarkEnd w:id="435"/>
    <w:bookmarkStart w:id="444" w:name="sec-workflows"/>
    <w:p>
      <w:pPr>
        <w:pStyle w:val="Heading1"/>
      </w:pPr>
      <w:r>
        <w:t xml:space="preserve">16. Workflows</w:t>
      </w:r>
    </w:p>
    <w:p>
      <w:pPr>
        <w:pStyle w:val="FirstParagraph"/>
      </w:pPr>
      <w:r>
        <w:t xml:space="preserve">Workflows are</w:t>
      </w:r>
      <w:r>
        <w:t xml:space="preserve"> </w:t>
      </w:r>
      <w:hyperlink r:id="rId436">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46"/>
        </w:numPr>
      </w:pPr>
      <w:hyperlink r:id="rId283">
        <w:r>
          <w:rPr>
            <w:rStyle w:val="Hyperlink"/>
          </w:rPr>
          <w:t xml:space="preserve">marinesensitivity.org/workflows</w:t>
        </w:r>
      </w:hyperlink>
      <w:r>
        <w:t xml:space="preserve"> </w:t>
      </w:r>
      <w:r>
        <w:t xml:space="preserve">— every notebook, rendered, with the current dependency graph</w:t>
      </w:r>
    </w:p>
    <w:p>
      <w:pPr>
        <w:pStyle w:val="Compact"/>
        <w:numPr>
          <w:ilvl w:val="0"/>
          <w:numId w:val="1046"/>
        </w:numPr>
      </w:pPr>
      <w:hyperlink r:id="rId342">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38"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37">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38"/>
    <w:bookmarkStart w:id="439"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mdl_seq</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39"/>
    <w:bookmarkStart w:id="440"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40"/>
    <w:bookmarkStart w:id="441"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41"/>
    <w:bookmarkStart w:id="442"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42"/>
    <w:bookmarkStart w:id="443"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43"/>
    <w:bookmarkEnd w:id="444"/>
    <w:bookmarkStart w:id="467" w:name="sec-apis"/>
    <w:p>
      <w:pPr>
        <w:pStyle w:val="Heading1"/>
      </w:pPr>
      <w:r>
        <w:t xml:space="preserve">17. APIs</w:t>
      </w:r>
    </w:p>
    <w:p>
      <w:pPr>
        <w:pStyle w:val="FirstParagraph"/>
      </w:pPr>
      <w:r>
        <w:t xml:space="preserve">Three services sit in front of the published data:</w:t>
      </w:r>
    </w:p>
    <w:p>
      <w:pPr>
        <w:pStyle w:val="Compact"/>
        <w:numPr>
          <w:ilvl w:val="0"/>
          <w:numId w:val="1047"/>
        </w:numPr>
      </w:pPr>
      <w:hyperlink r:id="rId386">
        <w:r>
          <w:rPr>
            <w:rStyle w:val="Hyperlink"/>
            <w:b/>
            <w:bCs/>
          </w:rPr>
          <w:t xml:space="preserve">titiler.marinesensitivity.org</w:t>
        </w:r>
      </w:hyperlink>
      <w:r>
        <w:t xml:space="preserve"> </w:t>
      </w:r>
      <w:r>
        <w:t xml:space="preserve">—</w:t>
      </w:r>
      <w:r>
        <w:t xml:space="preserve"> </w:t>
      </w:r>
      <w:hyperlink r:id="rId295">
        <w:r>
          <w:rPr>
            <w:rStyle w:val="Hyperlink"/>
          </w:rPr>
          <w:t xml:space="preserve">TiTiler</w:t>
        </w:r>
      </w:hyperlink>
      <w:r>
        <w:t xml:space="preserve">, serving the pre-rendered Cloud-Optimized GeoTIFFs that every map layer now draws.</w:t>
      </w:r>
    </w:p>
    <w:p>
      <w:pPr>
        <w:pStyle w:val="Compact"/>
        <w:numPr>
          <w:ilvl w:val="0"/>
          <w:numId w:val="1047"/>
        </w:numPr>
      </w:pPr>
      <w:hyperlink r:id="rId387">
        <w:r>
          <w:rPr>
            <w:rStyle w:val="Hyperlink"/>
            <w:b/>
            <w:bCs/>
          </w:rPr>
          <w:t xml:space="preserve">api.marinesensitivity.org</w:t>
        </w:r>
      </w:hyperlink>
      <w:r>
        <w:t xml:space="preserve"> </w:t>
      </w:r>
      <w:r>
        <w:t xml:space="preserve">— a custom R</w:t>
      </w:r>
      <w:r>
        <w:t xml:space="preserve"> </w:t>
      </w:r>
      <w:hyperlink r:id="rId445">
        <w:r>
          <w:rPr>
            <w:rStyle w:val="VerbatimChar"/>
          </w:rPr>
          <w:t xml:space="preserve">plumber</w:t>
        </w:r>
      </w:hyperlink>
      <w:r>
        <w:t xml:space="preserve"> </w:t>
      </w:r>
      <w:r>
        <w:t xml:space="preserve">API for programmatic (non-tile) data access.</w:t>
      </w:r>
    </w:p>
    <w:p>
      <w:pPr>
        <w:pStyle w:val="Compact"/>
        <w:numPr>
          <w:ilvl w:val="0"/>
          <w:numId w:val="1047"/>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46"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46"/>
    <w:bookmarkStart w:id="458"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Applications/quarto/share/formats/docx/important.png" id="448"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49">
        <w:r>
          <w:rPr>
            <w:rStyle w:val="Hyperlink"/>
          </w:rPr>
          <w:t xml:space="preserve">server/titiler/factory.py</w:t>
        </w:r>
      </w:hyperlink>
      <w:r>
        <w:t xml:space="preserve">.</w:t>
      </w:r>
    </w:p>
    <w:bookmarkStart w:id="452"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50">
        <w:r>
          <w:rPr>
            <w:rStyle w:val="VerbatimChar"/>
          </w:rPr>
          <w:t xml:space="preserve">msens::cell_tile_url()</w:t>
        </w:r>
      </w:hyperlink>
      <w:r>
        <w:t xml:space="preserve"> </w:t>
      </w:r>
      <w:r>
        <w:t xml:space="preserve">with stats from</w:t>
      </w:r>
      <w:r>
        <w:t xml:space="preserve"> </w:t>
      </w:r>
      <w:hyperlink r:id="rId451">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52"/>
    <w:bookmarkStart w:id="454" w:name="caching-v7-factory-only"/>
    <w:p>
      <w:pPr>
        <w:pStyle w:val="Heading3"/>
      </w:pPr>
      <w:r>
        <w:t xml:space="preserve">17.2.2 Caching (v7 factory only)</w:t>
      </w:r>
    </w:p>
    <w:p>
      <w:pPr>
        <w:pStyle w:val="FirstParagraph"/>
      </w:pPr>
      <w:hyperlink r:id="rId453">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48"/>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48"/>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48"/>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48"/>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Shiny app bumps the</w:t>
      </w:r>
      <w:r>
        <w:t xml:space="preserve"> </w:t>
      </w:r>
      <w:r>
        <w:rPr>
          <w:rStyle w:val="VerbatimChar"/>
        </w:rPr>
        <w:t xml:space="preserve">mtime</w:t>
      </w:r>
      <w:r>
        <w:t xml:space="preserve"> </w:t>
      </w:r>
      <w:r>
        <w:t xml:space="preserve">query parameter to invalidate all cached tiles at once.</w:t>
      </w:r>
    </w:p>
    <w:bookmarkEnd w:id="454"/>
    <w:bookmarkStart w:id="457"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5" name="Picture"/>
                  <a:graphic>
                    <a:graphicData uri="http://schemas.openxmlformats.org/drawingml/2006/picture">
                      <pic:pic>
                        <pic:nvPicPr>
                          <pic:cNvPr descr="/Applications/quarto/share/formats/docx/warning.png" id="456"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57"/>
    <w:bookmarkEnd w:id="458"/>
    <w:bookmarkStart w:id="463" w:name="custom-plumber-api"/>
    <w:p>
      <w:pPr>
        <w:pStyle w:val="Heading2"/>
      </w:pPr>
      <w:r>
        <w:t xml:space="preserve">17.3 Custom plumber API</w:t>
      </w:r>
    </w:p>
    <w:p>
      <w:pPr>
        <w:pStyle w:val="FirstParagraph"/>
      </w:pPr>
      <w:r>
        <w:t xml:space="preserve">The plumber API at</w:t>
      </w:r>
      <w:r>
        <w:t xml:space="preserve"> </w:t>
      </w:r>
      <w:hyperlink r:id="rId387">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59">
        <w:r>
          <w:rPr>
            <w:rStyle w:val="Hyperlink"/>
          </w:rPr>
          <w:t xml:space="preserve">MarineSensitivity/api</w:t>
        </w:r>
      </w:hyperlink>
      <w:r>
        <w:t xml:space="preserve">.</w:t>
      </w:r>
    </w:p>
    <w:p>
      <w:pPr>
        <w:pStyle w:val="BodyText"/>
      </w:pPr>
      <w:r>
        <w:drawing>
          <wp:inline>
            <wp:extent cx="2857500" cy="2046839"/>
            <wp:effectExtent b="0" l="0" r="0" t="0"/>
            <wp:docPr descr="" title="" id="461" name="Picture"/>
            <a:graphic>
              <a:graphicData uri="http://schemas.openxmlformats.org/drawingml/2006/picture">
                <pic:pic>
                  <pic:nvPicPr>
                    <pic:cNvPr descr="figures/apis/api.marinesensitivity.org.png" id="462" name="Picture"/>
                    <pic:cNvPicPr>
                      <a:picLocks noChangeArrowheads="1" noChangeAspect="1"/>
                    </pic:cNvPicPr>
                  </pic:nvPicPr>
                  <pic:blipFill>
                    <a:blip r:embed="rId460"/>
                    <a:stretch>
                      <a:fillRect/>
                    </a:stretch>
                  </pic:blipFill>
                  <pic:spPr bwMode="auto">
                    <a:xfrm>
                      <a:off x="0" y="0"/>
                      <a:ext cx="2857500" cy="2046839"/>
                    </a:xfrm>
                    <a:prstGeom prst="rect">
                      <a:avLst/>
                    </a:prstGeom>
                    <a:noFill/>
                    <a:ln w="9525">
                      <a:noFill/>
                      <a:headEnd/>
                      <a:tailEnd/>
                    </a:ln>
                  </pic:spPr>
                </pic:pic>
              </a:graphicData>
            </a:graphic>
          </wp:inline>
        </w:drawing>
      </w:r>
    </w:p>
    <w:bookmarkEnd w:id="463"/>
    <w:bookmarkStart w:id="465" w:name="stac"/>
    <w:p>
      <w:pPr>
        <w:pStyle w:val="Heading2"/>
      </w:pPr>
      <w:r>
        <w:t xml:space="preserve">17.4 STAC</w:t>
      </w:r>
    </w:p>
    <w:p>
      <w:pPr>
        <w:pStyle w:val="FirstParagraph"/>
      </w:pPr>
      <w:r>
        <w:t xml:space="preserve">Each release publishes a</w:t>
      </w:r>
      <w:r>
        <w:t xml:space="preserve"> </w:t>
      </w:r>
      <w:hyperlink r:id="rId464">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65"/>
    <w:bookmarkStart w:id="466"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49"/>
        </w:numPr>
      </w:pPr>
      <w:r>
        <w:rPr>
          <w:rStyle w:val="VerbatimChar"/>
        </w:rPr>
        <w:t xml:space="preserve">swagger.marinesensitivity.org</w:t>
      </w:r>
      <w:r>
        <w:t xml:space="preserve"> </w:t>
      </w:r>
      <w:r>
        <w:t xml:space="preserve">— PostgREST over PostgreSQL.</w:t>
      </w:r>
    </w:p>
    <w:p>
      <w:pPr>
        <w:pStyle w:val="Compact"/>
        <w:numPr>
          <w:ilvl w:val="0"/>
          <w:numId w:val="1049"/>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66"/>
    <w:bookmarkEnd w:id="467"/>
    <w:bookmarkStart w:id="469"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50"/>
        </w:numPr>
      </w:pPr>
      <w:hyperlink r:id="rId338">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Shiny apps in</w:t>
      </w:r>
      <w:r>
        <w:t xml:space="preserve"> </w:t>
      </w:r>
      <w:hyperlink w:anchor="sec-apps">
        <w:r>
          <w:rPr>
            <w:rStyle w:val="Hyperlink"/>
          </w:rPr>
          <w:t xml:space="preserve">Chapter 19</w:t>
        </w:r>
      </w:hyperlink>
      <w:r>
        <w:t xml:space="preserve"> </w:t>
      </w:r>
      <w:r>
        <w:t xml:space="preserve">consume</w:t>
      </w:r>
      <w:r>
        <w:t xml:space="preserve"> </w:t>
      </w:r>
      <w:r>
        <w:rPr>
          <w:rStyle w:val="VerbatimChar"/>
        </w:rPr>
        <w:t xml:space="preserve">msens::*</w:t>
      </w:r>
      <w:r>
        <w:t xml:space="preserve"> </w:t>
      </w:r>
      <w:r>
        <w:t xml:space="preserve">helpers exclusively — app code never talks to the tile factory or PMTiles URL templates directly.</w:t>
      </w:r>
    </w:p>
    <w:bookmarkStart w:id="468" w:name="map-tile-helpers-as-of-0.3.4"/>
    <w:p>
      <w:pPr>
        <w:pStyle w:val="Heading2"/>
      </w:pPr>
      <w:r>
        <w:t xml:space="preserve">18.1 Map-tile helpers (as of 0.3.4)</w:t>
      </w:r>
    </w:p>
    <w:p>
      <w:pPr>
        <w:pStyle w:val="FirstParagraph"/>
      </w:pPr>
      <w:r>
        <w:t xml:space="preserve">The following helpers bridge the Shiny app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Shiny app adds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68"/>
    <w:bookmarkEnd w:id="469"/>
    <w:bookmarkStart w:id="478" w:name="sec-apps"/>
    <w:p>
      <w:pPr>
        <w:pStyle w:val="Heading1"/>
      </w:pPr>
      <w:r>
        <w:t xml:space="preserve">19. Apps</w:t>
      </w:r>
    </w:p>
    <w:p>
      <w:pPr>
        <w:pStyle w:val="FirstParagraph"/>
      </w:pPr>
      <w:r>
        <w:t xml:space="preserve">The MST provides three interactive web applications — two Shiny apps (Scores, Species) plus a newer, static, in-browser Atlas — along with several legacy applications from earlier development phases.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0" name="Picture"/>
                  <a:graphic>
                    <a:graphicData uri="http://schemas.openxmlformats.org/drawingml/2006/picture">
                      <pic:pic>
                        <pic:nvPicPr>
                          <pic:cNvPr descr="/Applications/quarto/share/formats/docx/note.png" id="47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Every one of the three current apps renders</w:t>
            </w:r>
            <w:r>
              <w:t xml:space="preserve"> </w:t>
            </w:r>
            <w:r>
              <w:rPr>
                <w:b/>
                <w:bCs/>
              </w:rPr>
              <w:t xml:space="preserve">any published release</w:t>
            </w:r>
            <w:r>
              <w:t xml:space="preserve"> </w:t>
            </w:r>
            <w:r>
              <w:t xml:space="preserve">rather than shipping a per-version fork. Scores and Species do this from the URL (</w:t>
            </w:r>
            <w:r>
              <w:rPr>
                <w:rStyle w:val="VerbatimChar"/>
              </w:rPr>
              <w:t xml:space="preserve">/v3/scores/</w:t>
            </w:r>
            <w:r>
              <w:t xml:space="preserve">; older</w:t>
            </w:r>
            <w:r>
              <w:t xml:space="preserve"> </w:t>
            </w:r>
            <w:r>
              <w:rPr>
                <w:rStyle w:val="VerbatimChar"/>
              </w:rPr>
              <w:t xml:space="preserve">?ver=v3</w:t>
            </w:r>
            <w:r>
              <w:t xml:space="preserve"> </w:t>
            </w:r>
            <w:r>
              <w:t xml:space="preserve">links redirect there) — the version is data, settled by the release’s published manifest, so a fix reaches every version at once, and the 18 former per-version Shiny instances are retired with their URLs redirecting permanently to the equivalent path. The Atlas follows the same rule with a different mechanism (</w:t>
            </w:r>
            <w:hyperlink w:anchor="sec-app-atlas">
              <w:r>
                <w:rPr>
                  <w:rStyle w:val="Hyperlink"/>
                </w:rPr>
                <w:t xml:space="preserve">Appendix B</w:t>
              </w:r>
            </w:hyperlink>
            <w:r>
              <w:t xml:space="preserve">): one static build reads the same published</w:t>
            </w:r>
            <w:r>
              <w:t xml:space="preserve"> </w:t>
            </w:r>
            <w:r>
              <w:rPr>
                <w:rStyle w:val="VerbatimChar"/>
              </w:rPr>
              <w:t xml:space="preserve">versions.json</w:t>
            </w:r>
            <w:r>
              <w:t xml:space="preserve">, resolving the release from</w:t>
            </w:r>
            <w:r>
              <w:t xml:space="preserve"> </w:t>
            </w:r>
            <w:r>
              <w:rPr>
                <w:rStyle w:val="VerbatimChar"/>
              </w:rPr>
              <w:t xml:space="preserve">?ver=</w:t>
            </w:r>
            <w:r>
              <w:t xml:space="preserve"> </w:t>
            </w:r>
            <w:r>
              <w:t xml:space="preserve">on its public host, and — its preview route shipping with 0.10.59 — from the URL path on its signed-in preview host.</w:t>
            </w:r>
          </w:p>
          <w:p/>
        </w:tc>
      </w:tr>
    </w:tbl>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bookmarkStart w:id="476" w:name="current-applications"/>
    <w:p>
      <w:pPr>
        <w:pStyle w:val="Heading2"/>
      </w:pPr>
      <w:r>
        <w:t xml:space="preserve">19.1 Current Applications</w:t>
      </w:r>
    </w:p>
    <w:bookmarkStart w:id="473" w:name="Xa3ded3a79f73f8a36aae85cc7da684dd724eb9f"/>
    <w:p>
      <w:pPr>
        <w:pStyle w:val="Heading3"/>
      </w:pPr>
      <w:r>
        <w:t xml:space="preserve">19.1.1 Atlas (beta) — static, in-browser scores, species and places</w:t>
      </w:r>
    </w:p>
    <w:p>
      <w:pPr>
        <w:pStyle w:val="FirstParagraph"/>
      </w:pPr>
      <w:r>
        <w:t xml:space="preserve">The</w:t>
      </w:r>
      <w:r>
        <w:t xml:space="preserve"> </w:t>
      </w:r>
      <w:hyperlink r:id="rId472">
        <w:r>
          <w:rPr>
            <w:rStyle w:val="Hyperlink"/>
          </w:rPr>
          <w:t xml:space="preserve">Atlas</w:t>
        </w:r>
      </w:hyperlink>
      <w:r>
        <w:t xml:space="preserve"> </w:t>
      </w:r>
      <w:r>
        <w:t xml:space="preserve">is a newer, third way to explore the MST, currently labelled</w:t>
      </w:r>
      <w:r>
        <w:t xml:space="preserve"> </w:t>
      </w:r>
      <w:r>
        <w:rPr>
          <w:b/>
          <w:bCs/>
        </w:rPr>
        <w:t xml:space="preserve">beta</w:t>
      </w:r>
      <w:r>
        <w:t xml:space="preserve">: one static Svelte/MapLibre app with</w:t>
      </w:r>
      <w:r>
        <w:t xml:space="preserve"> </w:t>
      </w:r>
      <w:r>
        <w:rPr>
          <w:b/>
          <w:bCs/>
        </w:rPr>
        <w:t xml:space="preserve">no application server of its own</w:t>
      </w:r>
      <w:r>
        <w:t xml:space="preserve"> </w:t>
      </w:r>
      <w:r>
        <w:t xml:space="preserve">— scores,</w:t>
      </w:r>
      <w:r>
        <w:t xml:space="preserve"> </w:t>
      </w:r>
      <w:r>
        <w:t xml:space="preserve">clicks, flowers and reports are computed in your browser by a DuckDB-WASM instance, though score</w:t>
      </w:r>
      <w:r>
        <w:t xml:space="preserve"> </w:t>
      </w:r>
      <w:r>
        <w:t xml:space="preserve">tiles, zone outlines and the basemap still come from the project’s titiler, PMTiles and CARTO.</w:t>
      </w:r>
      <w:r>
        <w:t xml:space="preserve"> </w:t>
      </w:r>
      <w:r>
        <w:t xml:space="preserve">It combines what Scores and Species do separately — mapping composite scores and mapping</w:t>
      </w:r>
      <w:r>
        <w:t xml:space="preserve"> </w:t>
      </w:r>
      <w:r>
        <w:t xml:space="preserve">individual species — with a capability neither Shiny app has,</w:t>
      </w:r>
      <w:r>
        <w:t xml:space="preserve"> </w:t>
      </w:r>
      <w:r>
        <w:rPr>
          <w:b/>
          <w:bCs/>
        </w:rPr>
        <w:t xml:space="preserve">Places</w:t>
      </w:r>
      <w:r>
        <w:t xml:space="preserve">: drawing, typing or</w:t>
      </w:r>
      <w:r>
        <w:t xml:space="preserve"> </w:t>
      </w:r>
      <w:r>
        <w:t xml:space="preserve">uploading any area of interest (not only the built-in Program Areas) and getting the same scores,</w:t>
      </w:r>
      <w:r>
        <w:t xml:space="preserve"> </w:t>
      </w:r>
      <w:r>
        <w:t xml:space="preserve">species tables and an exportable report for it, shareable entirely through the URL.</w:t>
      </w:r>
    </w:p>
    <w:p>
      <w:pPr>
        <w:pStyle w:val="BodyText"/>
      </w:pPr>
      <w:r>
        <w:t xml:space="preserve">See</w:t>
      </w:r>
      <w:r>
        <w:t xml:space="preserve"> </w:t>
      </w:r>
      <w:hyperlink w:anchor="sec-app-atlas">
        <w:r>
          <w:rPr>
            <w:rStyle w:val="Hyperlink"/>
          </w:rPr>
          <w:t xml:space="preserve">Appendix B</w:t>
        </w:r>
      </w:hyperlink>
      <w:r>
        <w:t xml:space="preserve"> </w:t>
      </w:r>
      <w:r>
        <w:t xml:space="preserve">for the full walkthrough, including how a drawn place is encoded into a shareable link.</w:t>
      </w:r>
    </w:p>
    <w:bookmarkEnd w:id="473"/>
    <w:bookmarkStart w:id="474" w:name="X0866deb9de13c5a949683d88efa8b94747e10df"/>
    <w:p>
      <w:pPr>
        <w:pStyle w:val="Heading3"/>
      </w:pPr>
      <w:r>
        <w:t xml:space="preserve">19.1.2 Scores — mapper of aggregate sensitivity scores</w:t>
      </w:r>
    </w:p>
    <w:p>
      <w:pPr>
        <w:pStyle w:val="FirstParagraph"/>
      </w:pPr>
      <w:r>
        <w:t xml:space="preserve">The</w:t>
      </w:r>
      <w:r>
        <w:t xml:space="preserve"> </w:t>
      </w:r>
      <w:hyperlink r:id="rId21">
        <w:r>
          <w:rPr>
            <w:rStyle w:val="Hyperlink"/>
          </w:rPr>
          <w:t xml:space="preserve">Scores</w:t>
        </w:r>
      </w:hyperlink>
      <w:r>
        <w:t xml:space="preserve"> </w:t>
      </w:r>
      <w:r>
        <w:t xml:space="preserve">application is the primary tool for exploring composite sensitivity scores across BOEM Program Areas. Key features include:</w:t>
      </w:r>
    </w:p>
    <w:p>
      <w:pPr>
        <w:pStyle w:val="Compact"/>
        <w:numPr>
          <w:ilvl w:val="0"/>
          <w:numId w:val="1051"/>
        </w:numPr>
      </w:pPr>
      <w:r>
        <w:rPr>
          <w:b/>
          <w:bCs/>
        </w:rPr>
        <w:t xml:space="preserve">Multi-resolution viewing</w:t>
      </w:r>
      <w:r>
        <w:t xml:space="preserve">: toggle between cell-level (0.05° grid) and Program Area aggregations</w:t>
      </w:r>
    </w:p>
    <w:p>
      <w:pPr>
        <w:pStyle w:val="Compact"/>
        <w:numPr>
          <w:ilvl w:val="0"/>
          <w:numId w:val="1051"/>
        </w:numPr>
      </w:pPr>
      <w:r>
        <w:rPr>
          <w:b/>
          <w:bCs/>
        </w:rPr>
        <w:t xml:space="preserve">Study area selection</w:t>
      </w:r>
      <w:r>
        <w:t xml:space="preserve">: focus on specific Program Areas or subregions</w:t>
      </w:r>
    </w:p>
    <w:p>
      <w:pPr>
        <w:pStyle w:val="Compact"/>
        <w:numPr>
          <w:ilvl w:val="0"/>
          <w:numId w:val="1051"/>
        </w:numPr>
      </w:pPr>
      <w:r>
        <w:rPr>
          <w:b/>
          <w:bCs/>
        </w:rPr>
        <w:t xml:space="preserve">Layer selection</w:t>
      </w:r>
      <w:r>
        <w:t xml:space="preserve">: view individual species category scores or composite metrics</w:t>
      </w:r>
    </w:p>
    <w:p>
      <w:pPr>
        <w:pStyle w:val="Compact"/>
        <w:numPr>
          <w:ilvl w:val="0"/>
          <w:numId w:val="1051"/>
        </w:numPr>
      </w:pPr>
      <w:r>
        <w:rPr>
          <w:b/>
          <w:bCs/>
        </w:rPr>
        <w:t xml:space="preserve">Flower plot</w:t>
      </w:r>
      <w:r>
        <w:t xml:space="preserve">: interactive summary showing scores by species category with weighted center value</w:t>
      </w:r>
    </w:p>
    <w:p>
      <w:pPr>
        <w:pStyle w:val="Compact"/>
        <w:numPr>
          <w:ilvl w:val="0"/>
          <w:numId w:val="1051"/>
        </w:numPr>
      </w:pPr>
      <w:r>
        <w:rPr>
          <w:b/>
          <w:bCs/>
        </w:rPr>
        <w:t xml:space="preserve">Species table</w:t>
      </w:r>
      <w:r>
        <w:t xml:space="preserve">: sortable table of species present in selected area with extinction risk details</w:t>
      </w:r>
    </w:p>
    <w:p>
      <w:pPr>
        <w:pStyle w:val="Compact"/>
        <w:numPr>
          <w:ilvl w:val="0"/>
          <w:numId w:val="1051"/>
        </w:numPr>
      </w:pPr>
      <w:r>
        <w:rPr>
          <w:b/>
          <w:bCs/>
        </w:rPr>
        <w:t xml:space="preserve">Treemap</w:t>
      </w:r>
      <w:r>
        <w:t xml:space="preserve">: hierarchical view of species contributions to sensitivity</w:t>
      </w:r>
    </w:p>
    <w:p>
      <w:pPr>
        <w:pStyle w:val="Compact"/>
        <w:numPr>
          <w:ilvl w:val="0"/>
          <w:numId w:val="1051"/>
        </w:numPr>
      </w:pPr>
      <w:r>
        <w:rPr>
          <w:b/>
          <w:bCs/>
        </w:rPr>
        <w:t xml:space="preserve">CSV export</w:t>
      </w:r>
      <w:r>
        <w:t xml:space="preserve">: download data for selected area or species</w:t>
      </w:r>
    </w:p>
    <w:p>
      <w:pPr>
        <w:pStyle w:val="FirstParagraph"/>
      </w:pPr>
      <w:r>
        <w:t xml:space="preserve">Under the hood the Scores app composes three kinds of map layer (</w:t>
      </w:r>
      <w:hyperlink w:anchor="fig-architecture">
        <w:r>
          <w:rPr>
            <w:rStyle w:val="Hyperlink"/>
          </w:rPr>
          <w:t xml:space="preserve">Figure 13.1</w:t>
        </w:r>
      </w:hyperlink>
      <w:r>
        <w:t xml:space="preserve">):</w:t>
      </w:r>
    </w:p>
    <w:p>
      <w:pPr>
        <w:pStyle w:val="Compact"/>
        <w:numPr>
          <w:ilvl w:val="0"/>
          <w:numId w:val="1052"/>
        </w:numPr>
      </w:pPr>
      <w:r>
        <w:rPr>
          <w:b/>
          <w:bCs/>
        </w:rPr>
        <w:t xml:space="preserve">Score raster</w:t>
      </w:r>
      <w:r>
        <w:t xml:space="preserve"> </w:t>
      </w:r>
      <w:r>
        <w:t xml:space="preserve">— a pre-rendered COG per metric × subregion, whose URL and rescale range come straight from the release manifest. The browser fetches only the tiles intersecting its viewport; no full-raster transfer on load (see</w:t>
      </w:r>
      <w:r>
        <w:t xml:space="preserve"> </w:t>
      </w:r>
      <w:hyperlink w:anchor="fig-raster">
        <w:r>
          <w:rPr>
            <w:rStyle w:val="Hyperlink"/>
          </w:rPr>
          <w:t xml:space="preserve">Figure 13.2</w:t>
        </w:r>
      </w:hyperlink>
      <w:r>
        <w:t xml:space="preserve">).</w:t>
      </w:r>
    </w:p>
    <w:p>
      <w:pPr>
        <w:pStyle w:val="Compact"/>
        <w:numPr>
          <w:ilvl w:val="0"/>
          <w:numId w:val="1052"/>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2"/>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per-zone fill colors pushed live into the paint spec from the release’s</w:t>
      </w:r>
      <w:r>
        <w:t xml:space="preserve"> </w:t>
      </w:r>
      <w:r>
        <w:rPr>
          <w:rStyle w:val="VerbatimChar"/>
        </w:rPr>
        <w:t xml:space="preserve">zone_metric</w:t>
      </w:r>
      <w:r>
        <w:t xml:space="preserve"> </w:t>
      </w:r>
      <w:r>
        <w:t xml:space="preserve">(see</w:t>
      </w:r>
      <w:r>
        <w:t xml:space="preserve"> </w:t>
      </w:r>
      <w:hyperlink w:anchor="fig-choropleth">
        <w:r>
          <w:rPr>
            <w:rStyle w:val="Hyperlink"/>
          </w:rPr>
          <w:t xml:space="preserve">Figure 13.4</w:t>
        </w:r>
      </w:hyperlink>
      <w:r>
        <w:t xml:space="preserve">).</w:t>
      </w:r>
    </w:p>
    <w:p>
      <w:pPr>
        <w:pStyle w:val="FirstParagraph"/>
      </w:pPr>
      <w:r>
        <w:t xml:space="preserve">Because every one of those is resolved from the manifest rather than hardcoded, switching the URL’s version segment (e.g. </w:t>
      </w:r>
      <w:r>
        <w:rPr>
          <w:rStyle w:val="VerbatimChar"/>
        </w:rPr>
        <w:t xml:space="preserve">/v3/</w:t>
      </w:r>
      <w:r>
        <w:t xml:space="preserve"> </w:t>
      </w:r>
      <w:r>
        <w:t xml:space="preserve">→</w:t>
      </w:r>
      <w:r>
        <w:t xml:space="preserve"> </w:t>
      </w:r>
      <w:r>
        <w:rPr>
          <w:rStyle w:val="VerbatimChar"/>
        </w:rPr>
        <w:t xml:space="preserve">/v4/</w:t>
      </w:r>
      <w:r>
        <w:t xml:space="preserve">) switches all three together — including drawing the boundary vintage that release actually used.</w:t>
      </w:r>
    </w:p>
    <w:p>
      <w:pPr>
        <w:pStyle w:val="BodyText"/>
      </w:pPr>
      <w:r>
        <w:t xml:space="preserve">See</w:t>
      </w:r>
      <w:r>
        <w:t xml:space="preserve"> </w:t>
      </w:r>
      <w:hyperlink w:anchor="sec-app-scores">
        <w:r>
          <w:rPr>
            <w:rStyle w:val="Hyperlink"/>
          </w:rPr>
          <w:t xml:space="preserve">Appendix D</w:t>
        </w:r>
      </w:hyperlink>
      <w:r>
        <w:t xml:space="preserve"> </w:t>
      </w:r>
      <w:r>
        <w:t xml:space="preserve">for details.</w:t>
      </w:r>
    </w:p>
    <w:bookmarkEnd w:id="474"/>
    <w:bookmarkStart w:id="475" w:name="X3680c5fb3e20b6a91c613e2235f302b13356ea8"/>
    <w:p>
      <w:pPr>
        <w:pStyle w:val="Heading3"/>
      </w:pPr>
      <w:r>
        <w:t xml:space="preserve">19.1.3 Species — mapper of individual species distributions</w:t>
      </w:r>
    </w:p>
    <w:p>
      <w:pPr>
        <w:pStyle w:val="FirstParagraph"/>
      </w:pPr>
      <w:r>
        <w:t xml:space="preserve">The</w:t>
      </w:r>
      <w:r>
        <w:t xml:space="preserve"> </w:t>
      </w:r>
      <w:hyperlink r:id="rId22">
        <w:r>
          <w:rPr>
            <w:rStyle w:val="Hyperlink"/>
          </w:rPr>
          <w:t xml:space="preserve">Species</w:t>
        </w:r>
      </w:hyperlink>
      <w:r>
        <w:t xml:space="preserve"> </w:t>
      </w:r>
      <w:r>
        <w:t xml:space="preserve">application enables exploration of individual species distribution models. Key features include:</w:t>
      </w:r>
    </w:p>
    <w:p>
      <w:pPr>
        <w:pStyle w:val="Compact"/>
        <w:numPr>
          <w:ilvl w:val="0"/>
          <w:numId w:val="1053"/>
        </w:numPr>
      </w:pPr>
      <w:r>
        <w:rPr>
          <w:b/>
          <w:bCs/>
        </w:rPr>
        <w:t xml:space="preserve">Species selection</w:t>
      </w:r>
      <w:r>
        <w:t xml:space="preserve">: search by common or scientific name, filter by species category</w:t>
      </w:r>
    </w:p>
    <w:p>
      <w:pPr>
        <w:pStyle w:val="Compact"/>
        <w:numPr>
          <w:ilvl w:val="0"/>
          <w:numId w:val="1053"/>
        </w:numPr>
      </w:pPr>
      <w:r>
        <w:rPr>
          <w:b/>
          <w:bCs/>
        </w:rPr>
        <w:t xml:space="preserve">Model display</w:t>
      </w:r>
      <w:r>
        <w:t xml:space="preserve">: view merged models or individual source dataset layers</w:t>
      </w:r>
    </w:p>
    <w:p>
      <w:pPr>
        <w:pStyle w:val="Compact"/>
        <w:numPr>
          <w:ilvl w:val="0"/>
          <w:numId w:val="1053"/>
        </w:numPr>
      </w:pPr>
      <w:r>
        <w:rPr>
          <w:b/>
          <w:bCs/>
        </w:rPr>
        <w:t xml:space="preserve">Representation toggle</w:t>
      </w:r>
      <w:r>
        <w:t xml:space="preserve">: compare the native-resolution original with the interpolated surface used in scoring</w:t>
      </w:r>
    </w:p>
    <w:p>
      <w:pPr>
        <w:pStyle w:val="Compact"/>
        <w:numPr>
          <w:ilvl w:val="0"/>
          <w:numId w:val="1053"/>
        </w:numPr>
      </w:pPr>
      <w:r>
        <w:rPr>
          <w:b/>
          <w:bCs/>
        </w:rPr>
        <w:t xml:space="preserve">Masking toggle</w:t>
      </w:r>
      <w:r>
        <w:t xml:space="preserve">: compare the expert-range-constrained merged model with the unconstrained suitability</w:t>
      </w:r>
    </w:p>
    <w:p>
      <w:pPr>
        <w:pStyle w:val="Compact"/>
        <w:numPr>
          <w:ilvl w:val="0"/>
          <w:numId w:val="1053"/>
        </w:numPr>
      </w:pPr>
      <w:r>
        <w:rPr>
          <w:b/>
          <w:bCs/>
        </w:rPr>
        <w:t xml:space="preserve">Species info panel</w:t>
      </w:r>
      <w:r>
        <w:t xml:space="preserve">: ESA listing, IUCN Red List category, MMPA/MBTA protection flags, extinction risk score</w:t>
      </w:r>
    </w:p>
    <w:p>
      <w:pPr>
        <w:pStyle w:val="Compact"/>
        <w:numPr>
          <w:ilvl w:val="0"/>
          <w:numId w:val="1053"/>
        </w:numPr>
      </w:pPr>
      <w:r>
        <w:rPr>
          <w:b/>
          <w:bCs/>
        </w:rPr>
        <w:t xml:space="preserve">Deep-linking</w:t>
      </w:r>
      <w:r>
        <w:t xml:space="preserve">: URL parameters support direct links to specific species</w:t>
      </w:r>
    </w:p>
    <w:p>
      <w:pPr>
        <w:pStyle w:val="FirstParagraph"/>
      </w:pPr>
      <w:r>
        <w:t xml:space="preserve">See</w:t>
      </w:r>
      <w:r>
        <w:t xml:space="preserve"> </w:t>
      </w:r>
      <w:hyperlink w:anchor="sec-app-species">
        <w:r>
          <w:rPr>
            <w:rStyle w:val="Hyperlink"/>
          </w:rPr>
          <w:t xml:space="preserve">Appendix F</w:t>
        </w:r>
      </w:hyperlink>
      <w:r>
        <w:t xml:space="preserve"> </w:t>
      </w:r>
      <w:r>
        <w:t xml:space="preserve">for details.</w:t>
      </w:r>
    </w:p>
    <w:bookmarkEnd w:id="475"/>
    <w:bookmarkEnd w:id="476"/>
    <w:bookmarkStart w:id="477" w:name="legacy-applications"/>
    <w:p>
      <w:pPr>
        <w:pStyle w:val="Heading2"/>
      </w:pPr>
      <w:r>
        <w:t xml:space="preserve">19.2 Legacy Applications</w:t>
      </w:r>
    </w:p>
    <w:p>
      <w:pPr>
        <w:pStyle w:val="FirstParagraph"/>
      </w:pPr>
      <w:r>
        <w:t xml:space="preserve">Earlier prototype applications from the research phase are kept in the Appendix under Applications (Legacy) for reference. They are not part of the current serving path.</w:t>
      </w:r>
    </w:p>
    <w:bookmarkEnd w:id="477"/>
    <w:bookmarkEnd w:id="478"/>
    <w:bookmarkStart w:id="565" w:name="apps-user-guide"/>
    <w:p>
      <w:pPr>
        <w:pStyle w:val="Heading1"/>
      </w:pPr>
      <w:r>
        <w:t xml:space="preserve">20. Apps User Guide</w:t>
      </w:r>
    </w:p>
    <w:p>
      <w:pPr>
        <w:pStyle w:val="FirstParagraph"/>
      </w:pPr>
      <w:r>
        <w:t xml:space="preserve">Step-by-step walkthrough of the Scores and Species applications</w:t>
      </w:r>
    </w:p>
    <w:p>
      <w:pPr>
        <w:pStyle w:val="BodyText"/>
      </w:pPr>
      <w:r>
        <w:br/>
      </w:r>
    </w:p>
    <w:p>
      <w:pPr>
        <w:pStyle w:val="BodyText"/>
      </w:pPr>
      <w:r>
        <w:t xml:space="preserve">This guide walks through the two interactive applications —</w:t>
      </w:r>
      <w:r>
        <w:t xml:space="preserve"> </w:t>
      </w:r>
      <w:r>
        <w:rPr>
          <w:b/>
          <w:bCs/>
        </w:rPr>
        <w:t xml:space="preserve">Scores</w:t>
      </w:r>
      <w:r>
        <w:t xml:space="preserve"> </w:t>
      </w:r>
      <w:r>
        <w:t xml:space="preserve">(</w:t>
      </w:r>
      <w:hyperlink r:id="rId21">
        <w:r>
          <w:rPr>
            <w:rStyle w:val="Hyperlink"/>
          </w:rPr>
          <w:t xml:space="preserve">app.marinesensitivity.org/v7/scores/</w:t>
        </w:r>
      </w:hyperlink>
      <w:r>
        <w:t xml:space="preserve">)</w:t>
      </w:r>
      <w:r>
        <w:t xml:space="preserve"> </w:t>
      </w:r>
      <w:r>
        <w:t xml:space="preserve">and</w:t>
      </w:r>
      <w:r>
        <w:t xml:space="preserve"> </w:t>
      </w:r>
      <w:r>
        <w:rPr>
          <w:b/>
          <w:bCs/>
        </w:rPr>
        <w:t xml:space="preserve">Species</w:t>
      </w:r>
      <w:r>
        <w:t xml:space="preserve"> </w:t>
      </w:r>
      <w:r>
        <w:t xml:space="preserve">(</w:t>
      </w:r>
      <w:hyperlink r:id="rId22">
        <w:r>
          <w:rPr>
            <w:rStyle w:val="Hyperlink"/>
          </w:rPr>
          <w:t xml:space="preserve">app.marinesensitivity.org/v7/species/</w:t>
        </w:r>
      </w:hyperlink>
      <w:r>
        <w:t xml:space="preserve">)</w:t>
      </w:r>
      <w:r>
        <w:t xml:space="preserve"> </w:t>
      </w:r>
      <w:r>
        <w:t xml:space="preserve">— one control at a time. Each numbered step below mirrors a step in that app’s</w:t>
      </w:r>
      <w:r>
        <w:t xml:space="preserve"> </w:t>
      </w:r>
      <w:r>
        <w:t xml:space="preserve">built-in</w:t>
      </w:r>
      <w:r>
        <w:t xml:space="preserve"> </w:t>
      </w:r>
      <w:r>
        <w:rPr>
          <w:b/>
          <w:bCs/>
        </w:rPr>
        <w:t xml:space="preserve">Take a Tour</w:t>
      </w:r>
      <w:r>
        <w:t xml:space="preserve"> </w:t>
      </w:r>
      <w:r>
        <w:t xml:space="preserve">(click</w:t>
      </w:r>
      <w:r>
        <w:t xml:space="preserve"> </w:t>
      </w:r>
      <w:r>
        <w:rPr>
          <w:i/>
          <w:iCs/>
        </w:rPr>
        <w:t xml:space="preserve">About → Take a Tour</w:t>
      </w:r>
      <w:r>
        <w:t xml:space="preserve"> </w:t>
      </w:r>
      <w:r>
        <w:t xml:space="preserve">in either app to walk the</w:t>
      </w:r>
      <w:r>
        <w:t xml:space="preserve"> </w:t>
      </w:r>
      <w:r>
        <w:t xml:space="preserve">same path live), with the relevant control highlighted on the screenshot.</w:t>
      </w:r>
    </w:p>
    <w:p>
      <w:pPr>
        <w:pStyle w:val="BodyText"/>
      </w:pPr>
      <w:r>
        <w:t xml:space="preserve">For a feature-by-feature reference instead, see the</w:t>
      </w:r>
      <w:r>
        <w:t xml:space="preserve"> </w:t>
      </w:r>
      <w:hyperlink r:id="rId479">
        <w:r>
          <w:rPr>
            <w:rStyle w:val="Hyperlink"/>
          </w:rPr>
          <w:t xml:space="preserve">Scores</w:t>
        </w:r>
      </w:hyperlink>
      <w:r>
        <w:t xml:space="preserve"> </w:t>
      </w:r>
      <w:r>
        <w:t xml:space="preserve">and</w:t>
      </w:r>
      <w:r>
        <w:t xml:space="preserve"> </w:t>
      </w:r>
      <w:hyperlink r:id="rId480">
        <w:r>
          <w:rPr>
            <w:rStyle w:val="Hyperlink"/>
          </w:rPr>
          <w:t xml:space="preserve">Species</w:t>
        </w:r>
      </w:hyperlink>
      <w:r>
        <w:t xml:space="preserve"> </w:t>
      </w:r>
      <w:r>
        <w:t xml:space="preserve">appendix 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1" name="Picture"/>
                  <a:graphic>
                    <a:graphicData uri="http://schemas.openxmlformats.org/drawingml/2006/picture">
                      <pic:pic>
                        <pic:nvPicPr>
                          <pic:cNvPr descr="/Applications/quarto/share/formats/docx/tip.png" id="48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Running</w:t>
            </w:r>
            <w:r>
              <w:t xml:space="preserve"> </w:t>
            </w:r>
            <w:r>
              <w:rPr>
                <w:rStyle w:val="VerbatimChar"/>
              </w:rPr>
              <w:t xml:space="preserve">libs/apps-guide-regenerate.R</w:t>
            </w:r>
            <w:r>
              <w:t xml:space="preserve"> </w:t>
            </w:r>
            <w:r>
              <w:t xml:space="preserve">re-parses both tours,</w:t>
            </w:r>
            <w:r>
              <w:t xml:space="preserve"> </w:t>
            </w:r>
            <w:r>
              <w:t xml:space="preserve">re-highlights the same CSS element each tour points at, and re-captures the</w:t>
            </w:r>
            <w:r>
              <w:t xml:space="preserve"> </w:t>
            </w:r>
            <w:r>
              <w:t xml:space="preserve">screenshots, writing</w:t>
            </w:r>
            <w:r>
              <w:t xml:space="preserve"> </w:t>
            </w:r>
            <w:r>
              <w:rPr>
                <w:rStyle w:val="VerbatimChar"/>
              </w:rPr>
              <w:t xml:space="preserve">figures/apps-guide/steps.json</w:t>
            </w:r>
            <w:r>
              <w:t xml:space="preserve">. So whenever a tour</w:t>
            </w:r>
            <w:r>
              <w:t xml:space="preserve"> </w:t>
            </w:r>
            <w:r>
              <w:t xml:space="preserve">changes, re-running that one script refreshes this whole page.</w:t>
            </w:r>
          </w:p>
          <w:p/>
        </w:tc>
      </w:tr>
    </w:tbl>
    <w:bookmarkStart w:id="538" w:name="scores-app"/>
    <w:p>
      <w:pPr>
        <w:pStyle w:val="Heading2"/>
      </w:pPr>
      <w:r>
        <w:t xml:space="preserve">20.1 Scores app</w:t>
      </w:r>
    </w:p>
    <w:bookmarkStart w:id="487" w:name="study-area"/>
    <w:p>
      <w:pPr>
        <w:pStyle w:val="Heading3"/>
      </w:pPr>
      <w:r>
        <w:t xml:space="preserve">20.1.1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486" w:name="fig-scores-01"/>
          <w:p>
            <w:pPr>
              <w:pStyle w:val="Compact"/>
              <w:jc w:val="center"/>
            </w:pPr>
            <w:r>
              <w:drawing>
                <wp:inline>
                  <wp:extent cx="5334000" cy="3583781"/>
                  <wp:effectExtent b="0" l="0" r="0" t="0"/>
                  <wp:docPr descr="" title="" id="484" name="Picture"/>
                  <a:graphic>
                    <a:graphicData uri="http://schemas.openxmlformats.org/drawingml/2006/picture">
                      <pic:pic>
                        <pic:nvPicPr>
                          <pic:cNvPr descr="figures/apps-guide/scores-01.png" id="485" name="Picture"/>
                          <pic:cNvPicPr>
                            <a:picLocks noChangeArrowheads="1" noChangeAspect="1"/>
                          </pic:cNvPicPr>
                        </pic:nvPicPr>
                        <pic:blipFill>
                          <a:blip r:embed="rId48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Study Area</w:t>
            </w:r>
          </w:p>
          <w:bookmarkEnd w:id="486"/>
        </w:tc>
      </w:tr>
    </w:tbl>
    <w:bookmarkEnd w:id="487"/>
    <w:bookmarkStart w:id="492" w:name="spatial-units-1"/>
    <w:p>
      <w:pPr>
        <w:pStyle w:val="Heading3"/>
      </w:pPr>
      <w:r>
        <w:t xml:space="preserve">20.1.2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491" w:name="fig-scores-02"/>
          <w:p>
            <w:pPr>
              <w:pStyle w:val="Compact"/>
              <w:jc w:val="center"/>
            </w:pPr>
            <w:r>
              <w:drawing>
                <wp:inline>
                  <wp:extent cx="5334000" cy="3583781"/>
                  <wp:effectExtent b="0" l="0" r="0" t="0"/>
                  <wp:docPr descr="" title="" id="489" name="Picture"/>
                  <a:graphic>
                    <a:graphicData uri="http://schemas.openxmlformats.org/drawingml/2006/picture">
                      <pic:pic>
                        <pic:nvPicPr>
                          <pic:cNvPr descr="figures/apps-guide/scores-02.png" id="490" name="Picture"/>
                          <pic:cNvPicPr>
                            <a:picLocks noChangeArrowheads="1" noChangeAspect="1"/>
                          </pic:cNvPicPr>
                        </pic:nvPicPr>
                        <pic:blipFill>
                          <a:blip r:embed="rId48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20.2: Spatial Units</w:t>
            </w:r>
          </w:p>
          <w:bookmarkEnd w:id="491"/>
        </w:tc>
      </w:tr>
    </w:tbl>
    <w:bookmarkEnd w:id="492"/>
    <w:bookmarkStart w:id="497" w:name="layer-selection"/>
    <w:p>
      <w:pPr>
        <w:pStyle w:val="Heading3"/>
      </w:pPr>
      <w:r>
        <w:t xml:space="preserve">20.1.3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496" w:name="fig-scores-03"/>
          <w:p>
            <w:pPr>
              <w:pStyle w:val="Compact"/>
              <w:jc w:val="center"/>
            </w:pPr>
            <w:r>
              <w:drawing>
                <wp:inline>
                  <wp:extent cx="5334000" cy="3583781"/>
                  <wp:effectExtent b="0" l="0" r="0" t="0"/>
                  <wp:docPr descr="" title="" id="494" name="Picture"/>
                  <a:graphic>
                    <a:graphicData uri="http://schemas.openxmlformats.org/drawingml/2006/picture">
                      <pic:pic>
                        <pic:nvPicPr>
                          <pic:cNvPr descr="figures/apps-guide/scores-03.png" id="495" name="Picture"/>
                          <pic:cNvPicPr>
                            <a:picLocks noChangeArrowheads="1" noChangeAspect="1"/>
                          </pic:cNvPicPr>
                        </pic:nvPicPr>
                        <pic:blipFill>
                          <a:blip r:embed="rId49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20.3: Layer Selection</w:t>
            </w:r>
          </w:p>
          <w:bookmarkEnd w:id="496"/>
        </w:tc>
      </w:tr>
    </w:tbl>
    <w:bookmarkEnd w:id="497"/>
    <w:bookmarkStart w:id="502" w:name="map-tab"/>
    <w:p>
      <w:pPr>
        <w:pStyle w:val="Heading3"/>
      </w:pPr>
      <w:r>
        <w:t xml:space="preserve">20.1.4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501" w:name="fig-scores-04"/>
          <w:p>
            <w:pPr>
              <w:pStyle w:val="Compact"/>
              <w:jc w:val="center"/>
            </w:pPr>
            <w:r>
              <w:drawing>
                <wp:inline>
                  <wp:extent cx="5334000" cy="3583781"/>
                  <wp:effectExtent b="0" l="0" r="0" t="0"/>
                  <wp:docPr descr="" title="" id="499" name="Picture"/>
                  <a:graphic>
                    <a:graphicData uri="http://schemas.openxmlformats.org/drawingml/2006/picture">
                      <pic:pic>
                        <pic:nvPicPr>
                          <pic:cNvPr descr="figures/apps-guide/scores-04.png" id="500" name="Picture"/>
                          <pic:cNvPicPr>
                            <a:picLocks noChangeArrowheads="1" noChangeAspect="1"/>
                          </pic:cNvPicPr>
                        </pic:nvPicPr>
                        <pic:blipFill>
                          <a:blip r:embed="rId49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20.4: Map tab</w:t>
            </w:r>
          </w:p>
          <w:bookmarkEnd w:id="501"/>
        </w:tc>
      </w:tr>
    </w:tbl>
    <w:bookmarkEnd w:id="502"/>
    <w:bookmarkStart w:id="507" w:name="layers-control"/>
    <w:p>
      <w:pPr>
        <w:pStyle w:val="Heading3"/>
      </w:pPr>
      <w:r>
        <w:t xml:space="preserve">20.1.5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506" w:name="fig-scores-05"/>
          <w:p>
            <w:pPr>
              <w:pStyle w:val="Compact"/>
              <w:jc w:val="center"/>
            </w:pPr>
            <w:r>
              <w:drawing>
                <wp:inline>
                  <wp:extent cx="5334000" cy="3583781"/>
                  <wp:effectExtent b="0" l="0" r="0" t="0"/>
                  <wp:docPr descr="" title="" id="504" name="Picture"/>
                  <a:graphic>
                    <a:graphicData uri="http://schemas.openxmlformats.org/drawingml/2006/picture">
                      <pic:pic>
                        <pic:nvPicPr>
                          <pic:cNvPr descr="figures/apps-guide/scores-05.png" id="505" name="Picture"/>
                          <pic:cNvPicPr>
                            <a:picLocks noChangeArrowheads="1" noChangeAspect="1"/>
                          </pic:cNvPicPr>
                        </pic:nvPicPr>
                        <pic:blipFill>
                          <a:blip r:embed="rId50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20.5: Layers control</w:t>
            </w:r>
          </w:p>
          <w:bookmarkEnd w:id="506"/>
        </w:tc>
      </w:tr>
    </w:tbl>
    <w:bookmarkEnd w:id="507"/>
    <w:bookmarkStart w:id="512" w:name="go-to-location"/>
    <w:p>
      <w:pPr>
        <w:pStyle w:val="Heading3"/>
      </w:pPr>
      <w:r>
        <w:t xml:space="preserve">20.1.6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511" w:name="fig-scores-06"/>
          <w:p>
            <w:pPr>
              <w:pStyle w:val="Compact"/>
              <w:jc w:val="center"/>
            </w:pPr>
            <w:r>
              <w:drawing>
                <wp:inline>
                  <wp:extent cx="5334000" cy="3583781"/>
                  <wp:effectExtent b="0" l="0" r="0" t="0"/>
                  <wp:docPr descr="" title="" id="509" name="Picture"/>
                  <a:graphic>
                    <a:graphicData uri="http://schemas.openxmlformats.org/drawingml/2006/picture">
                      <pic:pic>
                        <pic:nvPicPr>
                          <pic:cNvPr descr="figures/apps-guide/scores-06.png" id="510" name="Picture"/>
                          <pic:cNvPicPr>
                            <a:picLocks noChangeArrowheads="1" noChangeAspect="1"/>
                          </pic:cNvPicPr>
                        </pic:nvPicPr>
                        <pic:blipFill>
                          <a:blip r:embed="rId50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20.6: Go to location</w:t>
            </w:r>
          </w:p>
          <w:bookmarkEnd w:id="511"/>
        </w:tc>
      </w:tr>
    </w:tbl>
    <w:bookmarkEnd w:id="512"/>
    <w:bookmarkStart w:id="517" w:name="full-screen"/>
    <w:p>
      <w:pPr>
        <w:pStyle w:val="Heading3"/>
      </w:pPr>
      <w:r>
        <w:t xml:space="preserve">20.1.7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516" w:name="fig-scores-07"/>
          <w:p>
            <w:pPr>
              <w:pStyle w:val="Compact"/>
              <w:jc w:val="center"/>
            </w:pPr>
            <w:r>
              <w:drawing>
                <wp:inline>
                  <wp:extent cx="5334000" cy="3583781"/>
                  <wp:effectExtent b="0" l="0" r="0" t="0"/>
                  <wp:docPr descr="" title="" id="514" name="Picture"/>
                  <a:graphic>
                    <a:graphicData uri="http://schemas.openxmlformats.org/drawingml/2006/picture">
                      <pic:pic>
                        <pic:nvPicPr>
                          <pic:cNvPr descr="figures/apps-guide/scores-07.png" id="515" name="Picture"/>
                          <pic:cNvPicPr>
                            <a:picLocks noChangeArrowheads="1" noChangeAspect="1"/>
                          </pic:cNvPicPr>
                        </pic:nvPicPr>
                        <pic:blipFill>
                          <a:blip r:embed="rId51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20.7: Full screen</w:t>
            </w:r>
          </w:p>
          <w:bookmarkEnd w:id="516"/>
        </w:tc>
      </w:tr>
    </w:tbl>
    <w:bookmarkEnd w:id="517"/>
    <w:bookmarkStart w:id="522" w:name="zoom-in-out"/>
    <w:p>
      <w:pPr>
        <w:pStyle w:val="Heading3"/>
      </w:pPr>
      <w:r>
        <w:t xml:space="preserve">20.1.8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521" w:name="fig-scores-08"/>
          <w:p>
            <w:pPr>
              <w:pStyle w:val="Compact"/>
              <w:jc w:val="center"/>
            </w:pPr>
            <w:r>
              <w:drawing>
                <wp:inline>
                  <wp:extent cx="5334000" cy="3583781"/>
                  <wp:effectExtent b="0" l="0" r="0" t="0"/>
                  <wp:docPr descr="" title="" id="519" name="Picture"/>
                  <a:graphic>
                    <a:graphicData uri="http://schemas.openxmlformats.org/drawingml/2006/picture">
                      <pic:pic>
                        <pic:nvPicPr>
                          <pic:cNvPr descr="figures/apps-guide/scores-08.png" id="520" name="Picture"/>
                          <pic:cNvPicPr>
                            <a:picLocks noChangeArrowheads="1" noChangeAspect="1"/>
                          </pic:cNvPicPr>
                        </pic:nvPicPr>
                        <pic:blipFill>
                          <a:blip r:embed="rId51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20.8: Zoom in / out</w:t>
            </w:r>
          </w:p>
          <w:bookmarkEnd w:id="521"/>
        </w:tc>
      </w:tr>
    </w:tbl>
    <w:bookmarkEnd w:id="522"/>
    <w:bookmarkStart w:id="527" w:name="plot-of-scores-tab"/>
    <w:p>
      <w:pPr>
        <w:pStyle w:val="Heading3"/>
      </w:pPr>
      <w:r>
        <w:t xml:space="preserve">20.1.9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526" w:name="fig-scores-09"/>
          <w:p>
            <w:pPr>
              <w:pStyle w:val="Compact"/>
              <w:jc w:val="center"/>
            </w:pPr>
            <w:r>
              <w:drawing>
                <wp:inline>
                  <wp:extent cx="5334000" cy="3583781"/>
                  <wp:effectExtent b="0" l="0" r="0" t="0"/>
                  <wp:docPr descr="" title="" id="524" name="Picture"/>
                  <a:graphic>
                    <a:graphicData uri="http://schemas.openxmlformats.org/drawingml/2006/picture">
                      <pic:pic>
                        <pic:nvPicPr>
                          <pic:cNvPr descr="figures/apps-guide/scores-09.png" id="525" name="Picture"/>
                          <pic:cNvPicPr>
                            <a:picLocks noChangeArrowheads="1" noChangeAspect="1"/>
                          </pic:cNvPicPr>
                        </pic:nvPicPr>
                        <pic:blipFill>
                          <a:blip r:embed="rId52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20.9: Plot of Scores tab</w:t>
            </w:r>
          </w:p>
          <w:bookmarkEnd w:id="526"/>
        </w:tc>
      </w:tr>
    </w:tbl>
    <w:bookmarkEnd w:id="527"/>
    <w:bookmarkStart w:id="532" w:name="table-of-species-tab"/>
    <w:p>
      <w:pPr>
        <w:pStyle w:val="Heading3"/>
      </w:pPr>
      <w:r>
        <w:t xml:space="preserve">20.1.10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531" w:name="fig-scores-10"/>
          <w:p>
            <w:pPr>
              <w:pStyle w:val="Compact"/>
              <w:jc w:val="center"/>
            </w:pPr>
            <w:r>
              <w:drawing>
                <wp:inline>
                  <wp:extent cx="5334000" cy="3583781"/>
                  <wp:effectExtent b="0" l="0" r="0" t="0"/>
                  <wp:docPr descr="" title="" id="529" name="Picture"/>
                  <a:graphic>
                    <a:graphicData uri="http://schemas.openxmlformats.org/drawingml/2006/picture">
                      <pic:pic>
                        <pic:nvPicPr>
                          <pic:cNvPr descr="figures/apps-guide/scores-10.png" id="530" name="Picture"/>
                          <pic:cNvPicPr>
                            <a:picLocks noChangeArrowheads="1" noChangeAspect="1"/>
                          </pic:cNvPicPr>
                        </pic:nvPicPr>
                        <pic:blipFill>
                          <a:blip r:embed="rId52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20.10: Table of Species tab</w:t>
            </w:r>
          </w:p>
          <w:bookmarkEnd w:id="531"/>
        </w:tc>
      </w:tr>
    </w:tbl>
    <w:bookmarkEnd w:id="532"/>
    <w:bookmarkStart w:id="537" w:name="report-tab"/>
    <w:p>
      <w:pPr>
        <w:pStyle w:val="Heading3"/>
      </w:pPr>
      <w:r>
        <w:t xml:space="preserve">20.1.11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536" w:name="fig-scores-11"/>
          <w:p>
            <w:pPr>
              <w:pStyle w:val="Compact"/>
              <w:jc w:val="center"/>
            </w:pPr>
            <w:r>
              <w:drawing>
                <wp:inline>
                  <wp:extent cx="5334000" cy="3583781"/>
                  <wp:effectExtent b="0" l="0" r="0" t="0"/>
                  <wp:docPr descr="" title="" id="534" name="Picture"/>
                  <a:graphic>
                    <a:graphicData uri="http://schemas.openxmlformats.org/drawingml/2006/picture">
                      <pic:pic>
                        <pic:nvPicPr>
                          <pic:cNvPr descr="figures/apps-guide/scores-11.png" id="535" name="Picture"/>
                          <pic:cNvPicPr>
                            <a:picLocks noChangeArrowheads="1" noChangeAspect="1"/>
                          </pic:cNvPicPr>
                        </pic:nvPicPr>
                        <pic:blipFill>
                          <a:blip r:embed="rId53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20.11: Report tab</w:t>
            </w:r>
          </w:p>
          <w:bookmarkEnd w:id="536"/>
        </w:tc>
      </w:tr>
    </w:tbl>
    <w:bookmarkEnd w:id="537"/>
    <w:bookmarkEnd w:id="538"/>
    <w:bookmarkStart w:id="564" w:name="species-app"/>
    <w:p>
      <w:pPr>
        <w:pStyle w:val="Heading2"/>
      </w:pPr>
      <w:r>
        <w:t xml:space="preserve">20.2 Species app</w:t>
      </w:r>
    </w:p>
    <w:bookmarkStart w:id="543" w:name="select-a-species"/>
    <w:p>
      <w:pPr>
        <w:pStyle w:val="Heading3"/>
      </w:pPr>
      <w:r>
        <w:t xml:space="preserve">20.2.1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542" w:name="fig-species-01"/>
          <w:p>
            <w:pPr>
              <w:pStyle w:val="Compact"/>
              <w:jc w:val="center"/>
            </w:pPr>
            <w:r>
              <w:drawing>
                <wp:inline>
                  <wp:extent cx="5334000" cy="3583781"/>
                  <wp:effectExtent b="0" l="0" r="0" t="0"/>
                  <wp:docPr descr="" title="" id="540" name="Picture"/>
                  <a:graphic>
                    <a:graphicData uri="http://schemas.openxmlformats.org/drawingml/2006/picture">
                      <pic:pic>
                        <pic:nvPicPr>
                          <pic:cNvPr descr="figures/apps-guide/species-01.png" id="541" name="Picture"/>
                          <pic:cNvPicPr>
                            <a:picLocks noChangeArrowheads="1" noChangeAspect="1"/>
                          </pic:cNvPicPr>
                        </pic:nvPicPr>
                        <pic:blipFill>
                          <a:blip r:embed="rId53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20.12: Select a Species</w:t>
            </w:r>
          </w:p>
          <w:bookmarkEnd w:id="542"/>
        </w:tc>
      </w:tr>
    </w:tbl>
    <w:bookmarkEnd w:id="543"/>
    <w:bookmarkStart w:id="548" w:name="mask-selection"/>
    <w:p>
      <w:pPr>
        <w:pStyle w:val="Heading3"/>
      </w:pPr>
      <w:r>
        <w:t xml:space="preserve">20.2.2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547" w:name="fig-species-02"/>
          <w:p>
            <w:pPr>
              <w:pStyle w:val="Compact"/>
              <w:jc w:val="center"/>
            </w:pPr>
            <w:r>
              <w:drawing>
                <wp:inline>
                  <wp:extent cx="5334000" cy="3583781"/>
                  <wp:effectExtent b="0" l="0" r="0" t="0"/>
                  <wp:docPr descr="" title="" id="545" name="Picture"/>
                  <a:graphic>
                    <a:graphicData uri="http://schemas.openxmlformats.org/drawingml/2006/picture">
                      <pic:pic>
                        <pic:nvPicPr>
                          <pic:cNvPr descr="figures/apps-guide/species-02.png" id="546" name="Picture"/>
                          <pic:cNvPicPr>
                            <a:picLocks noChangeArrowheads="1" noChangeAspect="1"/>
                          </pic:cNvPicPr>
                        </pic:nvPicPr>
                        <pic:blipFill>
                          <a:blip r:embed="rId54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20.13: Mask Selection</w:t>
            </w:r>
          </w:p>
          <w:bookmarkEnd w:id="547"/>
        </w:tc>
      </w:tr>
    </w:tbl>
    <w:bookmarkEnd w:id="548"/>
    <w:bookmarkStart w:id="553" w:name="layer-selector"/>
    <w:p>
      <w:pPr>
        <w:pStyle w:val="Heading3"/>
      </w:pPr>
      <w:r>
        <w:t xml:space="preserve">20.2.3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552" w:name="fig-species-03"/>
          <w:p>
            <w:pPr>
              <w:pStyle w:val="Compact"/>
              <w:jc w:val="center"/>
            </w:pPr>
            <w:r>
              <w:drawing>
                <wp:inline>
                  <wp:extent cx="5334000" cy="3583781"/>
                  <wp:effectExtent b="0" l="0" r="0" t="0"/>
                  <wp:docPr descr="" title="" id="550" name="Picture"/>
                  <a:graphic>
                    <a:graphicData uri="http://schemas.openxmlformats.org/drawingml/2006/picture">
                      <pic:pic>
                        <pic:nvPicPr>
                          <pic:cNvPr descr="figures/apps-guide/species-03.png" id="551" name="Picture"/>
                          <pic:cNvPicPr>
                            <a:picLocks noChangeArrowheads="1" noChangeAspect="1"/>
                          </pic:cNvPicPr>
                        </pic:nvPicPr>
                        <pic:blipFill>
                          <a:blip r:embed="rId54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20.14: Layer Selector</w:t>
            </w:r>
          </w:p>
          <w:bookmarkEnd w:id="552"/>
        </w:tc>
      </w:tr>
    </w:tbl>
    <w:bookmarkEnd w:id="553"/>
    <w:bookmarkStart w:id="558" w:name="species-map"/>
    <w:p>
      <w:pPr>
        <w:pStyle w:val="Heading3"/>
      </w:pPr>
      <w:r>
        <w:t xml:space="preserve">20.2.4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557" w:name="fig-species-04"/>
          <w:p>
            <w:pPr>
              <w:pStyle w:val="Compact"/>
              <w:jc w:val="center"/>
            </w:pPr>
            <w:r>
              <w:drawing>
                <wp:inline>
                  <wp:extent cx="5334000" cy="3583781"/>
                  <wp:effectExtent b="0" l="0" r="0" t="0"/>
                  <wp:docPr descr="" title="" id="555" name="Picture"/>
                  <a:graphic>
                    <a:graphicData uri="http://schemas.openxmlformats.org/drawingml/2006/picture">
                      <pic:pic>
                        <pic:nvPicPr>
                          <pic:cNvPr descr="figures/apps-guide/species-04.png" id="556" name="Picture"/>
                          <pic:cNvPicPr>
                            <a:picLocks noChangeArrowheads="1" noChangeAspect="1"/>
                          </pic:cNvPicPr>
                        </pic:nvPicPr>
                        <pic:blipFill>
                          <a:blip r:embed="rId55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20.15: Species Map</w:t>
            </w:r>
          </w:p>
          <w:bookmarkEnd w:id="557"/>
        </w:tc>
      </w:tr>
    </w:tbl>
    <w:bookmarkEnd w:id="558"/>
    <w:bookmarkStart w:id="563" w:name="species-info"/>
    <w:p>
      <w:pPr>
        <w:pStyle w:val="Heading3"/>
      </w:pPr>
      <w:r>
        <w:t xml:space="preserve">20.2.5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562" w:name="fig-species-05"/>
          <w:p>
            <w:pPr>
              <w:pStyle w:val="Compact"/>
              <w:jc w:val="center"/>
            </w:pPr>
            <w:r>
              <w:drawing>
                <wp:inline>
                  <wp:extent cx="5334000" cy="3583781"/>
                  <wp:effectExtent b="0" l="0" r="0" t="0"/>
                  <wp:docPr descr="" title="" id="560" name="Picture"/>
                  <a:graphic>
                    <a:graphicData uri="http://schemas.openxmlformats.org/drawingml/2006/picture">
                      <pic:pic>
                        <pic:nvPicPr>
                          <pic:cNvPr descr="figures/apps-guide/species-05.png" id="561" name="Picture"/>
                          <pic:cNvPicPr>
                            <a:picLocks noChangeArrowheads="1" noChangeAspect="1"/>
                          </pic:cNvPicPr>
                        </pic:nvPicPr>
                        <pic:blipFill>
                          <a:blip r:embed="rId55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20.16: Species Info</w:t>
            </w:r>
          </w:p>
          <w:bookmarkEnd w:id="562"/>
        </w:tc>
      </w:tr>
    </w:tbl>
    <w:bookmarkEnd w:id="563"/>
    <w:bookmarkEnd w:id="564"/>
    <w:bookmarkEnd w:id="565"/>
    <w:bookmarkStart w:id="567" w:name="docs"/>
    <w:p>
      <w:pPr>
        <w:pStyle w:val="Heading1"/>
      </w:pPr>
      <w:r>
        <w:t xml:space="preserve">21. Docs</w:t>
      </w:r>
    </w:p>
    <w:p>
      <w:pPr>
        <w:pStyle w:val="FirstParagraph"/>
      </w:pPr>
      <w:r>
        <w:t xml:space="preserve">Technical documentation is principally in this book:</w:t>
      </w:r>
    </w:p>
    <w:p>
      <w:pPr>
        <w:numPr>
          <w:ilvl w:val="0"/>
          <w:numId w:val="1054"/>
        </w:numPr>
      </w:pPr>
      <w:hyperlink r:id="rId283">
        <w:r>
          <w:rPr>
            <w:rStyle w:val="Hyperlink"/>
          </w:rPr>
          <w:t xml:space="preserve">marinesensitivity.org/docs</w:t>
        </w:r>
      </w:hyperlink>
      <w:r>
        <w:br/>
      </w:r>
      <w:r>
        <w:t xml:space="preserve">the main documentation site</w:t>
      </w:r>
    </w:p>
    <w:p>
      <w:pPr>
        <w:numPr>
          <w:ilvl w:val="0"/>
          <w:numId w:val="1054"/>
        </w:numPr>
      </w:pPr>
      <w:hyperlink r:id="rId342">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55"/>
        </w:numPr>
      </w:pPr>
      <w:hyperlink r:id="rId566">
        <w:r>
          <w:rPr>
            <w:rStyle w:val="Hyperlink"/>
          </w:rPr>
          <w:t xml:space="preserve">marinesensitivity.org/</w:t>
        </w:r>
        <w:r>
          <w:rPr>
            <w:rStyle w:val="VerbatimChar"/>
          </w:rPr>
          <w:t xml:space="preserve">msens</w:t>
        </w:r>
      </w:hyperlink>
      <w:r>
        <w:br/>
      </w:r>
      <w:r>
        <w:t xml:space="preserve">documented R functions</w:t>
      </w:r>
    </w:p>
    <w:bookmarkEnd w:id="567"/>
    <w:bookmarkStart w:id="571" w:name="summary"/>
    <w:p>
      <w:pPr>
        <w:pStyle w:val="Heading1"/>
      </w:pPr>
      <w:r>
        <w:t xml:space="preserve">22.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v7</w:t>
      </w:r>
      <w:r>
        <w:t xml:space="preserve">; figures are read from that release.</w:t>
      </w:r>
    </w:p>
    <w:bookmarkStart w:id="568" w:name="what-this-release-delivers"/>
    <w:p>
      <w:pPr>
        <w:pStyle w:val="Heading2"/>
      </w:pPr>
      <w:r>
        <w:t xml:space="preserve">22.1 What this release delivers</w:t>
      </w:r>
    </w:p>
    <w:p>
      <w:pPr>
        <w:numPr>
          <w:ilvl w:val="0"/>
          <w:numId w:val="1056"/>
        </w:numPr>
      </w:pPr>
      <w:r>
        <w:rPr>
          <w:b/>
          <w:bCs/>
        </w:rPr>
        <w:t xml:space="preserve">16,153 valid marine species</w:t>
      </w:r>
      <w:r>
        <w:t xml:space="preserve"> </w:t>
      </w:r>
      <w:r>
        <w:t xml:space="preserve">on a 0.05° grid (~4 km cells) across the US EEZ study area, of which</w:t>
      </w:r>
      <w:r>
        <w:t xml:space="preserve"> </w:t>
      </w:r>
      <w:r>
        <w:rPr>
          <w:b/>
          <w:bCs/>
        </w:rPr>
        <w:t xml:space="preserve">9,230</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8 source datasets</w:t>
      </w:r>
      <w:r>
        <w:t xml:space="preserve"> </w:t>
      </w:r>
      <w:r>
        <w:t xml:space="preserve">— continuous suitability models, regulatory habitat designations and expert range maps.</w:t>
      </w:r>
    </w:p>
    <w:p>
      <w:pPr>
        <w:numPr>
          <w:ilvl w:val="0"/>
          <w:numId w:val="1056"/>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bird</w:t>
      </w:r>
      <w:r>
        <w:t xml:space="preserve">,</w:t>
      </w:r>
      <w:r>
        <w:t xml:space="preserve"> </w:t>
      </w:r>
      <w:r>
        <w:rPr>
          <w:rStyle w:val="VerbatimChar"/>
        </w:rPr>
        <w:t xml:space="preserve">coral</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56"/>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56"/>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56"/>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56"/>
        </w:numPr>
      </w:pPr>
      <w:r>
        <w:rPr>
          <w:b/>
          <w:bCs/>
        </w:rPr>
        <w:t xml:space="preserve">Interactive applications</w:t>
      </w:r>
      <w:r>
        <w:t xml:space="preserve"> </w:t>
      </w:r>
      <w:r>
        <w:t xml:space="preserve">— Scores and Species — render</w:t>
      </w:r>
      <w:r>
        <w:t xml:space="preserve"> </w:t>
      </w:r>
      <w:r>
        <w:rPr>
          <w:b/>
          <w:bCs/>
        </w:rPr>
        <w:t xml:space="preserve">any published release</w:t>
      </w:r>
      <w:r>
        <w:t xml:space="preserve"> </w:t>
      </w:r>
      <w:r>
        <w:t xml:space="preserve">from the URL path (e.g. </w:t>
      </w:r>
      <w:r>
        <w:rPr>
          <w:rStyle w:val="VerbatimChar"/>
        </w:rPr>
        <w:t xml:space="preserve">/v3/scores/</w:t>
      </w:r>
      <w:r>
        <w:t xml:space="preserve">; an older</w:t>
      </w:r>
      <w:r>
        <w:t xml:space="preserve"> </w:t>
      </w:r>
      <w:r>
        <w:rPr>
          <w:rStyle w:val="VerbatimChar"/>
        </w:rPr>
        <w:t xml:space="preserve">?ver=v3</w:t>
      </w:r>
      <w:r>
        <w:t xml:space="preserve"> </w:t>
      </w:r>
      <w:r>
        <w:t xml:space="preserve">deep link still resolves, 301’d to the equivalent path), so a reader can look at the release a report cited rather than only the newest one.</w:t>
      </w:r>
    </w:p>
    <w:bookmarkEnd w:id="568"/>
    <w:bookmarkStart w:id="569" w:name="delivered-since-the-first-release"/>
    <w:p>
      <w:pPr>
        <w:pStyle w:val="Heading2"/>
      </w:pPr>
      <w:r>
        <w:t xml:space="preserve">22.2 Delivered since the first release</w:t>
      </w:r>
    </w:p>
    <w:p>
      <w:pPr>
        <w:pStyle w:val="FirstParagraph"/>
      </w:pPr>
      <w:r>
        <w:t xml:space="preserve">Several capabilities listed as future work in earlier editions of this documentation have since shipped:</w:t>
      </w:r>
    </w:p>
    <w:p>
      <w:pPr>
        <w:pStyle w:val="Compact"/>
        <w:numPr>
          <w:ilvl w:val="0"/>
          <w:numId w:val="1057"/>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57"/>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57"/>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57"/>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57"/>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569"/>
    <w:bookmarkStart w:id="570" w:name="future-directions"/>
    <w:p>
      <w:pPr>
        <w:pStyle w:val="Heading2"/>
      </w:pPr>
      <w:r>
        <w:t xml:space="preserve">22.3 Future directions</w:t>
      </w:r>
    </w:p>
    <w:p>
      <w:pPr>
        <w:pStyle w:val="Compact"/>
        <w:numPr>
          <w:ilvl w:val="0"/>
          <w:numId w:val="1058"/>
        </w:numPr>
      </w:pPr>
      <w:r>
        <w:rPr>
          <w:b/>
          <w:bCs/>
        </w:rPr>
        <w:t xml:space="preserve">OBIS/GBIF validation</w:t>
      </w:r>
      <w:r>
        <w:t xml:space="preserve"> </w:t>
      </w:r>
      <w:r>
        <w:t xml:space="preserve">— refine distributions against occurrence records, with temporal filters.</w:t>
      </w:r>
    </w:p>
    <w:p>
      <w:pPr>
        <w:pStyle w:val="Compact"/>
        <w:numPr>
          <w:ilvl w:val="0"/>
          <w:numId w:val="1058"/>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58"/>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58"/>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58"/>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58"/>
        </w:numPr>
      </w:pPr>
      <w:r>
        <w:rPr>
          <w:b/>
          <w:bCs/>
        </w:rPr>
        <w:t xml:space="preserve">Infrastructure transfer</w:t>
      </w:r>
      <w:r>
        <w:t xml:space="preserve"> </w:t>
      </w:r>
      <w:r>
        <w:t xml:space="preserve">— support moving the data and applications onto BOEM infrastructure for long-term operation.</w:t>
      </w:r>
    </w:p>
    <w:bookmarkEnd w:id="570"/>
    <w:bookmarkEnd w:id="571"/>
    <w:bookmarkStart w:id="609" w:name="references"/>
    <w:p>
      <w:pPr>
        <w:pStyle w:val="Heading1"/>
      </w:pPr>
      <w:r>
        <w:t xml:space="preserve">References</w:t>
      </w:r>
    </w:p>
    <w:bookmarkStart w:id="608" w:name="refs"/>
    <w:bookmarkStart w:id="573"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572">
        <w:r>
          <w:rPr>
            <w:rStyle w:val="Hyperlink"/>
          </w:rPr>
          <w:t xml:space="preserve">https://doi.org/10.4319/lo.1997.42.1.0001</w:t>
        </w:r>
      </w:hyperlink>
      <w:r>
        <w:t xml:space="preserve">.</w:t>
      </w:r>
    </w:p>
    <w:bookmarkEnd w:id="573"/>
    <w:bookmarkStart w:id="575"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574">
        <w:r>
          <w:rPr>
            <w:rStyle w:val="Hyperlink"/>
          </w:rPr>
          <w:t xml:space="preserve">https://doi.org/10.1371/journal.pone.0000140</w:t>
        </w:r>
      </w:hyperlink>
      <w:r>
        <w:t xml:space="preserve">.</w:t>
      </w:r>
    </w:p>
    <w:bookmarkEnd w:id="575"/>
    <w:bookmarkStart w:id="577"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576">
        <w:r>
          <w:rPr>
            <w:rStyle w:val="Hyperlink"/>
          </w:rPr>
          <w:t xml:space="preserve">https://doi.org/10.1371/journal.pbio.0020383</w:t>
        </w:r>
      </w:hyperlink>
      <w:r>
        <w:t xml:space="preserve">.</w:t>
      </w:r>
    </w:p>
    <w:bookmarkEnd w:id="577"/>
    <w:bookmarkStart w:id="579"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578">
        <w:r>
          <w:rPr>
            <w:rStyle w:val="Hyperlink"/>
          </w:rPr>
          <w:t xml:space="preserve">https://CRAN.R-project.org/package=shiny</w:t>
        </w:r>
      </w:hyperlink>
      <w:r>
        <w:t xml:space="preserve">.</w:t>
      </w:r>
    </w:p>
    <w:bookmarkEnd w:id="579"/>
    <w:bookmarkStart w:id="581"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580">
        <w:r>
          <w:rPr>
            <w:rStyle w:val="Hyperlink"/>
          </w:rPr>
          <w:t xml:space="preserve">https://doi.org/10.1080/09640568.2014.973483</w:t>
        </w:r>
      </w:hyperlink>
      <w:r>
        <w:t xml:space="preserve">.</w:t>
      </w:r>
    </w:p>
    <w:bookmarkEnd w:id="581"/>
    <w:bookmarkStart w:id="583"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582">
        <w:r>
          <w:rPr>
            <w:rStyle w:val="Hyperlink"/>
          </w:rPr>
          <w:t xml:space="preserve">https://doi.org/10.1038/nature11397</w:t>
        </w:r>
      </w:hyperlink>
      <w:r>
        <w:t xml:space="preserve">.</w:t>
      </w:r>
    </w:p>
    <w:bookmarkEnd w:id="583"/>
    <w:bookmarkStart w:id="585"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584">
        <w:r>
          <w:rPr>
            <w:rStyle w:val="Hyperlink"/>
          </w:rPr>
          <w:t xml:space="preserve">https://doi.org/10.1111/j.1523-1739.2007.00752.x</w:t>
        </w:r>
      </w:hyperlink>
      <w:r>
        <w:t xml:space="preserve">.</w:t>
      </w:r>
    </w:p>
    <w:bookmarkEnd w:id="585"/>
    <w:bookmarkStart w:id="587"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586">
        <w:r>
          <w:rPr>
            <w:rStyle w:val="Hyperlink"/>
          </w:rPr>
          <w:t xml:space="preserve">https://doi.org/10.1371/journal.pone.0146756</w:t>
        </w:r>
      </w:hyperlink>
      <w:r>
        <w:t xml:space="preserve">.</w:t>
      </w:r>
    </w:p>
    <w:bookmarkEnd w:id="587"/>
    <w:bookmarkStart w:id="588"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588"/>
    <w:bookmarkStart w:id="589"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29">
        <w:r>
          <w:rPr>
            <w:rStyle w:val="Hyperlink"/>
          </w:rPr>
          <w:t xml:space="preserve">https://www.aquamaps.org</w:t>
        </w:r>
      </w:hyperlink>
      <w:r>
        <w:t xml:space="preserve">.</w:t>
      </w:r>
    </w:p>
    <w:bookmarkEnd w:id="589"/>
    <w:bookmarkStart w:id="591"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590">
        <w:r>
          <w:rPr>
            <w:rStyle w:val="Hyperlink"/>
          </w:rPr>
          <w:t xml:space="preserve">https://doi.org/10.1038/s41559-017-0160</w:t>
        </w:r>
      </w:hyperlink>
      <w:r>
        <w:t xml:space="preserve">.</w:t>
      </w:r>
    </w:p>
    <w:bookmarkEnd w:id="591"/>
    <w:bookmarkStart w:id="593"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592">
        <w:r>
          <w:rPr>
            <w:rStyle w:val="Hyperlink"/>
          </w:rPr>
          <w:t xml:space="preserve">https://doi.org/10.1038/s41559-021-01432-0</w:t>
        </w:r>
      </w:hyperlink>
      <w:r>
        <w:t xml:space="preserve">.</w:t>
      </w:r>
    </w:p>
    <w:bookmarkEnd w:id="593"/>
    <w:bookmarkStart w:id="595"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594">
        <w:r>
          <w:rPr>
            <w:rStyle w:val="Hyperlink"/>
          </w:rPr>
          <w:t xml:space="preserve">https://doi.org/10.1002/ece3.70030</w:t>
        </w:r>
      </w:hyperlink>
      <w:r>
        <w:t xml:space="preserve">.</w:t>
      </w:r>
    </w:p>
    <w:bookmarkEnd w:id="595"/>
    <w:bookmarkStart w:id="597"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596">
        <w:r>
          <w:rPr>
            <w:rStyle w:val="Hyperlink"/>
          </w:rPr>
          <w:t xml:space="preserve">https://doi.org/10.1371/journal.pone.0003700</w:t>
        </w:r>
      </w:hyperlink>
      <w:r>
        <w:t xml:space="preserve">.</w:t>
      </w:r>
    </w:p>
    <w:bookmarkEnd w:id="597"/>
    <w:bookmarkStart w:id="599"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598">
        <w:r>
          <w:rPr>
            <w:rStyle w:val="Hyperlink"/>
          </w:rPr>
          <w:t xml:space="preserve">https://www.boem.gov/sites/default/files/environmental-stewardship/Environmental-Studies/Pacific-Region/Studies/BOEM-2018-031-Vol1.pdf</w:t>
        </w:r>
      </w:hyperlink>
      <w:r>
        <w:t xml:space="preserve">.</w:t>
      </w:r>
    </w:p>
    <w:bookmarkEnd w:id="599"/>
    <w:bookmarkStart w:id="600"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600"/>
    <w:bookmarkStart w:id="602"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01">
        <w:r>
          <w:rPr>
            <w:rStyle w:val="Hyperlink"/>
          </w:rPr>
          <w:t xml:space="preserve">https://noaa.maps.arcgis.com/home/search.html?searchTerm=turtle+dps</w:t>
        </w:r>
      </w:hyperlink>
      <w:r>
        <w:t xml:space="preserve">.</w:t>
      </w:r>
    </w:p>
    <w:bookmarkEnd w:id="602"/>
    <w:bookmarkStart w:id="603"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03"/>
    <w:bookmarkStart w:id="605"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04">
        <w:r>
          <w:rPr>
            <w:rStyle w:val="Hyperlink"/>
          </w:rPr>
          <w:t xml:space="preserve">https://doi.org/10.3354/esr01243</w:t>
        </w:r>
      </w:hyperlink>
      <w:r>
        <w:t xml:space="preserve">.</w:t>
      </w:r>
    </w:p>
    <w:bookmarkEnd w:id="605"/>
    <w:bookmarkStart w:id="607"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06">
        <w:r>
          <w:rPr>
            <w:rStyle w:val="Hyperlink"/>
          </w:rPr>
          <w:t xml:space="preserve">https://doi.org/10.1038/sdata.2016.18</w:t>
        </w:r>
      </w:hyperlink>
      <w:r>
        <w:t xml:space="preserve">.</w:t>
      </w:r>
    </w:p>
    <w:bookmarkEnd w:id="607"/>
    <w:bookmarkEnd w:id="608"/>
    <w:bookmarkEnd w:id="609"/>
    <w:bookmarkStart w:id="611"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10">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11"/>
    <w:bookmarkStart w:id="612" w:name="X8b2cbe4f2e0e61e9bf1d99b5b0394609763a838"/>
    <w:p>
      <w:pPr>
        <w:pStyle w:val="Heading1"/>
      </w:pPr>
      <w:r>
        <w:t xml:space="preserve">Appendix A — Atlas (beta) — the static, in-browser scores, species and places app</w:t>
      </w:r>
    </w:p>
    <w:bookmarkEnd w:id="612"/>
    <w:bookmarkStart w:id="690" w:name="sec-app-atlas"/>
    <w:p>
      <w:pPr>
        <w:pStyle w:val="Heading1"/>
      </w:pPr>
      <w:r>
        <w:t xml:space="preserve">Appendix A — Atlas</w:t>
      </w:r>
    </w:p>
    <w:bookmarkStart w:id="627" w:name="overview-1"/>
    <w:p>
      <w:pPr>
        <w:pStyle w:val="Heading2"/>
      </w:pPr>
      <w:r>
        <w:t xml:space="preserve">A.1 Overview</w:t>
      </w:r>
    </w:p>
    <w:p>
      <w:pPr>
        <w:pStyle w:val="FirstParagraph"/>
      </w:pPr>
      <w:r>
        <w:t xml:space="preserve">The</w:t>
      </w:r>
      <w:r>
        <w:t xml:space="preserve"> </w:t>
      </w:r>
      <w:r>
        <w:rPr>
          <w:b/>
          <w:bCs/>
        </w:rPr>
        <w:t xml:space="preserve">Atlas</w:t>
      </w:r>
      <w:r>
        <w:t xml:space="preserve"> </w:t>
      </w:r>
      <w:r>
        <w:t xml:space="preserve">(</w:t>
      </w:r>
      <w:hyperlink r:id="rId472">
        <w:r>
          <w:rPr>
            <w:rStyle w:val="Hyperlink"/>
          </w:rPr>
          <w:t xml:space="preserve">https://marinesensitivity.org/atlas/?ver=v7</w:t>
        </w:r>
      </w:hyperlink>
      <w:r>
        <w:t xml:space="preserve">) is a third, newer way to explore the MST,</w:t>
      </w:r>
      <w:r>
        <w:t xml:space="preserve"> </w:t>
      </w:r>
      <w:r>
        <w:t xml:space="preserve">currently labelled</w:t>
      </w:r>
      <w:r>
        <w:t xml:space="preserve"> </w:t>
      </w:r>
      <w:r>
        <w:rPr>
          <w:b/>
          <w:bCs/>
        </w:rPr>
        <w:t xml:space="preserve">beta</w:t>
      </w:r>
      <w:r>
        <w:t xml:space="preserve">:</w:t>
      </w:r>
      <w:r>
        <w:t xml:space="preserve"> </w:t>
      </w:r>
      <w:r>
        <w:rPr>
          <w:b/>
          <w:bCs/>
        </w:rPr>
        <w:t xml:space="preserve">one static web app</w:t>
      </w:r>
      <w:r>
        <w:t xml:space="preserve">, built with Svelte and MapLibre, that runs</w:t>
      </w:r>
      <w:r>
        <w:t xml:space="preserve"> </w:t>
      </w:r>
      <w:r>
        <w:t xml:space="preserve">entirely in the browser. Where the</w:t>
      </w:r>
      <w:r>
        <w:t xml:space="preserve"> </w:t>
      </w:r>
      <w:hyperlink r:id="rId613">
        <w:r>
          <w:rPr>
            <w:rStyle w:val="Hyperlink"/>
          </w:rPr>
          <w:t xml:space="preserve">Scores</w:t>
        </w:r>
      </w:hyperlink>
      <w:r>
        <w:t xml:space="preserve"> </w:t>
      </w:r>
      <w:r>
        <w:t xml:space="preserve">and</w:t>
      </w:r>
      <w:r>
        <w:t xml:space="preserve"> </w:t>
      </w:r>
      <w:hyperlink r:id="rId614">
        <w:r>
          <w:rPr>
            <w:rStyle w:val="Hyperlink"/>
          </w:rPr>
          <w:t xml:space="preserve">Species</w:t>
        </w:r>
      </w:hyperlink>
      <w:r>
        <w:t xml:space="preserve"> </w:t>
      </w:r>
      <w:r>
        <w:t xml:space="preserve">Shiny apps are</w:t>
      </w:r>
      <w:r>
        <w:t xml:space="preserve"> </w:t>
      </w:r>
      <w:r>
        <w:t xml:space="preserve">server-rendered R 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the same way the preview Scores and Species apps are,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hyperlink w:anchor="fig-atlas-map">
        <w:r>
          <w:rPr>
            <w:rStyle w:val="Hyperlink"/>
          </w:rPr>
          <w:t xml:space="preserve">Figure B.1</w:t>
        </w:r>
      </w:hyperlink>
      <w:r>
        <w:t xml:space="preserve"> </w:t>
      </w:r>
      <w:r>
        <w:t xml:space="preserve">shows the default Scores view: the 0.05° cell grid colored by a composite</w:t>
      </w:r>
      <w:r>
        <w:t xml:space="preserve"> </w:t>
      </w:r>
      <w:r>
        <w:t xml:space="preserve">sensitivity score across U.S. waters, dark theme (the app’s default), with the tool rail on the</w:t>
      </w:r>
      <w:r>
        <w:t xml:space="preserve"> </w:t>
      </w:r>
      <w:r>
        <w:t xml:space="preserve">left, the Layers panel open by default, and the basemap’s attribution in the lower-left corner.</w:t>
      </w:r>
    </w:p>
    <w:tbl>
      <w:tblPr>
        <w:tblStyle w:val="Table"/>
        <w:tblW w:type="pct" w:w="5000"/>
        <w:tblLayout w:type="fixed"/>
        <w:tblLook w:firstRow="0" w:lastRow="0" w:firstColumn="0" w:lastColumn="0" w:noHBand="0" w:noVBand="0" w:val="0000"/>
      </w:tblPr>
      <w:tblGrid>
        <w:gridCol w:w="7920"/>
      </w:tblGrid>
      <w:tr>
        <w:tc>
          <w:tcPr/>
          <w:bookmarkStart w:id="618" w:name="fig-atlas-map"/>
          <w:p>
            <w:pPr>
              <w:pStyle w:val="Compact"/>
              <w:jc w:val="center"/>
            </w:pPr>
            <w:r>
              <w:drawing>
                <wp:inline>
                  <wp:extent cx="5334000" cy="3333750"/>
                  <wp:effectExtent b="0" l="0" r="0" t="0"/>
                  <wp:docPr descr="" title="" id="616" name="Picture"/>
                  <a:graphic>
                    <a:graphicData uri="http://schemas.openxmlformats.org/drawingml/2006/picture">
                      <pic:pic>
                        <pic:nvPicPr>
                          <pic:cNvPr descr="images/atlas/desktop-map.png" id="617" name="Picture"/>
                          <pic:cNvPicPr>
                            <a:picLocks noChangeArrowheads="1" noChangeAspect="1"/>
                          </pic:cNvPicPr>
                        </pic:nvPicPr>
                        <pic:blipFill>
                          <a:blip r:embed="rId61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Atlas, Scores lens, default view (desktop, dark theme).</w:t>
            </w:r>
          </w:p>
          <w:bookmarkEnd w:id="618"/>
        </w:tc>
      </w:tr>
    </w:tbl>
    <w:p>
      <w:pPr>
        <w:pStyle w:val="BodyText"/>
      </w:pPr>
      <w:r>
        <w:rPr>
          <w:b/>
          <w:bCs/>
        </w:rPr>
        <w:t xml:space="preserve">Desktop vs. phone layout.</w:t>
      </w:r>
      <w:r>
        <w:t xml:space="preserve"> </w:t>
      </w:r>
      <w:r>
        <w:t xml:space="preserve">On a wide viewport the five rail tools open a single</w:t>
      </w:r>
      <w:r>
        <w:t xml:space="preserve"> </w:t>
      </w:r>
      <w:r>
        <w:rPr>
          <w:b/>
          <w:bCs/>
        </w:rPr>
        <w:t xml:space="preserve">dockable</w:t>
      </w:r>
      <w:r>
        <w:rPr>
          <w:b/>
          <w:bCs/>
        </w:rPr>
        <w:t xml:space="preserve"> </w:t>
      </w:r>
      <w:r>
        <w:rPr>
          <w:b/>
          <w:bCs/>
        </w:rPr>
        <w:t xml:space="preserve">panel</w:t>
      </w:r>
      <w:r>
        <w:t xml:space="preserve"> </w:t>
      </w:r>
      <w:r>
        <w:t xml:space="preserve">that floats over the map; on a phone the identical five tools sit in a labelled</w:t>
      </w:r>
      <w:r>
        <w:t xml:space="preserve"> </w:t>
      </w:r>
      <w:r>
        <w:rPr>
          <w:b/>
          <w:bCs/>
        </w:rPr>
        <w:t xml:space="preserve">bottom</w:t>
      </w:r>
      <w:r>
        <w:rPr>
          <w:b/>
          <w:bCs/>
        </w:rPr>
        <w:t xml:space="preserve"> </w:t>
      </w:r>
      <w:r>
        <w:rPr>
          <w:b/>
          <w:bCs/>
        </w:rPr>
        <w:t xml:space="preserve">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B.2</w:t>
        </w:r>
      </w:hyperlink>
      <w:r>
        <w:t xml:space="preserve"> </w:t>
      </w:r>
      <w:r>
        <w:t xml:space="preserve">shows the phone layout, and</w:t>
      </w:r>
      <w:r>
        <w:t xml:space="preserve"> </w:t>
      </w:r>
      <w:hyperlink w:anchor="fig-atlas-phone-more">
        <w:r>
          <w:rPr>
            <w:rStyle w:val="Hyperlink"/>
          </w:rPr>
          <w:t xml:space="preserve">Figure B.3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622" w:name="fig-atlas-phone-map"/>
                <w:p>
                  <w:pPr>
                    <w:pStyle w:val="Compact"/>
                    <w:jc w:val="center"/>
                    <w:jc w:val="left"/>
                  </w:pPr>
                  <w:r>
                    <w:drawing>
                      <wp:inline>
                        <wp:extent cx="5334000" cy="11543323"/>
                        <wp:effectExtent b="0" l="0" r="0" t="0"/>
                        <wp:docPr descr="" title="" id="620" name="Picture"/>
                        <a:graphic>
                          <a:graphicData uri="http://schemas.openxmlformats.org/drawingml/2006/picture">
                            <pic:pic>
                              <pic:nvPicPr>
                                <pic:cNvPr descr="images/atlas/phone-map.png" id="621" name="Picture"/>
                                <pic:cNvPicPr>
                                  <a:picLocks noChangeArrowheads="1" noChangeAspect="1"/>
                                </pic:cNvPicPr>
                              </pic:nvPicPr>
                              <pic:blipFill>
                                <a:blip r:embed="rId619"/>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B.2: Phone: default view.</w:t>
                  </w:r>
                </w:p>
                <w:bookmarkEnd w:id="622"/>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626" w:name="fig-atlas-phone-more"/>
                <w:p>
                  <w:pPr>
                    <w:pStyle w:val="Compact"/>
                    <w:jc w:val="center"/>
                    <w:jc w:val="left"/>
                  </w:pPr>
                  <w:r>
                    <w:drawing>
                      <wp:inline>
                        <wp:extent cx="5334000" cy="11543323"/>
                        <wp:effectExtent b="0" l="0" r="0" t="0"/>
                        <wp:docPr descr="" title="" id="624" name="Picture"/>
                        <a:graphic>
                          <a:graphicData uri="http://schemas.openxmlformats.org/drawingml/2006/picture">
                            <pic:pic>
                              <pic:nvPicPr>
                                <pic:cNvPr descr="images/atlas/phone-more-menu.png" id="625" name="Picture"/>
                                <pic:cNvPicPr>
                                  <a:picLocks noChangeArrowheads="1" noChangeAspect="1"/>
                                </pic:cNvPicPr>
                              </pic:nvPicPr>
                              <pic:blipFill>
                                <a:blip r:embed="rId623"/>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B.3: Phone: the top bar’s More (⋯) menu.</w:t>
                  </w:r>
                </w:p>
                <w:bookmarkEnd w:id="626"/>
              </w:tc>
            </w:tr>
          </w:tbl>
          <w:p/>
        </w:tc>
      </w:tr>
    </w:tbl>
    <w:bookmarkEnd w:id="627"/>
    <w:bookmarkStart w:id="628" w:name="quick-start"/>
    <w:p>
      <w:pPr>
        <w:pStyle w:val="Heading2"/>
      </w:pPr>
      <w:r>
        <w:t xml:space="preserve">A.2 Quick start</w:t>
      </w:r>
    </w:p>
    <w:p>
      <w:pPr>
        <w:pStyle w:val="FirstParagraph"/>
      </w:pPr>
      <w:r>
        <w:rPr>
          <w:b/>
          <w:bCs/>
        </w:rPr>
        <w:t xml:space="preserve">Desktop:</w:t>
      </w:r>
    </w:p>
    <w:p>
      <w:pPr>
        <w:pStyle w:val="Compact"/>
        <w:numPr>
          <w:ilvl w:val="0"/>
          <w:numId w:val="1059"/>
        </w:numPr>
      </w:pPr>
      <w:r>
        <w:t xml:space="preserve">Open</w:t>
      </w:r>
      <w:r>
        <w:t xml:space="preserve"> </w:t>
      </w:r>
      <w:r>
        <w:rPr>
          <w:b/>
          <w:bCs/>
        </w:rPr>
        <w:t xml:space="preserve">Places</w:t>
      </w:r>
      <w:r>
        <w:t xml:space="preserve">, and either choose a Program Area from its list or draw a</w:t>
      </w:r>
      <w:r>
        <w:t xml:space="preserve"> </w:t>
      </w:r>
      <w:r>
        <w:rPr>
          <w:b/>
          <w:bCs/>
        </w:rPr>
        <w:t xml:space="preserve">Rectangle</w:t>
      </w:r>
      <w:r>
        <w:t xml:space="preserve"> </w:t>
      </w:r>
      <w:r>
        <w:t xml:space="preserve">(click, move, click, then</w:t>
      </w:r>
      <w:r>
        <w:t xml:space="preserve"> </w:t>
      </w:r>
      <w:r>
        <w:rPr>
          <w:b/>
          <w:bCs/>
        </w:rPr>
        <w:t xml:space="preserve">Done</w:t>
      </w:r>
      <w:r>
        <w:t xml:space="preserve">).</w:t>
      </w:r>
    </w:p>
    <w:p>
      <w:pPr>
        <w:pStyle w:val="Compact"/>
        <w:numPr>
          <w:ilvl w:val="0"/>
          <w:numId w:val="1059"/>
        </w:numPr>
      </w:pPr>
      <w:r>
        <w:t xml:space="preserve">Select the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w:t>
      </w:r>
    </w:p>
    <w:p>
      <w:pPr>
        <w:pStyle w:val="Compact"/>
        <w:numPr>
          <w:ilvl w:val="0"/>
          <w:numId w:val="1059"/>
        </w:numPr>
      </w:pPr>
      <w:r>
        <w:t xml:space="preserve">Rename it inline if you like.</w:t>
      </w:r>
    </w:p>
    <w:p>
      <w:pPr>
        <w:pStyle w:val="Compact"/>
        <w:numPr>
          <w:ilvl w:val="0"/>
          <w:numId w:val="1059"/>
        </w:numPr>
      </w:pPr>
      <w:r>
        <w:rPr>
          <w:b/>
          <w:bCs/>
        </w:rPr>
        <w:t xml:space="preserve">Places › Share › Copy link</w:t>
      </w:r>
      <w:r>
        <w:t xml:space="preserve"> </w:t>
      </w:r>
      <w:r>
        <w:t xml:space="preserve">— the fastest way to hand someone the same place.</w:t>
      </w:r>
    </w:p>
    <w:p>
      <w:pPr>
        <w:pStyle w:val="Compact"/>
        <w:numPr>
          <w:ilvl w:val="0"/>
          <w:numId w:val="1059"/>
        </w:numPr>
      </w:pPr>
      <w:r>
        <w:rPr>
          <w:b/>
          <w:bCs/>
        </w:rPr>
        <w:t xml:space="preserve">Places › Report</w:t>
      </w:r>
      <w:r>
        <w:t xml:space="preserve"> </w:t>
      </w:r>
      <w:r>
        <w:t xml:space="preserve">for a printable, downloadable document (Print, HTML, ZIP or Word).</w:t>
      </w:r>
    </w:p>
    <w:p>
      <w:pPr>
        <w:pStyle w:val="FirstParagraph"/>
      </w:pPr>
      <w:r>
        <w:rPr>
          <w:b/>
          <w:bCs/>
        </w:rPr>
        <w:t xml:space="preserve">Phone:</w:t>
      </w:r>
      <w:r>
        <w:t xml:space="preserve"> </w:t>
      </w:r>
      <w:r>
        <w:t xml:space="preserve">the tool rail is the bottom tab bar; use the Program Area chooser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628"/>
    <w:bookmarkStart w:id="629" w:name="getting-around"/>
    <w:p>
      <w:pPr>
        <w:pStyle w:val="Heading2"/>
      </w:pPr>
      <w:r>
        <w:t xml:space="preserve">A.3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and</w:t>
      </w:r>
      <w:r>
        <w:t xml:space="preserve"> </w:t>
      </w:r>
      <w:r>
        <w:t xml:space="preserve">coordinates in the Scores lens,</w:t>
      </w:r>
      <w:r>
        <w:t xml:space="preserve"> </w:t>
      </w:r>
      <w:hyperlink w:anchor="sec-atlas-scores">
        <w:r>
          <w:rPr>
            <w:rStyle w:val="Hyperlink"/>
          </w:rPr>
          <w:t xml:space="preserve">Section B.4</w:t>
        </w:r>
      </w:hyperlink>
      <w:r>
        <w:t xml:space="preserve">; species in the Species lens); then, right-aligned,</w:t>
      </w:r>
      <w:r>
        <w:t xml:space="preserve"> </w:t>
      </w:r>
      <w:r>
        <w:rPr>
          <w:b/>
          <w:bCs/>
        </w:rPr>
        <w:t xml:space="preserve">Share</w:t>
      </w:r>
      <w:r>
        <w:t xml:space="preserve">,</w:t>
      </w:r>
      <w:r>
        <w:t xml:space="preserve"> </w:t>
      </w:r>
      <w:r>
        <w:rPr>
          <w:b/>
          <w:bCs/>
        </w:rPr>
        <w:t xml:space="preserve">Report</w:t>
      </w:r>
      <w:r>
        <w:t xml:space="preserve">, a</w:t>
      </w:r>
      <w:r>
        <w:t xml:space="preserve"> </w:t>
      </w:r>
      <w:r>
        <w:rPr>
          <w:b/>
          <w:bCs/>
        </w:rPr>
        <w:t xml:space="preserve">(?) Help</w:t>
      </w:r>
      <w:r>
        <w:t xml:space="preserve"> </w:t>
      </w:r>
      <w:r>
        <w:t xml:space="preserve">menu (Take a tour, keyboard shortcuts, a Docs link), a</w:t>
      </w:r>
      <w:r>
        <w:t xml:space="preserve"> </w:t>
      </w:r>
      <w:r>
        <w:rPr>
          <w:b/>
          <w:bCs/>
        </w:rPr>
        <w:t xml:space="preserve">Feedback</w:t>
      </w:r>
      <w:r>
        <w:t xml:space="preserve"> </w:t>
      </w:r>
      <w:r>
        <w:t xml:space="preserve">button, an</w:t>
      </w:r>
      <w:r>
        <w:t xml:space="preserve"> </w:t>
      </w:r>
      <w:r>
        <w:rPr>
          <w:b/>
          <w:bCs/>
        </w:rPr>
        <w:t xml:space="preserve">(i) About</w:t>
      </w:r>
      <w:r>
        <w:t xml:space="preserve"> </w:t>
      </w:r>
      <w:r>
        <w:t xml:space="preserve">button, and a sun/moon</w:t>
      </w:r>
      <w:r>
        <w:t xml:space="preserve"> </w:t>
      </w:r>
      <w:r>
        <w:rPr>
          <w:b/>
          <w:bCs/>
        </w:rPr>
        <w:t xml:space="preserve">theme toggle</w:t>
      </w:r>
      <w:r>
        <w:t xml:space="preserve">. On a phone (below</w:t>
      </w:r>
      <w:r>
        <w:t xml:space="preserve"> </w:t>
      </w:r>
      <w:r>
        <w:t xml:space="preserve">900 px) the title collapses to the mark, and Share, Report, Help, Feedback, About and the theme</w:t>
      </w:r>
      <w:r>
        <w:t xml:space="preserve"> </w:t>
      </w:r>
      <w:r>
        <w:t xml:space="preserve">toggle fold into one</w:t>
      </w:r>
      <w:r>
        <w:t xml:space="preserve"> </w:t>
      </w:r>
      <w:r>
        <w:rPr>
          <w:b/>
          <w:bCs/>
        </w:rPr>
        <w:t xml:space="preserve">More (⋯)</w:t>
      </w:r>
      <w:r>
        <w:t xml:space="preserve"> </w:t>
      </w:r>
      <w:r>
        <w:t xml:space="preserve">button beside a</w:t>
      </w:r>
      <w:r>
        <w:t xml:space="preserve"> </w:t>
      </w:r>
      <w:r>
        <w:rPr>
          <w:b/>
          <w:bCs/>
        </w:rPr>
        <w:t xml:space="preserve">search</w:t>
      </w:r>
      <w:r>
        <w:t xml:space="preserve"> </w:t>
      </w:r>
      <w:r>
        <w:t xml:space="preserve">button; below 381 px the mark hides</w:t>
      </w:r>
      <w:r>
        <w:t xml:space="preserve"> </w:t>
      </w:r>
      <w:r>
        <w:t xml:space="preserve">too. The keyboard-shortcut list is desktop-only.</w:t>
      </w:r>
    </w:p>
    <w:p>
      <w:pPr>
        <w:pStyle w:val="BodyText"/>
      </w:pPr>
      <w:r>
        <w:rPr>
          <w:b/>
          <w:bCs/>
        </w:rPr>
        <w:t xml:space="preserve">The tool rail</w:t>
      </w:r>
      <w:r>
        <w:t xml:space="preserve"> </w:t>
      </w:r>
      <w:r>
        <w:t xml:space="preserve">is five controls, always in the same order, on every viewport:</w:t>
      </w:r>
      <w:r>
        <w:t xml:space="preserve"> </w:t>
      </w:r>
      <w:r>
        <w:rPr>
          <w:b/>
          <w:bCs/>
        </w:rPr>
        <w:t xml:space="preserve">Layers · Places · Flower plot · Table · Report</w:t>
      </w:r>
      <w:r>
        <w:t xml:space="preserve">. In the Species lens the Flower control fades in</w:t>
      </w:r>
      <w:r>
        <w:t xml:space="preserve"> </w:t>
      </w:r>
      <w:r>
        <w:t xml:space="preserve">place — it has no meaning for a single species — but stays visible with a tooltip explaining why.</w:t>
      </w:r>
    </w:p>
    <w:p>
      <w:pPr>
        <w:pStyle w:val="BodyText"/>
      </w:pPr>
      <w:r>
        <w:rPr>
          <w:b/>
          <w:bCs/>
        </w:rPr>
        <w:t xml:space="preserve">The panel</w:t>
      </w:r>
      <w:r>
        <w:t xml:space="preserve"> </w:t>
      </w:r>
      <w:r>
        <w:t xml:space="preserve">that a rail tool opens is one dockable surface: dock left, right or bottom; resize</w:t>
      </w:r>
      <w:r>
        <w:t xml:space="preserve"> </w:t>
      </w:r>
      <w:r>
        <w:t xml:space="preserve">by dragging its map-facing edge or with arrow keys; maximize to the whole stage; or collapse to a</w:t>
      </w:r>
      <w:r>
        <w:t xml:space="preserve"> </w:t>
      </w:r>
      <w:r>
        <w:t xml:space="preserve">small labelled pill (clicking any rail tool re-opens it). Its dock/size/collapsed state is chrome,</w:t>
      </w:r>
      <w:r>
        <w:t xml:space="preserve"> </w:t>
      </w:r>
      <w:r>
        <w:t xml:space="preserve">remembered per viewport, never written into the shareable URL.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in a corner</w:t>
      </w:r>
      <w:r>
        <w:t xml:space="preserve"> </w:t>
      </w:r>
      <w:r>
        <w:t xml:space="preserve">clear of the panel, on whichever side it is docked, and hides while the panel is maximized; on a</w:t>
      </w:r>
      <w:r>
        <w:t xml:space="preserve"> </w:t>
      </w:r>
      <w:r>
        <w:t xml:space="preserve">phone it is a compact</w:t>
      </w:r>
      <w:r>
        <w:t xml:space="preserve"> </w:t>
      </w:r>
      <w:r>
        <w:rPr>
          <w:b/>
          <w:bCs/>
        </w:rPr>
        <w:t xml:space="preserve">Legend</w:t>
      </w:r>
      <w:r>
        <w:t xml:space="preserve"> </w:t>
      </w:r>
      <w:r>
        <w:t xml:space="preserve">chip above the sheet that opens the full legend, moving into the</w:t>
      </w:r>
      <w:r>
        <w:t xml:space="preserve"> </w:t>
      </w:r>
      <w:r>
        <w:t xml:space="preserve">sheet’s own header at full height.</w:t>
      </w:r>
    </w:p>
    <w:bookmarkEnd w:id="629"/>
    <w:bookmarkStart w:id="634" w:name="sec-atlas-scores"/>
    <w:p>
      <w:pPr>
        <w:pStyle w:val="Heading2"/>
      </w:pPr>
      <w:r>
        <w:t xml:space="preserve">A.4 Scores lens</w:t>
      </w:r>
    </w:p>
    <w:p>
      <w:pPr>
        <w:pStyle w:val="FirstParagraph"/>
      </w:pPr>
      <w:r>
        <w:t xml:space="preserve">The Scores lens shows the composite, extinction-risk-weighted score for every 0.05° cell (or,</w:t>
      </w:r>
      <w:r>
        <w:t xml:space="preserve"> </w:t>
      </w:r>
      <w:r>
        <w:t xml:space="preserve">aggregated, every Program Area) of U.S. waters. Opening</w:t>
      </w:r>
      <w:r>
        <w:t xml:space="preserve"> </w:t>
      </w:r>
      <w:r>
        <w:rPr>
          <w:b/>
          <w:bCs/>
        </w:rPr>
        <w:t xml:space="preserve">Layers</w:t>
      </w:r>
      <w:r>
        <w:t xml:space="preserve"> </w:t>
      </w:r>
      <w:r>
        <w:t xml:space="preserve">(</w:t>
      </w:r>
      <w:hyperlink w:anchor="fig-atlas-layers">
        <w:r>
          <w:rPr>
            <w:rStyle w:val="Hyperlink"/>
          </w:rPr>
          <w:t xml:space="preserve">Figure B.4</w:t>
        </w:r>
      </w:hyperlink>
      <w:r>
        <w:t xml:space="preserve">) expands the</w:t>
      </w:r>
      <w:r>
        <w:t xml:space="preserve"> </w:t>
      </w:r>
      <w:r>
        <w:rPr>
          <w:b/>
          <w:bCs/>
        </w:rPr>
        <w:t xml:space="preserve">Data</w:t>
      </w:r>
      <w:r>
        <w:t xml:space="preserve"> </w:t>
      </w:r>
      <w:r>
        <w:t xml:space="preserve">row into this lens’s own controls — study area, spatial unit, the score layer, color</w:t>
      </w:r>
      <w:r>
        <w:t xml:space="preserve"> </w:t>
      </w:r>
      <w:r>
        <w:t xml:space="preserve">palette, a</w:t>
      </w:r>
      <w:r>
        <w:t xml:space="preserve"> </w:t>
      </w:r>
      <w:r>
        <w:rPr>
          <w:b/>
          <w:bCs/>
        </w:rPr>
        <w:t xml:space="preserve">Sphere</w:t>
      </w:r>
      <w:r>
        <w:t xml:space="preserve"> </w:t>
      </w:r>
      <w:r>
        <w:t xml:space="preserve">switch (globe vs. flat projection), and a</w:t>
      </w:r>
      <w:r>
        <w:t xml:space="preserve"> </w:t>
      </w:r>
      <w:r>
        <w:rPr>
          <w:b/>
          <w:bCs/>
        </w:rPr>
        <w:t xml:space="preserve">Cells outside Program Areas</w:t>
      </w:r>
      <w:r>
        <w:t xml:space="preserve"> </w:t>
      </w:r>
      <w:r>
        <w:t xml:space="preserve">switch where the release publishes that overlay — above the rest of the</w:t>
      </w:r>
      <w:r>
        <w:t xml:space="preserve"> </w:t>
      </w:r>
      <w:r>
        <w:rPr>
          <w:b/>
          <w:bCs/>
        </w:rPr>
        <w:t xml:space="preserve">layer stack</w:t>
      </w:r>
      <w:r>
        <w:t xml:space="preserve">, listed</w:t>
      </w:r>
      <w:r>
        <w:t xml:space="preserve"> </w:t>
      </w:r>
      <w:r>
        <w:t xml:space="preserve">top to bottom:</w:t>
      </w:r>
      <w:r>
        <w:t xml:space="preserve"> </w:t>
      </w:r>
      <w:r>
        <w:rPr>
          <w:b/>
          <w:bCs/>
        </w:rPr>
        <w:t xml:space="preserve">Selection</w:t>
      </w:r>
      <w:r>
        <w:t xml:space="preserve"> </w:t>
      </w:r>
      <w:r>
        <w:t xml:space="preserve">(pinned at the top),</w:t>
      </w:r>
      <w:r>
        <w:t xml:space="preserve"> </w:t>
      </w:r>
      <w:r>
        <w:rPr>
          <w:b/>
          <w:bCs/>
        </w:rPr>
        <w:t xml:space="preserve">Zone outlines</w:t>
      </w:r>
      <w:r>
        <w:t xml:space="preserve">,</w:t>
      </w:r>
      <w:r>
        <w:t xml:space="preserve"> </w:t>
      </w:r>
      <w:r>
        <w:rPr>
          <w:b/>
          <w:bCs/>
        </w:rPr>
        <w:t xml:space="preserve">Data</w:t>
      </w:r>
      <w:r>
        <w:t xml:space="preserve">,</w:t>
      </w:r>
      <w:r>
        <w:t xml:space="preserve"> </w:t>
      </w:r>
      <w:r>
        <w:rPr>
          <w:b/>
          <w:bCs/>
        </w:rPr>
        <w:t xml:space="preserve">Place labels</w:t>
      </w:r>
      <w:r>
        <w:t xml:space="preserve">,</w:t>
      </w:r>
      <w:r>
        <w:t xml:space="preserve"> </w:t>
      </w:r>
      <w:r>
        <w:rPr>
          <w:b/>
          <w:bCs/>
        </w:rPr>
        <w:t xml:space="preserve">Roads &amp; buildings</w:t>
      </w:r>
      <w:r>
        <w:t xml:space="preserve">,</w:t>
      </w:r>
      <w:r>
        <w:t xml:space="preserve"> </w:t>
      </w:r>
      <w:r>
        <w:rPr>
          <w:b/>
          <w:bCs/>
        </w:rPr>
        <w:t xml:space="preserve">Boundaries</w:t>
      </w:r>
      <w:r>
        <w:t xml:space="preserve">,</w:t>
      </w:r>
      <w:r>
        <w:t xml:space="preserve"> </w:t>
      </w:r>
      <w:r>
        <w:rPr>
          <w:b/>
          <w:bCs/>
        </w:rPr>
        <w:t xml:space="preserve">Bathymetry</w:t>
      </w:r>
      <w:r>
        <w:t xml:space="preserve"> </w:t>
      </w:r>
      <w:r>
        <w:t xml:space="preserve">(present but disabled until a relief layer is</w:t>
      </w:r>
      <w:r>
        <w:t xml:space="preserve"> </w:t>
      </w:r>
      <w:r>
        <w:t xml:space="preserve">published) and</w:t>
      </w:r>
      <w:r>
        <w:t xml:space="preserve"> </w:t>
      </w:r>
      <w:r>
        <w:rPr>
          <w:b/>
          <w:bCs/>
        </w:rPr>
        <w:t xml:space="preserve">Land &amp; water</w:t>
      </w:r>
      <w:r>
        <w:t xml:space="preserve"> </w:t>
      </w:r>
      <w:r>
        <w:t xml:space="preserve">at the bottom. Every row’s visibility and opacity can be changed,</w:t>
      </w:r>
      <w:r>
        <w:t xml:space="preserve"> </w:t>
      </w:r>
      <w:r>
        <w:t xml:space="preserve">and most can be reordered —</w:t>
      </w:r>
      <w:r>
        <w:t xml:space="preserve"> </w:t>
      </w:r>
      <w:r>
        <w:rPr>
          <w:b/>
          <w:bCs/>
        </w:rPr>
        <w:t xml:space="preserve">Data</w:t>
      </w:r>
      <w:r>
        <w:t xml:space="preserve"> </w:t>
      </w:r>
      <w:r>
        <w:t xml:space="preserve">can never move above</w:t>
      </w:r>
      <w:r>
        <w:t xml:space="preserve"> </w:t>
      </w:r>
      <w:r>
        <w:rPr>
          <w:b/>
          <w:bCs/>
        </w:rPr>
        <w:t xml:space="preserve">Zone outlines</w:t>
      </w:r>
      <w:r>
        <w:t xml:space="preserve">, so an opaque score</w:t>
      </w:r>
      <w:r>
        <w:t xml:space="preserve"> </w:t>
      </w:r>
      <w:r>
        <w:t xml:space="preserve">raster can never hide the boundaries it is measured against — and</w:t>
      </w:r>
      <w:r>
        <w:t xml:space="preserve"> </w:t>
      </w:r>
      <w:r>
        <w:rPr>
          <w:b/>
          <w:bCs/>
        </w:rPr>
        <w:t xml:space="preserve">Reset layers</w:t>
      </w:r>
      <w:r>
        <w:t xml:space="preserve"> </w:t>
      </w:r>
      <w:r>
        <w:t xml:space="preserve">restores the</w:t>
      </w:r>
      <w:r>
        <w:t xml:space="preserve"> </w:t>
      </w:r>
      <w:r>
        <w:t xml:space="preserve">default stack.</w:t>
      </w:r>
    </w:p>
    <w:tbl>
      <w:tblPr>
        <w:tblStyle w:val="Table"/>
        <w:tblW w:type="pct" w:w="5000"/>
        <w:tblLayout w:type="fixed"/>
        <w:tblLook w:firstRow="0" w:lastRow="0" w:firstColumn="0" w:lastColumn="0" w:noHBand="0" w:noVBand="0" w:val="0000"/>
      </w:tblPr>
      <w:tblGrid>
        <w:gridCol w:w="7920"/>
      </w:tblGrid>
      <w:tr>
        <w:tc>
          <w:tcPr/>
          <w:bookmarkStart w:id="633" w:name="fig-atlas-layers"/>
          <w:p>
            <w:pPr>
              <w:pStyle w:val="Compact"/>
              <w:jc w:val="center"/>
            </w:pPr>
            <w:r>
              <w:drawing>
                <wp:inline>
                  <wp:extent cx="4826000" cy="9245600"/>
                  <wp:effectExtent b="0" l="0" r="0" t="0"/>
                  <wp:docPr descr="" title="" id="631" name="Picture"/>
                  <a:graphic>
                    <a:graphicData uri="http://schemas.openxmlformats.org/drawingml/2006/picture">
                      <pic:pic>
                        <pic:nvPicPr>
                          <pic:cNvPr descr="images/atlas/desktop-layers.png" id="632" name="Picture"/>
                          <pic:cNvPicPr>
                            <a:picLocks noChangeArrowheads="1" noChangeAspect="1"/>
                          </pic:cNvPicPr>
                        </pic:nvPicPr>
                        <pic:blipFill>
                          <a:blip r:embed="rId630"/>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B.4: The Layers panel docked, with Place labels moved above Data (one</w:t>
            </w:r>
            <w:r>
              <w:t xml:space="preserve"> </w:t>
            </w:r>
            <w:r>
              <w:t xml:space="preserve">“move up”</w:t>
            </w:r>
            <w:r>
              <w:t xml:space="preserve"> </w:t>
            </w:r>
            <w:r>
              <w:t xml:space="preserve">click) to show the reorder feature, and Data expanded to its study area, spatial units, layer and palette controls.</w:t>
            </w:r>
          </w:p>
          <w:bookmarkEnd w:id="633"/>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Flower plot</w:t>
      </w:r>
      <w:r>
        <w:t xml:space="preserve"> </w:t>
      </w:r>
      <w:r>
        <w:t xml:space="preserve">and</w:t>
      </w:r>
      <w:r>
        <w:t xml:space="preserve"> </w:t>
      </w:r>
      <w:r>
        <w:rPr>
          <w:b/>
          <w:bCs/>
        </w:rPr>
        <w:t xml:space="preserve">Table</w:t>
      </w:r>
      <w:r>
        <w:t xml:space="preserve"> </w:t>
      </w:r>
      <w:r>
        <w:t xml:space="preserve">tools then describe</w:t>
      </w:r>
      <w:r>
        <w:t xml:space="preserve"> </w:t>
      </w:r>
      <w:r>
        <w:t xml:space="preserve">(</w:t>
      </w:r>
      <w:hyperlink w:anchor="sec-atlas-flower-table">
        <w:r>
          <w:rPr>
            <w:rStyle w:val="Hyperlink"/>
          </w:rPr>
          <w:t xml:space="preserve">Section B.8</w:t>
        </w:r>
      </w:hyperlink>
      <w:r>
        <w:t xml:space="preserve">).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634"/>
    <w:bookmarkStart w:id="639" w:name="species-lens"/>
    <w:p>
      <w:pPr>
        <w:pStyle w:val="Heading2"/>
      </w:pPr>
      <w:r>
        <w:t xml:space="preserve">A.5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 and replaces the</w:t>
      </w:r>
      <w:r>
        <w:t xml:space="preserve"> </w:t>
      </w:r>
      <w:r>
        <w:rPr>
          <w:b/>
          <w:bCs/>
        </w:rPr>
        <w:t xml:space="preserve">Data</w:t>
      </w:r>
      <w:r>
        <w:t xml:space="preserve"> </w:t>
      </w:r>
      <w:r>
        <w:t xml:space="preserve">row’s contents</w:t>
      </w:r>
      <w:r>
        <w:t xml:space="preserve"> </w:t>
      </w:r>
      <w:r>
        <w:t xml:space="preserve">inside</w:t>
      </w:r>
      <w:r>
        <w:t xml:space="preserve"> </w:t>
      </w:r>
      <w:r>
        <w:rPr>
          <w:b/>
          <w:bCs/>
        </w:rPr>
        <w:t xml:space="preserve">Layers</w:t>
      </w:r>
      <w:r>
        <w:t xml:space="preserve"> </w:t>
      </w:r>
      <w:r>
        <w:t xml:space="preserve">with the species</w:t>
      </w:r>
      <w:r>
        <w:t xml:space="preserve"> </w:t>
      </w:r>
      <w:r>
        <w:rPr>
          <w:b/>
          <w:bCs/>
        </w:rPr>
        <w:t xml:space="preserve">card</w:t>
      </w:r>
      <w:r>
        <w:t xml:space="preserve">: the merged model as a filled pill marked</w:t>
      </w:r>
      <w:r>
        <w:t xml:space="preserve"> </w:t>
      </w:r>
      <w:r>
        <w:rPr>
          <w:b/>
          <w:bCs/>
        </w:rPr>
        <w:t xml:space="preserve">✓</w:t>
      </w:r>
      <w:r>
        <w:t xml:space="preserve"> </w:t>
      </w:r>
      <w:r>
        <w:t xml:space="preserve">with a</w:t>
      </w:r>
      <w:r>
        <w:t xml:space="preserve"> </w:t>
      </w:r>
      <w:r>
        <w:t xml:space="preserve">gold edge, plus one pill per contributing input dataset marked</w:t>
      </w:r>
      <w:r>
        <w:t xml:space="preserve"> </w:t>
      </w:r>
      <w:r>
        <w:rPr>
          <w:b/>
          <w:bCs/>
        </w:rPr>
        <w:t xml:space="preserve">▶</w:t>
      </w:r>
      <w:r>
        <w:t xml:space="preserve"> </w:t>
      </w:r>
      <w:r>
        <w:t xml:space="preserve">with a grey edge. An input’s</w:t>
      </w:r>
      <w:r>
        <w:t xml:space="preserve"> </w:t>
      </w:r>
      <w:r>
        <w:t xml:space="preserve">raster is found the same way the Species Shiny app finds it — through the release’s</w:t>
      </w:r>
      <w:r>
        <w:t xml:space="preserve"> </w:t>
      </w:r>
      <w:r>
        <w:rPr>
          <w:b/>
          <w:bCs/>
        </w:rPr>
        <w:t xml:space="preserve">model-asset</w:t>
      </w:r>
      <w:r>
        <w:rPr>
          <w:b/>
          <w:bCs/>
        </w:rPr>
        <w:t xml:space="preserve"> </w:t>
      </w:r>
      <w:r>
        <w:rPr>
          <w:b/>
          <w:bCs/>
        </w:rPr>
        <w:t xml:space="preserve">registry</w:t>
      </w:r>
      <w:r>
        <w:t xml:space="preserve">, looked up by model key — and an input whose registry row is missing renders as a</w:t>
      </w:r>
      <w:r>
        <w:t xml:space="preserve"> </w:t>
      </w:r>
      <w:r>
        <w:rPr>
          <w:b/>
          <w:bCs/>
        </w:rPr>
        <w:t xml:space="preserve">struck-through, non-interactive pill</w:t>
      </w:r>
      <w:r>
        <w:t xml:space="preserve">, never simply omitted. Where the selected input publishes</w:t>
      </w:r>
      <w:r>
        <w:t xml:space="preserve"> </w:t>
      </w:r>
      <w:r>
        <w:t xml:space="preserve">both, one</w:t>
      </w:r>
      <w:r>
        <w:t xml:space="preserve"> </w:t>
      </w:r>
      <w:r>
        <w:rPr>
          <w:b/>
          <w:bCs/>
        </w:rPr>
        <w:t xml:space="preserve">representation</w:t>
      </w:r>
      <w:r>
        <w:t xml:space="preserve"> </w:t>
      </w:r>
      <w:r>
        <w:t xml:space="preserve">toggle appears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w:t>
      </w:r>
      <w:r>
        <w:t xml:space="preserve"> </w:t>
      </w:r>
      <w:r>
        <w:t xml:space="preserve">ingested”</w:t>
      </w:r>
      <w:r>
        <w:t xml:space="preserve"> </w:t>
      </w:r>
      <w:r>
        <w:t xml:space="preserve">for a dataset already on the scoring grid). Selecting a species flies the map to that</w:t>
      </w:r>
      <w:r>
        <w:t xml:space="preserve"> </w:t>
      </w:r>
      <w:r>
        <w:t xml:space="preserve">model’s extent; clicking it then returns that cell’s modelled value, or</w:t>
      </w:r>
      <w:r>
        <w:t xml:space="preserve"> </w:t>
      </w:r>
      <w:r>
        <w:rPr>
          <w:i/>
          <w:iCs/>
        </w:rPr>
        <w:t xml:space="preserve">“No scored cell here”</w:t>
      </w:r>
      <w:r>
        <w:t xml:space="preserve"> </w:t>
      </w:r>
      <w:r>
        <w:t xml:space="preserve">outside the model’s range. The legend floats in a corner of the map (a legend chip on a phone),</w:t>
      </w:r>
      <w:r>
        <w:t xml:space="preserve"> </w:t>
      </w:r>
      <w:r>
        <w:t xml:space="preserve">titled with the species’ scientific name and its 1–100 range.</w:t>
      </w:r>
    </w:p>
    <w:tbl>
      <w:tblPr>
        <w:tblStyle w:val="Table"/>
        <w:tblW w:type="pct" w:w="5000"/>
        <w:tblLayout w:type="fixed"/>
        <w:tblLook w:firstRow="0" w:lastRow="0" w:firstColumn="0" w:lastColumn="0" w:noHBand="0" w:noVBand="0" w:val="0000"/>
      </w:tblPr>
      <w:tblGrid>
        <w:gridCol w:w="7920"/>
      </w:tblGrid>
      <w:tr>
        <w:tc>
          <w:tcPr/>
          <w:bookmarkStart w:id="638" w:name="fig-atlas-species"/>
          <w:p>
            <w:pPr>
              <w:pStyle w:val="Compact"/>
              <w:jc w:val="center"/>
            </w:pPr>
            <w:r>
              <w:drawing>
                <wp:inline>
                  <wp:extent cx="4826000" cy="9245600"/>
                  <wp:effectExtent b="0" l="0" r="0" t="0"/>
                  <wp:docPr descr="" title="" id="636" name="Picture"/>
                  <a:graphic>
                    <a:graphicData uri="http://schemas.openxmlformats.org/drawingml/2006/picture">
                      <pic:pic>
                        <pic:nvPicPr>
                          <pic:cNvPr descr="images/atlas/desktop-species.png" id="637" name="Picture"/>
                          <pic:cNvPicPr>
                            <a:picLocks noChangeArrowheads="1" noChangeAspect="1"/>
                          </pic:cNvPicPr>
                        </pic:nvPicPr>
                        <pic:blipFill>
                          <a:blip r:embed="rId635"/>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B.5: The Species lens’ card for the leatherback turtle (</w:t>
            </w:r>
            <w:r>
              <w:rPr>
                <w:i/>
                <w:iCs/>
              </w:rPr>
              <w:t xml:space="preserve">Dermochelys coriacea</w:t>
            </w:r>
            <w:r>
              <w:t xml:space="preserve">): the merged model with every one of its six inputs struck through — as of this writing, a stale v7 app bundle rather than a genuinely missing registry row for all six (see Known Limitations).</w:t>
            </w:r>
          </w:p>
          <w:bookmarkEnd w:id="638"/>
        </w:tc>
      </w:tr>
    </w:tbl>
    <w:bookmarkEnd w:id="639"/>
    <w:bookmarkStart w:id="648" w:name="sec-atlas-places"/>
    <w:p>
      <w:pPr>
        <w:pStyle w:val="Heading2"/>
      </w:pPr>
      <w:r>
        <w:t xml:space="preserve">A.6 Places</w:t>
      </w:r>
    </w:p>
    <w:p>
      <w:pPr>
        <w:pStyle w:val="FirstParagraph"/>
      </w:pPr>
      <w:r>
        <w:rPr>
          <w:b/>
          <w:bCs/>
        </w:rPr>
        <w:t xml:space="preserve">Places</w:t>
      </w:r>
      <w:r>
        <w:t xml:space="preserve"> </w:t>
      </w:r>
      <w:r>
        <w:t xml:space="preserve">is the tool the two Shiny apps do not have: any area you outline gets the same scores</w:t>
      </w:r>
      <w:r>
        <w:t xml:space="preserve"> </w:t>
      </w:r>
      <w:r>
        <w:t xml:space="preserve">and species results the built-in Program Areas get. The empty state reads exactly:</w:t>
      </w:r>
      <w:r>
        <w:t xml:space="preserve"> </w:t>
      </w:r>
      <w:r>
        <w:rPr>
          <w:i/>
          <w:iCs/>
        </w:rPr>
        <w:t xml:space="preserve">“No places</w:t>
      </w:r>
      <w:r>
        <w:rPr>
          <w:i/>
          <w:iCs/>
        </w:rPr>
        <w:t xml:space="preserve"> </w:t>
      </w:r>
      <w:r>
        <w:rPr>
          <w:i/>
          <w:iCs/>
        </w:rPr>
        <w:t xml:space="preserve">yet. Choose a Program Area above, turn on pick mode and click one on the map, draw a shape, enter</w:t>
      </w:r>
      <w:r>
        <w:rPr>
          <w:i/>
          <w:iCs/>
        </w:rPr>
        <w:t xml:space="preserve"> </w:t>
      </w:r>
      <w:r>
        <w:rPr>
          <w:i/>
          <w:iCs/>
        </w:rPr>
        <w:t xml:space="preserve">coordinates, or drop a file on the map.”</w:t>
      </w:r>
    </w:p>
    <w:p>
      <w:pPr>
        <w:pStyle w:val="Compact"/>
        <w:numPr>
          <w:ilvl w:val="0"/>
          <w:numId w:val="1060"/>
        </w:numPr>
      </w:pPr>
      <w:r>
        <w:rPr>
          <w:b/>
          <w:bCs/>
        </w:rPr>
        <w:t xml:space="preserve">Pick a Program Area.</w:t>
      </w:r>
      <w:r>
        <w:t xml:space="preserve"> </w:t>
      </w:r>
      <w:r>
        <w:t xml:space="preserve">Turning on</w:t>
      </w:r>
      <w:r>
        <w:t xml:space="preserve"> </w:t>
      </w:r>
      <w:r>
        <w:rPr>
          <w:b/>
          <w:bCs/>
        </w:rPr>
        <w:t xml:space="preserve">pick mode</w:t>
      </w:r>
      <w:r>
        <w:t xml:space="preserve"> </w:t>
      </w:r>
      <w:r>
        <w:t xml:space="preserve">and clicking only highlights it — Ctrl/Cmd-click,</w:t>
      </w:r>
      <w:r>
        <w:t xml:space="preserve"> </w:t>
      </w:r>
      <w:r>
        <w:t xml:space="preserve">Shift-click or long-press to highlight several — and</w:t>
      </w:r>
      <w:r>
        <w:t xml:space="preserve"> </w:t>
      </w:r>
      <w:r>
        <w:rPr>
          <w:b/>
          <w:bCs/>
        </w:rPr>
        <w:t xml:space="preserve">“Add to places (n)”</w:t>
      </w:r>
      <w:r>
        <w:t xml:space="preserve"> </w:t>
      </w:r>
      <w:r>
        <w:t xml:space="preserve">is the button that</w:t>
      </w:r>
      <w:r>
        <w:t xml:space="preserve"> </w:t>
      </w:r>
      <w:r>
        <w:t xml:space="preserve">actually adds it; several picks become</w:t>
      </w:r>
      <w:r>
        <w:t xml:space="preserve"> </w:t>
      </w:r>
      <w:r>
        <w:rPr>
          <w:b/>
          <w:bCs/>
        </w:rPr>
        <w:t xml:space="preserve">one</w:t>
      </w:r>
      <w:r>
        <w:t xml:space="preserve"> </w:t>
      </w:r>
      <w:r>
        <w:t xml:space="preserve">place. Or use the panel’s own</w:t>
      </w:r>
      <w:r>
        <w:t xml:space="preserve"> </w:t>
      </w:r>
      <w:r>
        <w:rPr>
          <w:b/>
          <w:bCs/>
        </w:rPr>
        <w:t xml:space="preserve">Program Area</w:t>
      </w:r>
      <w:r>
        <w:rPr>
          <w:b/>
          <w:bCs/>
        </w:rPr>
        <w:t xml:space="preserve"> </w:t>
      </w:r>
      <w:r>
        <w:rPr>
          <w:b/>
          <w:bCs/>
        </w:rPr>
        <w:t xml:space="preserve">chooser</w:t>
      </w:r>
      <w:r>
        <w:t xml:space="preserve">, which needs no pointer and works on a phone.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in the Places panel, the Scores-lens search and the Zones table and report; from</w:t>
      </w:r>
      <w:r>
        <w:t xml:space="preserve"> </w:t>
      </w:r>
      <w:r>
        <w:t xml:space="preserve">0.10.59, everywhere — today the Scores-lens map tooltip, Flower title and Table header for a</w:t>
      </w:r>
      <w:r>
        <w:t xml:space="preserve"> </w:t>
      </w:r>
      <w:r>
        <w:t xml:space="preserve">clicked Program Area still show the bare key.</w:t>
      </w:r>
    </w:p>
    <w:p>
      <w:pPr>
        <w:pStyle w:val="Compact"/>
        <w:numPr>
          <w:ilvl w:val="0"/>
          <w:numId w:val="1060"/>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60"/>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60"/>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643" w:name="fig-atlas-places"/>
          <w:p>
            <w:pPr>
              <w:pStyle w:val="Compact"/>
              <w:jc w:val="center"/>
            </w:pPr>
            <w:r>
              <w:drawing>
                <wp:inline>
                  <wp:extent cx="5334000" cy="3333750"/>
                  <wp:effectExtent b="0" l="0" r="0" t="0"/>
                  <wp:docPr descr="" title="" id="641" name="Picture"/>
                  <a:graphic>
                    <a:graphicData uri="http://schemas.openxmlformats.org/drawingml/2006/picture">
                      <pic:pic>
                        <pic:nvPicPr>
                          <pic:cNvPr descr="images/atlas/desktop-places.png" id="642" name="Picture"/>
                          <pic:cNvPicPr>
                            <a:picLocks noChangeArrowheads="1" noChangeAspect="1"/>
                          </pic:cNvPicPr>
                        </pic:nvPicPr>
                        <pic:blipFill>
                          <a:blip r:embed="rId64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B.6: The Places panel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27.1 composite) whose coverage note reads</w:t>
            </w:r>
            <w:r>
              <w:t xml:space="preserve"> </w:t>
            </w:r>
            <w:r>
              <w:t xml:space="preserve">“100.0% of this place is inside the US study area (3,600 of 3,600 cells)”</w:t>
            </w:r>
            <w:r>
              <w:t xml:space="preserve">; the drop zone above the list names the accepted formats, GeoPackage included. Captured on 0.10.62.</w:t>
            </w:r>
          </w:p>
          <w:bookmarkEnd w:id="64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7" w:name="fig-atlas-coords"/>
          <w:p>
            <w:pPr>
              <w:pStyle w:val="Compact"/>
              <w:jc w:val="center"/>
            </w:pPr>
            <w:r>
              <w:drawing>
                <wp:inline>
                  <wp:extent cx="5334000" cy="4686300"/>
                  <wp:effectExtent b="0" l="0" r="0" t="0"/>
                  <wp:docPr descr="" title="" id="645" name="Picture"/>
                  <a:graphic>
                    <a:graphicData uri="http://schemas.openxmlformats.org/drawingml/2006/picture">
                      <pic:pic>
                        <pic:nvPicPr>
                          <pic:cNvPr descr="images/atlas/desktop-coordinate-dialog.png" id="646" name="Picture"/>
                          <pic:cNvPicPr>
                            <a:picLocks noChangeArrowheads="1" noChangeAspect="1"/>
                          </pic:cNvPicPr>
                        </pic:nvPicPr>
                        <pic:blipFill>
                          <a:blip r:embed="rId644"/>
                          <a:stretch>
                            <a:fillRect/>
                          </a:stretch>
                        </pic:blipFill>
                        <pic:spPr bwMode="auto">
                          <a:xfrm>
                            <a:off x="0" y="0"/>
                            <a:ext cx="5334000" cy="46863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B.7: The</w:t>
            </w:r>
            <w:r>
              <w:t xml:space="preserve"> </w:t>
            </w:r>
            <w:r>
              <w:t xml:space="preserve">“Enter coordinates”</w:t>
            </w:r>
            <w:r>
              <w:t xml:space="preserve"> </w:t>
            </w:r>
            <w:r>
              <w:t xml:space="preserve">dialog, showing a refusal for input that matches none of the three accepted shapes.</w:t>
            </w:r>
          </w:p>
          <w:bookmarkEnd w:id="647"/>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B.8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footer holds</w:t>
      </w:r>
      <w:r>
        <w:t xml:space="preserve"> </w:t>
      </w:r>
      <w:r>
        <w:rPr>
          <w:b/>
          <w:bCs/>
        </w:rPr>
        <w:t xml:space="preserve">Share</w:t>
      </w:r>
      <w:r>
        <w:t xml:space="preserve">,</w:t>
      </w:r>
      <w:r>
        <w:t xml:space="preserve"> </w:t>
      </w:r>
      <w:r>
        <w:rPr>
          <w:b/>
          <w:bCs/>
        </w:rPr>
        <w:t xml:space="preserve">Download places</w:t>
      </w:r>
      <w:r>
        <w:t xml:space="preserve"> </w:t>
      </w:r>
      <w:r>
        <w:t xml:space="preserve">(GeoJSON) and</w:t>
      </w:r>
      <w:r>
        <w:t xml:space="preserve"> </w:t>
      </w:r>
      <w:r>
        <w:rPr>
          <w:b/>
          <w:bCs/>
        </w:rPr>
        <w:t xml:space="preserve">Report</w:t>
      </w:r>
      <w:r>
        <w:t xml:space="preserve">, each 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bar to</w:t>
      </w:r>
      <w:r>
        <w:t xml:space="preserve"> </w:t>
      </w:r>
      <w:r>
        <w:t xml:space="preserve">the clipboard — no dialog, no summary, no length check.</w:t>
      </w:r>
      <w:r>
        <w:t xml:space="preserve"> </w:t>
      </w:r>
      <w:r>
        <w:rPr>
          <w:b/>
          <w:bCs/>
        </w:rPr>
        <w:t xml:space="preserve">Places › Share</w:t>
      </w:r>
      <w:r>
        <w:t xml:space="preserve"> </w:t>
      </w:r>
      <w:r>
        <w:t xml:space="preserve">opens the real dialog</w:t>
      </w:r>
      <w:r>
        <w:t xml:space="preserve"> </w:t>
      </w:r>
      <w:r>
        <w:t xml:space="preserve">described next, and is the one to use whenever places are involved.</w:t>
      </w:r>
    </w:p>
    <w:bookmarkEnd w:id="648"/>
    <w:bookmarkStart w:id="659" w:name="sec-atlas-place-links"/>
    <w:p>
      <w:pPr>
        <w:pStyle w:val="Heading2"/>
      </w:pPr>
      <w:r>
        <w:t xml:space="preserve">A.7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61"/>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61"/>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61"/>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9" name="Picture"/>
                  <a:graphic>
                    <a:graphicData uri="http://schemas.openxmlformats.org/drawingml/2006/picture">
                      <pic:pic>
                        <pic:nvPicPr>
                          <pic:cNvPr descr="/Applications/quarto/share/formats/docx/note.png" id="6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Places › Share.</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B.9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654" w:name="fig-atlas-share"/>
          <w:p>
            <w:pPr>
              <w:pStyle w:val="Compact"/>
              <w:jc w:val="center"/>
            </w:pPr>
            <w:r>
              <w:drawing>
                <wp:inline>
                  <wp:extent cx="3378200" cy="2717800"/>
                  <wp:effectExtent b="0" l="0" r="0" t="0"/>
                  <wp:docPr descr="" title="" id="652" name="Picture"/>
                  <a:graphic>
                    <a:graphicData uri="http://schemas.openxmlformats.org/drawingml/2006/picture">
                      <pic:pic>
                        <pic:nvPicPr>
                          <pic:cNvPr descr="images/atlas/desktop-share-dialog.png" id="653" name="Picture"/>
                          <pic:cNvPicPr>
                            <a:picLocks noChangeArrowheads="1" noChangeAspect="1"/>
                          </pic:cNvPicPr>
                        </pic:nvPicPr>
                        <pic:blipFill>
                          <a:blip r:embed="rId651"/>
                          <a:stretch>
                            <a:fillRect/>
                          </a:stretch>
                        </pic:blipFill>
                        <pic:spPr bwMode="auto">
                          <a:xfrm>
                            <a:off x="0" y="0"/>
                            <a:ext cx="3378200" cy="2717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B.8: The Share dialog: what the link carries and its exact length.</w:t>
            </w:r>
          </w:p>
          <w:bookmarkEnd w:id="6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58" w:name="fig-atlas-share-ladder"/>
          <w:p>
            <w:pPr>
              <w:pStyle w:val="Compact"/>
              <w:jc w:val="center"/>
            </w:pPr>
            <w:r>
              <w:drawing>
                <wp:inline>
                  <wp:extent cx="5334000" cy="2514600"/>
                  <wp:effectExtent b="0" l="0" r="0" t="0"/>
                  <wp:docPr descr="" title="" id="656" name="Picture"/>
                  <a:graphic>
                    <a:graphicData uri="http://schemas.openxmlformats.org/drawingml/2006/picture">
                      <pic:pic>
                        <pic:nvPicPr>
                          <pic:cNvPr descr="images/atlas/desktop-share-ladder.png" id="657" name="Picture"/>
                          <pic:cNvPicPr>
                            <a:picLocks noChangeArrowheads="1" noChangeAspect="1"/>
                          </pic:cNvPicPr>
                        </pic:nvPicPr>
                        <pic:blipFill>
                          <a:blip r:embed="rId655"/>
                          <a:stretch>
                            <a:fillRect/>
                          </a:stretch>
                        </pic:blipFill>
                        <pic:spPr bwMode="auto">
                          <a:xfrm>
                            <a:off x="0" y="0"/>
                            <a:ext cx="5334000" cy="2514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B.9: The Share dialog’s simplification ladder for an oversized place: before/after vertex count, area change and cell count, with a</w:t>
            </w:r>
            <w:r>
              <w:t xml:space="preserve"> </w:t>
            </w:r>
            <w:r>
              <w:t xml:space="preserve">“Simplify and update the numbers”</w:t>
            </w:r>
            <w:r>
              <w:t xml:space="preserve"> </w:t>
            </w:r>
            <w:r>
              <w:t xml:space="preserve">button.</w:t>
            </w:r>
          </w:p>
          <w:bookmarkEnd w:id="658"/>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B.4</w:t>
        </w:r>
      </w:hyperlink>
      <w:r>
        <w:t xml:space="preserve">),</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 from its default.</w:t>
      </w:r>
    </w:p>
    <w:bookmarkEnd w:id="659"/>
    <w:bookmarkStart w:id="668" w:name="sec-atlas-flower-table"/>
    <w:p>
      <w:pPr>
        <w:pStyle w:val="Heading2"/>
      </w:pPr>
      <w:r>
        <w:t xml:space="preserve">A.8 Flower plot and Table</w:t>
      </w:r>
    </w:p>
    <w:p>
      <w:pPr>
        <w:pStyle w:val="FirstParagraph"/>
      </w:pPr>
      <w:r>
        <w:rPr>
          <w:b/>
          <w:bCs/>
        </w:rPr>
        <w:t xml:space="preserve">Flower plot</w:t>
      </w:r>
      <w:r>
        <w:t xml:space="preserve"> </w:t>
      </w:r>
      <w:r>
        <w:t xml:space="preserve">and</w:t>
      </w:r>
      <w:r>
        <w:t xml:space="preserve"> </w:t>
      </w:r>
      <w:r>
        <w:rPr>
          <w:b/>
          <w:bCs/>
        </w:rPr>
        <w:t xml:space="preserve">Table</w:t>
      </w:r>
      <w:r>
        <w:t xml:space="preserve"> </w:t>
      </w:r>
      <w:r>
        <w:t xml:space="preserve">are Scores-lens tools for a clicked cell or Program Area; in the</w:t>
      </w:r>
      <w:r>
        <w:t xml:space="preserve"> </w:t>
      </w:r>
      <w:r>
        <w:t xml:space="preserve">Species lens, Table is a placeholder, and a drawn Place’s flower and species table live in the</w:t>
      </w:r>
      <w:r>
        <w:t xml:space="preserve"> </w:t>
      </w:r>
      <w:r>
        <w:t xml:space="preserve">Places results panel instead (</w:t>
      </w:r>
      <w:hyperlink w:anchor="sec-atlas-places">
        <w:r>
          <w:rPr>
            <w:rStyle w:val="Hyperlink"/>
          </w:rPr>
          <w:t xml:space="preserve">Section B.6</w:t>
        </w:r>
      </w:hyperlink>
      <w:r>
        <w:t xml:space="preserve">), not here.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663" w:name="fig-atlas-flower"/>
          <w:p>
            <w:pPr>
              <w:pStyle w:val="Compact"/>
              <w:jc w:val="center"/>
            </w:pPr>
            <w:r>
              <w:drawing>
                <wp:inline>
                  <wp:extent cx="4826000" cy="9245600"/>
                  <wp:effectExtent b="0" l="0" r="0" t="0"/>
                  <wp:docPr descr="" title="" id="661" name="Picture"/>
                  <a:graphic>
                    <a:graphicData uri="http://schemas.openxmlformats.org/drawingml/2006/picture">
                      <pic:pic>
                        <pic:nvPicPr>
                          <pic:cNvPr descr="images/atlas/desktop-flower.png" id="662" name="Picture"/>
                          <pic:cNvPicPr>
                            <a:picLocks noChangeArrowheads="1" noChangeAspect="1"/>
                          </pic:cNvPicPr>
                        </pic:nvPicPr>
                        <pic:blipFill>
                          <a:blip r:embed="rId660"/>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B.10: The Flower plot for a clicked cell in the Gulf of America: one petal per score component, and the values table with a Mean row below it.</w:t>
            </w:r>
          </w:p>
          <w:bookmarkEnd w:id="663"/>
        </w:tc>
      </w:tr>
    </w:tbl>
    <w:p>
      <w:pPr>
        <w:pStyle w:val="BodyText"/>
      </w:pPr>
      <w:r>
        <w:rPr>
          <w:b/>
          <w:bCs/>
        </w:rPr>
        <w:t xml:space="preserve">Table</w:t>
      </w:r>
      <w:r>
        <w:t xml:space="preserve"> </w:t>
      </w:r>
      <w:r>
        <w:t xml:space="preserve">opens three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667" w:name="fig-atlas-table"/>
          <w:p>
            <w:pPr>
              <w:pStyle w:val="Compact"/>
              <w:jc w:val="center"/>
            </w:pPr>
            <w:r>
              <w:drawing>
                <wp:inline>
                  <wp:extent cx="4826000" cy="9245600"/>
                  <wp:effectExtent b="0" l="0" r="0" t="0"/>
                  <wp:docPr descr="" title="" id="665" name="Picture"/>
                  <a:graphic>
                    <a:graphicData uri="http://schemas.openxmlformats.org/drawingml/2006/picture">
                      <pic:pic>
                        <pic:nvPicPr>
                          <pic:cNvPr descr="images/atlas/desktop-table.png" id="666" name="Picture"/>
                          <pic:cNvPicPr>
                            <a:picLocks noChangeArrowheads="1" noChangeAspect="1"/>
                          </pic:cNvPicPr>
                        </pic:nvPicPr>
                        <pic:blipFill>
                          <a:blip r:embed="rId664"/>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B.11: The Table tool’s species tab.</w:t>
            </w:r>
          </w:p>
          <w:bookmarkEnd w:id="667"/>
        </w:tc>
      </w:tr>
    </w:tbl>
    <w:bookmarkEnd w:id="668"/>
    <w:bookmarkStart w:id="677" w:name="report"/>
    <w:p>
      <w:pPr>
        <w:pStyle w:val="Heading2"/>
      </w:pPr>
      <w:r>
        <w:t xml:space="preserve">A.9 Report</w:t>
      </w:r>
    </w:p>
    <w:p>
      <w:pPr>
        <w:pStyle w:val="FirstParagraph"/>
      </w:pPr>
      <w:r>
        <w:rPr>
          <w:b/>
          <w:bCs/>
        </w:rPr>
        <w:t xml:space="preserve">Report</w:t>
      </w:r>
      <w:r>
        <w:t xml:space="preserve"> </w:t>
      </w:r>
      <w:r>
        <w:t xml:space="preserve">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 it reports the</w:t>
      </w:r>
      <w:r>
        <w:t xml:space="preserve"> </w:t>
      </w:r>
      <w:r>
        <w:t xml:space="preserve">single selected Program Area; with neither, it shows a chooser. A row’s own</w:t>
      </w:r>
      <w:r>
        <w:t xml:space="preserve"> </w:t>
      </w:r>
      <w:r>
        <w:rPr>
          <w:b/>
          <w:bCs/>
        </w:rPr>
        <w:t xml:space="preserve">Open in report</w:t>
      </w:r>
      <w:r>
        <w:t xml:space="preserve"> </w:t>
      </w:r>
      <w:r>
        <w:t xml:space="preserve">reports just that row’s place. The document renders progressively as its data arrives:</w:t>
      </w:r>
    </w:p>
    <w:p>
      <w:pPr>
        <w:pStyle w:val="Compact"/>
        <w:numPr>
          <w:ilvl w:val="0"/>
          <w:numId w:val="1062"/>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62"/>
        </w:numPr>
      </w:pPr>
      <w:r>
        <w:t xml:space="preserve">an</w:t>
      </w:r>
      <w:r>
        <w:t xml:space="preserve"> </w:t>
      </w:r>
      <w:r>
        <w:rPr>
          <w:b/>
          <w:bCs/>
        </w:rPr>
        <w:t xml:space="preserve">introduction</w:t>
      </w:r>
      <w:r>
        <w:t xml:space="preserve">;</w:t>
      </w:r>
    </w:p>
    <w:p>
      <w:pPr>
        <w:pStyle w:val="Compact"/>
        <w:numPr>
          <w:ilvl w:val="0"/>
          <w:numId w:val="1062"/>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62"/>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62"/>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62"/>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62"/>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62"/>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62"/>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672" w:name="fig-atlas-report"/>
          <w:p>
            <w:pPr>
              <w:pStyle w:val="Compact"/>
              <w:jc w:val="center"/>
            </w:pPr>
            <w:r>
              <w:drawing>
                <wp:inline>
                  <wp:extent cx="5334000" cy="3333750"/>
                  <wp:effectExtent b="0" l="0" r="0" t="0"/>
                  <wp:docPr descr="" title="" id="670" name="Picture"/>
                  <a:graphic>
                    <a:graphicData uri="http://schemas.openxmlformats.org/drawingml/2006/picture">
                      <pic:pic>
                        <pic:nvPicPr>
                          <pic:cNvPr descr="images/atlas/desktop-report.png" id="671" name="Picture"/>
                          <pic:cNvPicPr>
                            <a:picLocks noChangeArrowheads="1" noChangeAspect="1"/>
                          </pic:cNvPicPr>
                        </pic:nvPicPr>
                        <pic:blipFill>
                          <a:blip r:embed="rId66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B.12: The report document’s header band and introduction: the MMA seal, a permalink and QR code, Parameters, and the start of the interactive map.</w:t>
            </w:r>
          </w:p>
          <w:bookmarkEnd w:id="6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6" w:name="fig-atlas-report-scores"/>
          <w:p>
            <w:pPr>
              <w:pStyle w:val="Compact"/>
              <w:jc w:val="center"/>
            </w:pPr>
            <w:r>
              <w:drawing>
                <wp:inline>
                  <wp:extent cx="5334000" cy="3333750"/>
                  <wp:effectExtent b="0" l="0" r="0" t="0"/>
                  <wp:docPr descr="" title="" id="674" name="Picture"/>
                  <a:graphic>
                    <a:graphicData uri="http://schemas.openxmlformats.org/drawingml/2006/picture">
                      <pic:pic>
                        <pic:nvPicPr>
                          <pic:cNvPr descr="images/atlas/desktop-report-scores.png" id="675" name="Picture"/>
                          <pic:cNvPicPr>
                            <a:picLocks noChangeArrowheads="1" noChangeAspect="1"/>
                          </pic:cNvPicPr>
                        </pic:nvPicPr>
                        <pic:blipFill>
                          <a:blip r:embed="rId67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B.13: The report’s Table of Scores and the start of the Summary of Species, for the same Program Area.</w:t>
            </w:r>
          </w:p>
          <w:bookmarkEnd w:id="676"/>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677"/>
    <w:bookmarkStart w:id="680" w:name="accessibility-and-performance-notes"/>
    <w:p>
      <w:pPr>
        <w:pStyle w:val="Heading2"/>
      </w:pPr>
      <w:r>
        <w:t xml:space="preserve">A.10 Accessibility and performance notes</w:t>
      </w:r>
    </w:p>
    <w:p>
      <w:pPr>
        <w:pStyle w:val="FirstParagraph"/>
      </w:pPr>
      <w:r>
        <w:t xml:space="preserve">The Atlas ships a written</w:t>
      </w:r>
      <w:r>
        <w:t xml:space="preserve"> </w:t>
      </w:r>
      <w:hyperlink r:id="rId678">
        <w:r>
          <w:rPr>
            <w:rStyle w:val="Hyperlink"/>
          </w:rPr>
          <w:t xml:space="preserve">WCAG 2.1 conformance note</w:t>
        </w:r>
      </w:hyperlink>
      <w:r>
        <w:t xml:space="preserve"> </w:t>
      </w:r>
      <w:r>
        <w:t xml:space="preserve">and a</w:t>
      </w:r>
      <w:r>
        <w:t xml:space="preserve"> </w:t>
      </w:r>
      <w:hyperlink r:id="rId679">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plus</w:t>
      </w:r>
      <w:r>
        <w:t xml:space="preserve"> </w:t>
      </w:r>
      <w:r>
        <w:rPr>
          <w:b/>
          <w:bCs/>
        </w:rPr>
        <w:t xml:space="preserve">~140 KB</w:t>
      </w:r>
      <w:r>
        <w:t xml:space="preserve"> </w:t>
      </w:r>
      <w:r>
        <w:t xml:space="preserve">for the MapLibre worker 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Both</w:t>
      </w:r>
      <w:r>
        <w:t xml:space="preserve"> </w:t>
      </w:r>
      <w:r>
        <w:t xml:space="preserve">budgets may have moved since; see the linked reports for current numbers.</w:t>
      </w:r>
    </w:p>
    <w:bookmarkEnd w:id="680"/>
    <w:bookmarkStart w:id="681" w:name="when-a-service-is-down"/>
    <w:p>
      <w:pPr>
        <w:pStyle w:val="Heading2"/>
      </w:pPr>
      <w:r>
        <w:t xml:space="preserve">A.11 When a service is down</w:t>
      </w:r>
    </w:p>
    <w:p>
      <w:pPr>
        <w:pStyle w:val="FirstParagraph"/>
      </w:pPr>
      <w:r>
        <w:t xml:space="preserve">Since 0.10.59,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top banner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2026-09-24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681"/>
    <w:bookmarkStart w:id="686" w:name="feedback-and-versions"/>
    <w:p>
      <w:pPr>
        <w:pStyle w:val="Heading2"/>
      </w:pPr>
      <w:r>
        <w:t xml:space="preserve">A.12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Shiny</w:t>
      </w:r>
      <w:r>
        <w:t xml:space="preserve"> </w:t>
      </w:r>
      <w:r>
        <w:rPr>
          <w:rStyle w:val="VerbatimChar"/>
        </w:rPr>
        <w:t xml:space="preserve">scores</w:t>
      </w:r>
      <w:r>
        <w:t xml:space="preserve">/</w:t>
      </w:r>
      <w:r>
        <w:rPr>
          <w:rStyle w:val="VerbatimChar"/>
        </w:rPr>
        <w:t xml:space="preserve">species</w:t>
      </w:r>
      <w:r>
        <w:t xml:space="preserve"> </w:t>
      </w:r>
      <w:r>
        <w:t xml:space="preserve">apps already write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offers</w:t>
      </w:r>
      <w:r>
        <w:t xml:space="preserve"> </w:t>
      </w:r>
      <w:r>
        <w:t xml:space="preserve">“Continue</w:t>
      </w:r>
      <w:r>
        <w:t xml:space="preserve"> </w:t>
      </w:r>
      <w:r>
        <w:t xml:space="preserve">on the preview host”</w:t>
      </w:r>
      <w:r>
        <w:t xml:space="preserve"> </w:t>
      </w:r>
      <w:r>
        <w:t xml:space="preserve">(from 0.10.59, that link goes straight to the Atlas there), an unrecognized</w:t>
      </w:r>
      <w:r>
        <w:t xml:space="preserve"> </w:t>
      </w:r>
      <w:r>
        <w:t xml:space="preserve">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685" w:name="fig-atlas-versions"/>
          <w:p>
            <w:pPr>
              <w:pStyle w:val="Compact"/>
              <w:jc w:val="center"/>
            </w:pPr>
            <w:r>
              <w:drawing>
                <wp:inline>
                  <wp:extent cx="5080000" cy="8153400"/>
                  <wp:effectExtent b="0" l="0" r="0" t="0"/>
                  <wp:docPr descr="" title="" id="683" name="Picture"/>
                  <a:graphic>
                    <a:graphicData uri="http://schemas.openxmlformats.org/drawingml/2006/picture">
                      <pic:pic>
                        <pic:nvPicPr>
                          <pic:cNvPr descr="images/atlas/desktop-version-picker.png" id="684" name="Picture"/>
                          <pic:cNvPicPr>
                            <a:picLocks noChangeArrowheads="1" noChangeAspect="1"/>
                          </pic:cNvPicPr>
                        </pic:nvPicPr>
                        <pic:blipFill>
                          <a:blip r:embed="rId682"/>
                          <a:stretch>
                            <a:fillRect/>
                          </a:stretch>
                        </pic:blipFill>
                        <pic:spPr bwMode="auto">
                          <a:xfrm>
                            <a:off x="0" y="0"/>
                            <a:ext cx="5080000" cy="8153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B.14: The release picker.</w:t>
            </w:r>
          </w:p>
          <w:bookmarkEnd w:id="685"/>
        </w:tc>
      </w:tr>
    </w:tbl>
    <w:bookmarkEnd w:id="686"/>
    <w:bookmarkStart w:id="687" w:name="known-limitations-as-of-0.10.59"/>
    <w:p>
      <w:pPr>
        <w:pStyle w:val="Heading2"/>
      </w:pPr>
      <w:r>
        <w:t xml:space="preserve">A.13 Known limitations (as of 0.10.59)</w:t>
      </w:r>
    </w:p>
    <w:p>
      <w:pPr>
        <w:pStyle w:val="Compact"/>
        <w:numPr>
          <w:ilvl w:val="0"/>
          <w:numId w:val="1063"/>
        </w:numPr>
      </w:pPr>
      <w:r>
        <w:t xml:space="preserve">For every release before v8 (v2–v7b), every input pill in the Species card still shows struck</w:t>
      </w:r>
      <w:r>
        <w:t xml:space="preserve"> </w:t>
      </w:r>
      <w:r>
        <w:t xml:space="preserve">through, the leatherback’s six included (</w:t>
      </w:r>
      <w:hyperlink w:anchor="fig-atlas-species">
        <w:r>
          <w:rPr>
            <w:rStyle w:val="Hyperlink"/>
          </w:rPr>
          <w:t xml:space="preserve">Figure B.5</w:t>
        </w:r>
      </w:hyperlink>
      <w:r>
        <w:t xml:space="preserve">) — as of this writing, the app</w:t>
      </w:r>
      <w:r>
        <w:t xml:space="preserve"> </w:t>
      </w:r>
      <w:r>
        <w:t xml:space="preserve">bundles that would resolve the model-asset registry lookup (see Species lens above) for 10,247 of</w:t>
      </w:r>
      <w:r>
        <w:t xml:space="preserve"> </w:t>
      </w:r>
      <w:r>
        <w:t xml:space="preserve">v7’s 12,120 inputs have not yet been republished; once they land, only 1,873 of its 2,619</w:t>
      </w:r>
      <w:r>
        <w:t xml:space="preserve"> </w:t>
      </w:r>
      <w:r>
        <w:rPr>
          <w:rStyle w:val="VerbatimChar"/>
        </w:rPr>
        <w:t xml:space="preserve">rng_iucn</w:t>
      </w:r>
      <w:r>
        <w:t xml:space="preserve"> </w:t>
      </w:r>
      <w:r>
        <w:t xml:space="preserve">range inputs, which have no model-asset registry row (struck through in the Species</w:t>
      </w:r>
      <w:r>
        <w:t xml:space="preserve"> </w:t>
      </w:r>
      <w:r>
        <w:t xml:space="preserve">Shiny app too), will still show this way.</w:t>
      </w:r>
    </w:p>
    <w:p>
      <w:pPr>
        <w:pStyle w:val="Compact"/>
        <w:numPr>
          <w:ilvl w:val="0"/>
          <w:numId w:val="1063"/>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63"/>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63"/>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63"/>
        </w:numPr>
      </w:pPr>
      <w:r>
        <w:t xml:space="preserve">The Atlas’s report is a print-first document built and exported entirely client-side</w:t>
      </w:r>
      <w:r>
        <w:t xml:space="preserve"> </w:t>
      </w:r>
      <w:r>
        <w:t xml:space="preserve">(HTML/ZIP/DOCX from the same source), not the Shiny apps’ own report.</w:t>
      </w:r>
    </w:p>
    <w:bookmarkEnd w:id="687"/>
    <w:bookmarkStart w:id="688" w:name="generating-screenshots"/>
    <w:p>
      <w:pPr>
        <w:pStyle w:val="Heading2"/>
      </w:pPr>
      <w:r>
        <w:t xml:space="preserve">A.14 Generating Screenshots</w:t>
      </w:r>
    </w:p>
    <w:p>
      <w:pPr>
        <w:pStyle w:val="FirstParagraph"/>
      </w:pPr>
      <w:r>
        <w:t xml:space="preserve">The atlas repository’s own</w:t>
      </w:r>
      <w:r>
        <w:t xml:space="preserve"> </w:t>
      </w:r>
      <w:r>
        <w:rPr>
          <w:rStyle w:val="VerbatimChar"/>
        </w:rPr>
        <w:t xml:space="preserve">scripts/eyes-shots.mjs</w:t>
      </w:r>
      <w:r>
        <w:t xml:space="preserve"> </w:t>
      </w:r>
      <w:r>
        <w:t xml:space="preserve">captures the standard states most of this</w:t>
      </w:r>
      <w:r>
        <w:t xml:space="preserve"> </w:t>
      </w:r>
      <w:r>
        <w:t xml:space="preserve">chapter’s figures come from (18 numbered shots per viewport, about 11 states, phone 390×844 at 2x</w:t>
      </w:r>
      <w:r>
        <w:t xml:space="preserve"> </w:t>
      </w:r>
      <w:r>
        <w:t xml:space="preserve">pixel density and desktop 1280×800, dark theme), run against a live or locally built app:</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ExtensionTok"/>
        </w:rPr>
        <w:t xml:space="preserve">node</w:t>
      </w:r>
      <w:r>
        <w:rPr>
          <w:rStyle w:val="NormalTok"/>
        </w:rPr>
        <w:t xml:space="preserve"> scripts/eyes-shots.mjs</w:t>
      </w:r>
    </w:p>
    <w:p>
      <w:pPr>
        <w:pStyle w:val="FirstParagraph"/>
      </w:pPr>
      <w:r>
        <w:t xml:space="preserve">A few figures here (the Share dialog and its simplification ladder, the Coordinate dialog’s</w:t>
      </w:r>
      <w:r>
        <w:t xml:space="preserve"> </w:t>
      </w:r>
      <w:r>
        <w:t xml:space="preserve">refusal state, the version picker, and one Report scroll position) are not among that script’s own</w:t>
      </w:r>
      <w:r>
        <w:t xml:space="preserve"> </w:t>
      </w:r>
      <w:r>
        <w:t xml:space="preserve">states; they were captured by hand from the same live build, driving the app to the specific state</w:t>
      </w:r>
      <w:r>
        <w:t xml:space="preserve"> </w:t>
      </w:r>
      <w:r>
        <w:t xml:space="preserve">each caption describes.</w:t>
      </w:r>
    </w:p>
    <w:bookmarkEnd w:id="688"/>
    <w:bookmarkStart w:id="689" w:name="source-code"/>
    <w:p>
      <w:pPr>
        <w:pStyle w:val="Heading2"/>
      </w:pPr>
      <w:r>
        <w:t xml:space="preserve">A.15 Source Code</w:t>
      </w:r>
    </w:p>
    <w:p>
      <w:pPr>
        <w:pStyle w:val="FirstParagraph"/>
      </w:pPr>
      <w:hyperlink r:id="rId334">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w:t>
      </w:r>
      <w:r>
        <w:t xml:space="preserve"> </w:t>
      </w:r>
      <w:hyperlink r:id="rId613">
        <w:r>
          <w:rPr>
            <w:rStyle w:val="Hyperlink"/>
          </w:rPr>
          <w:t xml:space="preserve">Scores</w:t>
        </w:r>
      </w:hyperlink>
      <w:r>
        <w:t xml:space="preserve"> </w:t>
      </w:r>
      <w:r>
        <w:t xml:space="preserve">and</w:t>
      </w:r>
      <w:r>
        <w:t xml:space="preserve"> </w:t>
      </w:r>
      <w:hyperlink r:id="rId614">
        <w:r>
          <w:rPr>
            <w:rStyle w:val="Hyperlink"/>
          </w:rPr>
          <w:t xml:space="preserve">Species</w:t>
        </w:r>
      </w:hyperlink>
      <w:r>
        <w:t xml:space="preserve"> </w:t>
      </w:r>
      <w:r>
        <w:t xml:space="preserve">apps follow.</w:t>
      </w:r>
    </w:p>
    <w:bookmarkEnd w:id="689"/>
    <w:bookmarkEnd w:id="690"/>
    <w:bookmarkStart w:id="691" w:name="X4eaadc67ee6ed443c6bf2bdc119d4ee4ef457d6"/>
    <w:p>
      <w:pPr>
        <w:pStyle w:val="Heading1"/>
      </w:pPr>
      <w:r>
        <w:t xml:space="preserve">Appendix B — Scores — mapper of aggregate sensitivity scores</w:t>
      </w:r>
    </w:p>
    <w:bookmarkEnd w:id="691"/>
    <w:bookmarkStart w:id="710" w:name="sec-app-scores"/>
    <w:p>
      <w:pPr>
        <w:pStyle w:val="Heading1"/>
      </w:pPr>
      <w:r>
        <w:t xml:space="preserve">Appendix B — Scores</w:t>
      </w:r>
    </w:p>
    <w:bookmarkStart w:id="700" w:name="overview-2"/>
    <w:p>
      <w:pPr>
        <w:pStyle w:val="Heading2"/>
      </w:pPr>
      <w:r>
        <w:t xml:space="preserve">B.1 Overview</w:t>
      </w:r>
    </w:p>
    <w:p>
      <w:pPr>
        <w:pStyle w:val="FirstParagraph"/>
      </w:pPr>
      <w:r>
        <w:t xml:space="preserve">The</w:t>
      </w:r>
      <w:r>
        <w:t xml:space="preserve"> </w:t>
      </w:r>
      <w:r>
        <w:rPr>
          <w:b/>
          <w:bCs/>
        </w:rPr>
        <w:t xml:space="preserve">Scores</w:t>
      </w:r>
      <w:r>
        <w:t xml:space="preserve"> </w:t>
      </w:r>
      <w:r>
        <w:t xml:space="preserve">application (</w:t>
      </w:r>
      <w:hyperlink r:id="rId21">
        <w:r>
          <w:rPr>
            <w:rStyle w:val="Hyperlink"/>
          </w:rPr>
          <w:t xml:space="preserve">app.marinesensitivity.org/v7/scores/</w:t>
        </w:r>
      </w:hyperlink>
      <w:r>
        <w:t xml:space="preserve">) is the primary interactive tool for exploring composite marine sensitivity scores. It renders</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shows v3 — defaulting to the promoted release when none is given; an older</w:t>
      </w:r>
      <w:r>
        <w:t xml:space="preserve"> </w:t>
      </w:r>
      <w:r>
        <w:rPr>
          <w:rStyle w:val="VerbatimChar"/>
        </w:rPr>
        <w:t xml:space="preserve">?ver=v3</w:t>
      </w:r>
      <w:r>
        <w:t xml:space="preserve"> </w:t>
      </w:r>
      <w:r>
        <w:t xml:space="preserve">deep link still resolves, 301’d to the equivalent path. It enables users to visualize extinction risk weighted species presence at multiple spatial resolutions, with integrated flower plot and treemap summaries.</w:t>
      </w:r>
    </w:p>
    <w:p>
      <w:pPr>
        <w:pStyle w:val="BodyText"/>
      </w:pPr>
      <w:hyperlink w:anchor="fig-scores-map">
        <w:r>
          <w:rPr>
            <w:rStyle w:val="Hyperlink"/>
          </w:rPr>
          <w:t xml:space="preserve">Figure D.1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95" w:name="fig-scores-map"/>
          <w:p>
            <w:pPr>
              <w:pStyle w:val="Compact"/>
              <w:jc w:val="center"/>
            </w:pPr>
            <w:r>
              <w:drawing>
                <wp:inline>
                  <wp:extent cx="5334000" cy="3018971"/>
                  <wp:effectExtent b="0" l="0" r="0" t="0"/>
                  <wp:docPr descr="" title="" id="693" name="Picture"/>
                  <a:graphic>
                    <a:graphicData uri="http://schemas.openxmlformats.org/drawingml/2006/picture">
                      <pic:pic>
                        <pic:nvPicPr>
                          <pic:cNvPr descr="figures/apps/scores-map.png" id="694" name="Picture"/>
                          <pic:cNvPicPr>
                            <a:picLocks noChangeArrowheads="1" noChangeAspect="1"/>
                          </pic:cNvPicPr>
                        </pic:nvPicPr>
                        <pic:blipFill>
                          <a:blip r:embed="rId692"/>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95"/>
        </w:tc>
      </w:tr>
    </w:tbl>
    <w:p>
      <w:pPr>
        <w:pStyle w:val="BodyText"/>
      </w:pPr>
      <w:hyperlink w:anchor="fig-scores-flower">
        <w:r>
          <w:rPr>
            <w:rStyle w:val="Hyperlink"/>
          </w:rPr>
          <w:t xml:space="preserve">Figure D.2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699" w:name="fig-scores-flower"/>
          <w:p>
            <w:pPr>
              <w:pStyle w:val="Compact"/>
              <w:jc w:val="center"/>
            </w:pPr>
            <w:r>
              <w:drawing>
                <wp:inline>
                  <wp:extent cx="5334000" cy="3018971"/>
                  <wp:effectExtent b="0" l="0" r="0" t="0"/>
                  <wp:docPr descr="" title="" id="697" name="Picture"/>
                  <a:graphic>
                    <a:graphicData uri="http://schemas.openxmlformats.org/drawingml/2006/picture">
                      <pic:pic>
                        <pic:nvPicPr>
                          <pic:cNvPr descr="figures/apps/scores-flower.png" id="698" name="Picture"/>
                          <pic:cNvPicPr>
                            <a:picLocks noChangeArrowheads="1" noChangeAspect="1"/>
                          </pic:cNvPicPr>
                        </pic:nvPicPr>
                        <pic:blipFill>
                          <a:blip r:embed="rId696"/>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D.2: The Scores application showing the flower plot panel for Southern California. Petal length represents each category’s rescaled sensitivity score; petal width represents its weight. The center value (29) is the weighted mean across all categories.</w:t>
            </w:r>
          </w:p>
          <w:bookmarkEnd w:id="699"/>
        </w:tc>
      </w:tr>
    </w:tbl>
    <w:bookmarkEnd w:id="700"/>
    <w:bookmarkStart w:id="706" w:name="features"/>
    <w:p>
      <w:pPr>
        <w:pStyle w:val="Heading2"/>
      </w:pPr>
      <w:r>
        <w:t xml:space="preserve">B.2 Features</w:t>
      </w:r>
    </w:p>
    <w:bookmarkStart w:id="701" w:name="map-display"/>
    <w:p>
      <w:pPr>
        <w:pStyle w:val="Heading3"/>
      </w:pPr>
      <w:r>
        <w:t xml:space="preserve">B.2.1 Map Display</w:t>
      </w:r>
    </w:p>
    <w:p>
      <w:pPr>
        <w:pStyle w:val="Compact"/>
        <w:numPr>
          <w:ilvl w:val="0"/>
          <w:numId w:val="1064"/>
        </w:numPr>
      </w:pPr>
      <w:r>
        <w:rPr>
          <w:b/>
          <w:bCs/>
        </w:rPr>
        <w:t xml:space="preserve">Cell-level view</w:t>
      </w:r>
      <w:r>
        <w:t xml:space="preserve">: 0.05° grid cells colored by sensitivity score for the selected metric</w:t>
      </w:r>
    </w:p>
    <w:p>
      <w:pPr>
        <w:pStyle w:val="Compact"/>
        <w:numPr>
          <w:ilvl w:val="0"/>
          <w:numId w:val="1064"/>
        </w:numPr>
      </w:pPr>
      <w:r>
        <w:rPr>
          <w:b/>
          <w:bCs/>
        </w:rPr>
        <w:t xml:space="preserve">Program area view</w:t>
      </w:r>
      <w:r>
        <w:t xml:space="preserve">: aggregated scores by BOEM Program Area, with boundaries overlaid</w:t>
      </w:r>
    </w:p>
    <w:p>
      <w:pPr>
        <w:pStyle w:val="Compact"/>
        <w:numPr>
          <w:ilvl w:val="0"/>
          <w:numId w:val="1064"/>
        </w:numPr>
      </w:pPr>
      <w:r>
        <w:rPr>
          <w:b/>
          <w:bCs/>
        </w:rPr>
        <w:t xml:space="preserve">Base maps</w:t>
      </w:r>
      <w:r>
        <w:t xml:space="preserve">: multiple MapBox base layers (satellite, streets, light, dark)</w:t>
      </w:r>
    </w:p>
    <w:p>
      <w:pPr>
        <w:pStyle w:val="Compact"/>
        <w:numPr>
          <w:ilvl w:val="0"/>
          <w:numId w:val="1064"/>
        </w:numPr>
      </w:pPr>
      <w:r>
        <w:rPr>
          <w:b/>
          <w:bCs/>
        </w:rPr>
        <w:t xml:space="preserve">Study area selection</w:t>
      </w:r>
      <w:r>
        <w:t xml:space="preserve">: click a program area to focus the view and update summary panels</w:t>
      </w:r>
    </w:p>
    <w:bookmarkEnd w:id="701"/>
    <w:bookmarkStart w:id="702" w:name="sensitivity-metrics"/>
    <w:p>
      <w:pPr>
        <w:pStyle w:val="Heading3"/>
      </w:pPr>
      <w:r>
        <w:t xml:space="preserve">B.2.2 Sensitivity Metrics</w:t>
      </w:r>
    </w:p>
    <w:p>
      <w:pPr>
        <w:pStyle w:val="FirstParagraph"/>
      </w:pPr>
      <w:r>
        <w:t xml:space="preserve">The map can display any of the following layers:</w:t>
      </w:r>
    </w:p>
    <w:p>
      <w:pPr>
        <w:pStyle w:val="Compact"/>
        <w:numPr>
          <w:ilvl w:val="0"/>
          <w:numId w:val="1065"/>
        </w:numPr>
      </w:pPr>
      <w:r>
        <w:t xml:space="preserve">Composite extinction risk (weighted sum across all species categories)</w:t>
      </w:r>
    </w:p>
    <w:p>
      <w:pPr>
        <w:pStyle w:val="Compact"/>
        <w:numPr>
          <w:ilvl w:val="0"/>
          <w:numId w:val="1065"/>
        </w:numPr>
      </w:pPr>
      <w:r>
        <w:t xml:space="preserve">Individual category scores, one per scored species category in the release being viewed</w:t>
      </w:r>
    </w:p>
    <w:p>
      <w:pPr>
        <w:pStyle w:val="Compact"/>
        <w:numPr>
          <w:ilvl w:val="0"/>
          <w:numId w:val="1065"/>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702"/>
    <w:bookmarkStart w:id="703" w:name="flower-plot-1"/>
    <w:p>
      <w:pPr>
        <w:pStyle w:val="Heading3"/>
      </w:pPr>
      <w:r>
        <w:t xml:space="preserve">B.2.3 Flower Plot</w:t>
      </w:r>
    </w:p>
    <w:p>
      <w:pPr>
        <w:pStyle w:val="FirstParagraph"/>
      </w:pPr>
      <w:r>
        <w:t xml:space="preserve">Selecting a program area displays a flower plot summarizing the sensitivity profile:</w:t>
      </w:r>
    </w:p>
    <w:p>
      <w:pPr>
        <w:pStyle w:val="Compact"/>
        <w:numPr>
          <w:ilvl w:val="0"/>
          <w:numId w:val="1066"/>
        </w:numPr>
      </w:pPr>
      <w:r>
        <w:t xml:space="preserve">Each petal represents a species category</w:t>
      </w:r>
    </w:p>
    <w:p>
      <w:pPr>
        <w:pStyle w:val="Compact"/>
        <w:numPr>
          <w:ilvl w:val="0"/>
          <w:numId w:val="1066"/>
        </w:numPr>
      </w:pPr>
      <w:r>
        <w:t xml:space="preserve">Petal length = rescaled sensitivity score (0–100)</w:t>
      </w:r>
    </w:p>
    <w:p>
      <w:pPr>
        <w:pStyle w:val="Compact"/>
        <w:numPr>
          <w:ilvl w:val="0"/>
          <w:numId w:val="1066"/>
        </w:numPr>
      </w:pPr>
      <w:r>
        <w:t xml:space="preserve">Petal width = category weight</w:t>
      </w:r>
    </w:p>
    <w:p>
      <w:pPr>
        <w:pStyle w:val="Compact"/>
        <w:numPr>
          <w:ilvl w:val="0"/>
          <w:numId w:val="1066"/>
        </w:numPr>
      </w:pPr>
      <w:r>
        <w:t xml:space="preserve">Center value = weighted mean across categories</w:t>
      </w:r>
    </w:p>
    <w:bookmarkEnd w:id="703"/>
    <w:bookmarkStart w:id="704" w:name="species-table"/>
    <w:p>
      <w:pPr>
        <w:pStyle w:val="Heading3"/>
      </w:pPr>
      <w:r>
        <w:t xml:space="preserve">B.2.4 Species Table</w:t>
      </w:r>
    </w:p>
    <w:p>
      <w:pPr>
        <w:pStyle w:val="FirstParagraph"/>
      </w:pPr>
      <w:r>
        <w:t xml:space="preserve">A sortable table of all valid species present in the selected area, showing:</w:t>
      </w:r>
    </w:p>
    <w:p>
      <w:pPr>
        <w:pStyle w:val="Compact"/>
        <w:numPr>
          <w:ilvl w:val="0"/>
          <w:numId w:val="1067"/>
        </w:numPr>
      </w:pPr>
      <w:r>
        <w:t xml:space="preserve">Scientific and common name</w:t>
      </w:r>
    </w:p>
    <w:p>
      <w:pPr>
        <w:pStyle w:val="Compact"/>
        <w:numPr>
          <w:ilvl w:val="0"/>
          <w:numId w:val="1067"/>
        </w:numPr>
      </w:pPr>
      <w:r>
        <w:t xml:space="preserve">Species category</w:t>
      </w:r>
    </w:p>
    <w:p>
      <w:pPr>
        <w:pStyle w:val="Compact"/>
        <w:numPr>
          <w:ilvl w:val="0"/>
          <w:numId w:val="1067"/>
        </w:numPr>
      </w:pPr>
      <w:r>
        <w:t xml:space="preserve">ESA listing, IUCN Red List status</w:t>
      </w:r>
    </w:p>
    <w:p>
      <w:pPr>
        <w:pStyle w:val="Compact"/>
        <w:numPr>
          <w:ilvl w:val="0"/>
          <w:numId w:val="1067"/>
        </w:numPr>
      </w:pPr>
      <w:r>
        <w:t xml:space="preserve">MMPA/MBTA protection flags</w:t>
      </w:r>
    </w:p>
    <w:p>
      <w:pPr>
        <w:pStyle w:val="Compact"/>
        <w:numPr>
          <w:ilvl w:val="0"/>
          <w:numId w:val="1067"/>
        </w:numPr>
      </w:pPr>
      <w:r>
        <w:t xml:space="preserve">Extinction risk score</w:t>
      </w:r>
    </w:p>
    <w:bookmarkEnd w:id="704"/>
    <w:bookmarkStart w:id="705" w:name="data-export"/>
    <w:p>
      <w:pPr>
        <w:pStyle w:val="Heading3"/>
      </w:pPr>
      <w:r>
        <w:t xml:space="preserve">B.2.5 Data Export</w:t>
      </w:r>
    </w:p>
    <w:p>
      <w:pPr>
        <w:pStyle w:val="FirstParagraph"/>
      </w:pPr>
      <w:r>
        <w:t xml:space="preserve">Users can download CSV files of scores and species lists for the selected program area or custom area of interest.</w:t>
      </w:r>
    </w:p>
    <w:bookmarkEnd w:id="705"/>
    <w:bookmarkEnd w:id="706"/>
    <w:bookmarkStart w:id="707" w:name="generating-screenshots-1"/>
    <w:p>
      <w:pPr>
        <w:pStyle w:val="Heading2"/>
      </w:pPr>
      <w:r>
        <w:t xml:space="preserve">B.3 Generating Screenshots</w:t>
      </w:r>
    </w:p>
    <w:bookmarkEnd w:id="707"/>
    <w:bookmarkStart w:id="709" w:name="source-code-1"/>
    <w:p>
      <w:pPr>
        <w:pStyle w:val="Heading2"/>
      </w:pPr>
      <w:r>
        <w:t xml:space="preserve">B.4 Source Code</w:t>
      </w:r>
    </w:p>
    <w:p>
      <w:pPr>
        <w:pStyle w:val="FirstParagraph"/>
      </w:pPr>
      <w:hyperlink r:id="rId708">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are retired and their URLs 301 to the equivalent</w:t>
      </w:r>
      <w:r>
        <w:t xml:space="preserve"> </w:t>
      </w:r>
      <w:r>
        <w:rPr>
          <w:rStyle w:val="VerbatimChar"/>
        </w:rPr>
        <w:t xml:space="preserve">/v{n}/scores/</w:t>
      </w:r>
      <w:r>
        <w:t xml:space="preserve"> </w:t>
      </w:r>
      <w:r>
        <w:t xml:space="preserve">path (an older</w:t>
      </w:r>
      <w:r>
        <w:t xml:space="preserve"> </w:t>
      </w:r>
      <w:r>
        <w:rPr>
          <w:rStyle w:val="VerbatimChar"/>
        </w:rPr>
        <w:t xml:space="preserve">?ver=</w:t>
      </w:r>
      <w:r>
        <w:t xml:space="preserve"> </w:t>
      </w:r>
      <w:r>
        <w:t xml:space="preserve">deep link 301s the same way).</w:t>
      </w:r>
    </w:p>
    <w:bookmarkEnd w:id="709"/>
    <w:bookmarkEnd w:id="710"/>
    <w:bookmarkStart w:id="711" w:name="Xfe80caef9827b01f03a068b47e47bed21825025"/>
    <w:p>
      <w:pPr>
        <w:pStyle w:val="Heading1"/>
      </w:pPr>
      <w:r>
        <w:t xml:space="preserve">Appendix C — Species — mapper of individual species distributions</w:t>
      </w:r>
    </w:p>
    <w:bookmarkEnd w:id="711"/>
    <w:bookmarkStart w:id="725" w:name="sec-app-species"/>
    <w:p>
      <w:pPr>
        <w:pStyle w:val="Heading1"/>
      </w:pPr>
      <w:r>
        <w:t xml:space="preserve">Appendix C — Species</w:t>
      </w:r>
    </w:p>
    <w:bookmarkStart w:id="716" w:name="overview-3"/>
    <w:p>
      <w:pPr>
        <w:pStyle w:val="Heading2"/>
      </w:pPr>
      <w:r>
        <w:t xml:space="preserve">C.1 Overview</w:t>
      </w:r>
    </w:p>
    <w:p>
      <w:pPr>
        <w:pStyle w:val="FirstParagraph"/>
      </w:pPr>
      <w:r>
        <w:t xml:space="preserve">The</w:t>
      </w:r>
      <w:r>
        <w:t xml:space="preserve"> </w:t>
      </w:r>
      <w:r>
        <w:rPr>
          <w:b/>
          <w:bCs/>
        </w:rPr>
        <w:t xml:space="preserve">Species</w:t>
      </w:r>
      <w:r>
        <w:t xml:space="preserve"> </w:t>
      </w:r>
      <w:r>
        <w:t xml:space="preserve">application (</w:t>
      </w:r>
      <w:hyperlink r:id="rId22">
        <w:r>
          <w:rPr>
            <w:rStyle w:val="Hyperlink"/>
          </w:rPr>
          <w:t xml:space="preserve">app.marinesensitivity.org/v7/species/</w:t>
        </w:r>
      </w:hyperlink>
      <w:r>
        <w:t xml:space="preserve">) enables exploration of individual species distribution models. Like the Scores app it renders</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shows v3; an older</w:t>
      </w:r>
      <w:r>
        <w:t xml:space="preserve"> </w:t>
      </w:r>
      <w:r>
        <w:rPr>
          <w:rStyle w:val="VerbatimChar"/>
        </w:rPr>
        <w:t xml:space="preserve">?ver=v3</w:t>
      </w:r>
      <w:r>
        <w:t xml:space="preserve"> </w:t>
      </w:r>
      <w:r>
        <w:t xml:space="preserve">deep link still resolves, 301’d to the equivalent path. Users can view merged and source-level models, compare masked vs. unmasked distributions, and access detailed species regulatory status information.</w:t>
      </w:r>
    </w:p>
    <w:p>
      <w:pPr>
        <w:pStyle w:val="BodyText"/>
      </w:pPr>
      <w:hyperlink w:anchor="fig-species-blue-whale">
        <w:r>
          <w:rPr>
            <w:rStyle w:val="Hyperlink"/>
          </w:rPr>
          <w:t xml:space="preserve">Figure F.1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715" w:name="fig-species-blue-whale"/>
          <w:p>
            <w:pPr>
              <w:pStyle w:val="Compact"/>
              <w:jc w:val="center"/>
            </w:pPr>
            <w:r>
              <w:drawing>
                <wp:inline>
                  <wp:extent cx="5334000" cy="3018971"/>
                  <wp:effectExtent b="0" l="0" r="0" t="0"/>
                  <wp:docPr descr="" title="" id="713" name="Picture"/>
                  <a:graphic>
                    <a:graphicData uri="http://schemas.openxmlformats.org/drawingml/2006/picture">
                      <pic:pic>
                        <pic:nvPicPr>
                          <pic:cNvPr descr="figures/apps/species-blue-whale.png" id="714" name="Picture"/>
                          <pic:cNvPicPr>
                            <a:picLocks noChangeArrowheads="1" noChangeAspect="1"/>
                          </pic:cNvPicPr>
                        </pic:nvPicPr>
                        <pic:blipFill>
                          <a:blip r:embed="rId712"/>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F.1: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715"/>
        </w:tc>
      </w:tr>
    </w:tbl>
    <w:bookmarkEnd w:id="716"/>
    <w:bookmarkStart w:id="721" w:name="features-1"/>
    <w:p>
      <w:pPr>
        <w:pStyle w:val="Heading2"/>
      </w:pPr>
      <w:r>
        <w:t xml:space="preserve">C.2 Features</w:t>
      </w:r>
    </w:p>
    <w:bookmarkStart w:id="717" w:name="species-selection"/>
    <w:p>
      <w:pPr>
        <w:pStyle w:val="Heading3"/>
      </w:pPr>
      <w:r>
        <w:t xml:space="preserve">C.2.1 Species Selection</w:t>
      </w:r>
    </w:p>
    <w:p>
      <w:pPr>
        <w:pStyle w:val="Compact"/>
        <w:numPr>
          <w:ilvl w:val="0"/>
          <w:numId w:val="1068"/>
        </w:numPr>
      </w:pPr>
      <w:r>
        <w:rPr>
          <w:b/>
          <w:bCs/>
        </w:rPr>
        <w:t xml:space="preserve">Search</w:t>
      </w:r>
      <w:r>
        <w:t xml:space="preserve">: find species by common name or scientific name</w:t>
      </w:r>
    </w:p>
    <w:p>
      <w:pPr>
        <w:pStyle w:val="Compact"/>
        <w:numPr>
          <w:ilvl w:val="0"/>
          <w:numId w:val="1068"/>
        </w:numPr>
      </w:pPr>
      <w:r>
        <w:rPr>
          <w:b/>
          <w:bCs/>
        </w:rPr>
        <w:t xml:space="preserve">Category filter</w:t>
      </w:r>
      <w:r>
        <w:t xml:space="preserve">: narrow results by species category, as defined in the release being viewed</w:t>
      </w:r>
    </w:p>
    <w:p>
      <w:pPr>
        <w:pStyle w:val="Compact"/>
        <w:numPr>
          <w:ilvl w:val="0"/>
          <w:numId w:val="1068"/>
        </w:numPr>
      </w:pPr>
      <w:r>
        <w:rPr>
          <w:b/>
          <w:bCs/>
        </w:rPr>
        <w:t xml:space="preserve">Alphabetical browsing</w:t>
      </w:r>
      <w:r>
        <w:t xml:space="preserve">: scroll through species lists within each category</w:t>
      </w:r>
    </w:p>
    <w:bookmarkEnd w:id="717"/>
    <w:bookmarkStart w:id="718" w:name="model-display"/>
    <w:p>
      <w:pPr>
        <w:pStyle w:val="Heading3"/>
      </w:pPr>
      <w:r>
        <w:t xml:space="preserve">C.2.2 Model Display</w:t>
      </w:r>
    </w:p>
    <w:p>
      <w:pPr>
        <w:pStyle w:val="Compact"/>
        <w:numPr>
          <w:ilvl w:val="0"/>
          <w:numId w:val="1069"/>
        </w:numPr>
      </w:pPr>
      <w:r>
        <w:rPr>
          <w:b/>
          <w:bCs/>
        </w:rPr>
        <w:t xml:space="preserve">Merged model</w:t>
      </w:r>
      <w:r>
        <w:t xml:space="preserve">: the final merged distribution showing MAX values across all source datasets, with masking and spatial floors applied</w:t>
      </w:r>
    </w:p>
    <w:p>
      <w:pPr>
        <w:pStyle w:val="Compact"/>
        <w:numPr>
          <w:ilvl w:val="0"/>
          <w:numId w:val="1069"/>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69"/>
        </w:numPr>
      </w:pPr>
      <w:r>
        <w:rPr>
          <w:b/>
          <w:bCs/>
        </w:rPr>
        <w:t xml:space="preserve">IUCN masking toggle</w:t>
      </w:r>
      <w:r>
        <w:t xml:space="preserve">: compare the unmasked AquaMaps SDM with the masked merged model to visualize the effect of range constraints</w:t>
      </w:r>
    </w:p>
    <w:bookmarkEnd w:id="718"/>
    <w:bookmarkStart w:id="719" w:name="species-info-panel"/>
    <w:p>
      <w:pPr>
        <w:pStyle w:val="Heading3"/>
      </w:pPr>
      <w:r>
        <w:t xml:space="preserve">C.2.3 Species Info Panel</w:t>
      </w:r>
    </w:p>
    <w:p>
      <w:pPr>
        <w:pStyle w:val="FirstParagraph"/>
      </w:pPr>
      <w:r>
        <w:t xml:space="preserve">Detailed information for the selected species:</w:t>
      </w:r>
    </w:p>
    <w:p>
      <w:pPr>
        <w:pStyle w:val="Compact"/>
        <w:numPr>
          <w:ilvl w:val="0"/>
          <w:numId w:val="1070"/>
        </w:numPr>
      </w:pPr>
      <w:r>
        <w:t xml:space="preserve">Scientific name and common name</w:t>
      </w:r>
    </w:p>
    <w:p>
      <w:pPr>
        <w:pStyle w:val="Compact"/>
        <w:numPr>
          <w:ilvl w:val="0"/>
          <w:numId w:val="1070"/>
        </w:numPr>
      </w:pPr>
      <w:r>
        <w:t xml:space="preserve">Species category (bird, fish, mammal, etc.)</w:t>
      </w:r>
    </w:p>
    <w:p>
      <w:pPr>
        <w:pStyle w:val="Compact"/>
        <w:numPr>
          <w:ilvl w:val="0"/>
          <w:numId w:val="1070"/>
        </w:numPr>
      </w:pPr>
      <w:r>
        <w:t xml:space="preserve">ESA listing status (Endangered, Threatened, or not listed)</w:t>
      </w:r>
    </w:p>
    <w:p>
      <w:pPr>
        <w:pStyle w:val="Compact"/>
        <w:numPr>
          <w:ilvl w:val="0"/>
          <w:numId w:val="1070"/>
        </w:numPr>
      </w:pPr>
      <w:r>
        <w:t xml:space="preserve">IUCN Red List category</w:t>
      </w:r>
    </w:p>
    <w:p>
      <w:pPr>
        <w:pStyle w:val="Compact"/>
        <w:numPr>
          <w:ilvl w:val="0"/>
          <w:numId w:val="1070"/>
        </w:numPr>
      </w:pPr>
      <w:r>
        <w:t xml:space="preserve">MMPA protection flag</w:t>
      </w:r>
    </w:p>
    <w:p>
      <w:pPr>
        <w:pStyle w:val="Compact"/>
        <w:numPr>
          <w:ilvl w:val="0"/>
          <w:numId w:val="1070"/>
        </w:numPr>
      </w:pPr>
      <w:r>
        <w:t xml:space="preserve">MBTA protection flag</w:t>
      </w:r>
    </w:p>
    <w:p>
      <w:pPr>
        <w:pStyle w:val="Compact"/>
        <w:numPr>
          <w:ilvl w:val="0"/>
          <w:numId w:val="1070"/>
        </w:numPr>
      </w:pPr>
      <w:r>
        <w:t xml:space="preserve">Computed extinction risk score (1–100)</w:t>
      </w:r>
    </w:p>
    <w:p>
      <w:pPr>
        <w:pStyle w:val="Compact"/>
        <w:numPr>
          <w:ilvl w:val="0"/>
          <w:numId w:val="1070"/>
        </w:numPr>
      </w:pPr>
      <w:r>
        <w:t xml:space="preserve">Number of source datasets contributing to the merged model</w:t>
      </w:r>
    </w:p>
    <w:bookmarkEnd w:id="719"/>
    <w:bookmarkStart w:id="720" w:name="deep-linking"/>
    <w:p>
      <w:pPr>
        <w:pStyle w:val="Heading3"/>
      </w:pPr>
      <w:r>
        <w:t xml:space="preserve">C.2.4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20"/>
    <w:bookmarkEnd w:id="721"/>
    <w:bookmarkStart w:id="722" w:name="generating-screenshots-2"/>
    <w:p>
      <w:pPr>
        <w:pStyle w:val="Heading2"/>
      </w:pPr>
      <w:r>
        <w:t xml:space="preserve">C.3 Generating Screenshots</w:t>
      </w:r>
    </w:p>
    <w:bookmarkEnd w:id="722"/>
    <w:bookmarkStart w:id="724" w:name="source-code-2"/>
    <w:p>
      <w:pPr>
        <w:pStyle w:val="Heading2"/>
      </w:pPr>
      <w:r>
        <w:t xml:space="preserve">C.4 Source Code</w:t>
      </w:r>
    </w:p>
    <w:p>
      <w:pPr>
        <w:pStyle w:val="FirstParagraph"/>
      </w:pPr>
      <w:hyperlink r:id="rId723">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24"/>
    <w:bookmarkEnd w:id="725"/>
    <w:bookmarkStart w:id="731"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1"/>
        </w:numPr>
      </w:pPr>
      <w:hyperlink r:id="rId726">
        <w:r>
          <w:rPr>
            <w:rStyle w:val="Hyperlink"/>
          </w:rPr>
          <w:t xml:space="preserve"> </w:t>
        </w:r>
        <w:r>
          <w:rPr>
            <w:rStyle w:val="Hyperlink"/>
          </w:rPr>
          <w:t xml:space="preserve">website</w:t>
        </w:r>
      </w:hyperlink>
    </w:p>
    <w:p>
      <w:pPr>
        <w:numPr>
          <w:ilvl w:val="0"/>
          <w:numId w:val="1071"/>
        </w:numPr>
      </w:pPr>
      <w:hyperlink r:id="rId727">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729" name="Picture"/>
            <a:graphic>
              <a:graphicData uri="http://schemas.openxmlformats.org/drawingml/2006/picture">
                <pic:pic>
                  <pic:nvPicPr>
                    <pic:cNvPr descr="figures/apps/aoi.png" id="730" name="Picture"/>
                    <pic:cNvPicPr>
                      <a:picLocks noChangeArrowheads="1" noChangeAspect="1"/>
                    </pic:cNvPicPr>
                  </pic:nvPicPr>
                  <pic:blipFill>
                    <a:blip r:embed="rId728"/>
                    <a:stretch>
                      <a:fillRect/>
                    </a:stretch>
                  </pic:blipFill>
                  <pic:spPr bwMode="auto">
                    <a:xfrm>
                      <a:off x="0" y="0"/>
                      <a:ext cx="5334000" cy="2988079"/>
                    </a:xfrm>
                    <a:prstGeom prst="rect">
                      <a:avLst/>
                    </a:prstGeom>
                    <a:noFill/>
                    <a:ln w="9525">
                      <a:noFill/>
                      <a:headEnd/>
                      <a:tailEnd/>
                    </a:ln>
                  </pic:spPr>
                </pic:pic>
              </a:graphicData>
            </a:graphic>
          </wp:inline>
        </w:drawing>
      </w:r>
    </w:p>
    <w:bookmarkEnd w:id="731"/>
    <w:bookmarkStart w:id="737"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2"/>
        </w:numPr>
      </w:pPr>
      <w:hyperlink r:id="rId732">
        <w:r>
          <w:rPr>
            <w:rStyle w:val="Hyperlink"/>
          </w:rPr>
          <w:t xml:space="preserve"> </w:t>
        </w:r>
        <w:r>
          <w:rPr>
            <w:rStyle w:val="Hyperlink"/>
          </w:rPr>
          <w:t xml:space="preserve">website</w:t>
        </w:r>
      </w:hyperlink>
    </w:p>
    <w:p>
      <w:pPr>
        <w:numPr>
          <w:ilvl w:val="0"/>
          <w:numId w:val="1072"/>
        </w:numPr>
      </w:pPr>
      <w:hyperlink r:id="rId733">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735" name="Picture"/>
            <a:graphic>
              <a:graphicData uri="http://schemas.openxmlformats.org/drawingml/2006/picture">
                <pic:pic>
                  <pic:nvPicPr>
                    <pic:cNvPr descr="figures/apps/bird_hotspots.png" id="736" name="Picture"/>
                    <pic:cNvPicPr>
                      <a:picLocks noChangeArrowheads="1" noChangeAspect="1"/>
                    </pic:cNvPicPr>
                  </pic:nvPicPr>
                  <pic:blipFill>
                    <a:blip r:embed="rId734"/>
                    <a:stretch>
                      <a:fillRect/>
                    </a:stretch>
                  </pic:blipFill>
                  <pic:spPr bwMode="auto">
                    <a:xfrm>
                      <a:off x="0" y="0"/>
                      <a:ext cx="5334000" cy="2948423"/>
                    </a:xfrm>
                    <a:prstGeom prst="rect">
                      <a:avLst/>
                    </a:prstGeom>
                    <a:noFill/>
                    <a:ln w="9525">
                      <a:noFill/>
                      <a:headEnd/>
                      <a:tailEnd/>
                    </a:ln>
                  </pic:spPr>
                </pic:pic>
              </a:graphicData>
            </a:graphic>
          </wp:inline>
        </w:drawing>
      </w:r>
    </w:p>
    <w:bookmarkEnd w:id="737"/>
    <w:bookmarkStart w:id="743" w:name="regional-map"/>
    <w:p>
      <w:pPr>
        <w:pStyle w:val="Heading1"/>
      </w:pPr>
      <w:r>
        <w:t xml:space="preserve">Regional Map</w:t>
      </w:r>
    </w:p>
    <w:p>
      <w:pPr>
        <w:pStyle w:val="FirstParagraph"/>
      </w:pPr>
      <w:r>
        <w:t xml:space="preserve">Basic interactive map of BOEM regions.</w:t>
      </w:r>
    </w:p>
    <w:p>
      <w:pPr>
        <w:numPr>
          <w:ilvl w:val="0"/>
          <w:numId w:val="1073"/>
        </w:numPr>
      </w:pPr>
      <w:hyperlink r:id="rId738">
        <w:r>
          <w:rPr>
            <w:rStyle w:val="Hyperlink"/>
          </w:rPr>
          <w:t xml:space="preserve"> </w:t>
        </w:r>
        <w:r>
          <w:rPr>
            <w:rStyle w:val="Hyperlink"/>
          </w:rPr>
          <w:t xml:space="preserve">website</w:t>
        </w:r>
      </w:hyperlink>
    </w:p>
    <w:p>
      <w:pPr>
        <w:numPr>
          <w:ilvl w:val="0"/>
          <w:numId w:val="1073"/>
        </w:numPr>
      </w:pPr>
      <w:hyperlink r:id="rId739">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741" name="Picture"/>
            <a:graphic>
              <a:graphicData uri="http://schemas.openxmlformats.org/drawingml/2006/picture">
                <pic:pic>
                  <pic:nvPicPr>
                    <pic:cNvPr descr="figures/apps/map.png" id="742" name="Picture"/>
                    <pic:cNvPicPr>
                      <a:picLocks noChangeArrowheads="1" noChangeAspect="1"/>
                    </pic:cNvPicPr>
                  </pic:nvPicPr>
                  <pic:blipFill>
                    <a:blip r:embed="rId740"/>
                    <a:stretch>
                      <a:fillRect/>
                    </a:stretch>
                  </pic:blipFill>
                  <pic:spPr bwMode="auto">
                    <a:xfrm>
                      <a:off x="0" y="0"/>
                      <a:ext cx="5334000" cy="3012314"/>
                    </a:xfrm>
                    <a:prstGeom prst="rect">
                      <a:avLst/>
                    </a:prstGeom>
                    <a:noFill/>
                    <a:ln w="9525">
                      <a:noFill/>
                      <a:headEnd/>
                      <a:tailEnd/>
                    </a:ln>
                  </pic:spPr>
                </pic:pic>
              </a:graphicData>
            </a:graphic>
          </wp:inline>
        </w:drawing>
      </w:r>
    </w:p>
    <w:bookmarkEnd w:id="743"/>
    <w:bookmarkStart w:id="748"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4"/>
        </w:numPr>
      </w:pPr>
      <w:hyperlink r:id="rId744">
        <w:r>
          <w:rPr>
            <w:rStyle w:val="Hyperlink"/>
          </w:rPr>
          <w:t xml:space="preserve"> </w:t>
        </w:r>
        <w:r>
          <w:rPr>
            <w:rStyle w:val="Hyperlink"/>
          </w:rPr>
          <w:t xml:space="preserve">website</w:t>
        </w:r>
      </w:hyperlink>
    </w:p>
    <w:p>
      <w:pPr>
        <w:numPr>
          <w:ilvl w:val="0"/>
          <w:numId w:val="1074"/>
        </w:numPr>
      </w:pPr>
      <w:hyperlink r:id="rId708">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746" name="Picture"/>
            <a:graphic>
              <a:graphicData uri="http://schemas.openxmlformats.org/drawingml/2006/picture">
                <pic:pic>
                  <pic:nvPicPr>
                    <pic:cNvPr descr="figures/apps/scores_0.png" id="747" name="Picture"/>
                    <pic:cNvPicPr>
                      <a:picLocks noChangeArrowheads="1" noChangeAspect="1"/>
                    </pic:cNvPicPr>
                  </pic:nvPicPr>
                  <pic:blipFill>
                    <a:blip r:embed="rId745"/>
                    <a:stretch>
                      <a:fillRect/>
                    </a:stretch>
                  </pic:blipFill>
                  <pic:spPr bwMode="auto">
                    <a:xfrm>
                      <a:off x="0" y="0"/>
                      <a:ext cx="5334000" cy="3018971"/>
                    </a:xfrm>
                    <a:prstGeom prst="rect">
                      <a:avLst/>
                    </a:prstGeom>
                    <a:noFill/>
                    <a:ln w="9525">
                      <a:noFill/>
                      <a:headEnd/>
                      <a:tailEnd/>
                    </a:ln>
                  </pic:spPr>
                </pic:pic>
              </a:graphicData>
            </a:graphic>
          </wp:inline>
        </w:drawing>
      </w:r>
    </w:p>
    <w:bookmarkEnd w:id="748"/>
    <w:bookmarkStart w:id="754"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5"/>
        </w:numPr>
      </w:pPr>
      <w:hyperlink r:id="rId749">
        <w:r>
          <w:rPr>
            <w:rStyle w:val="Hyperlink"/>
          </w:rPr>
          <w:t xml:space="preserve"> </w:t>
        </w:r>
        <w:r>
          <w:rPr>
            <w:rStyle w:val="Hyperlink"/>
          </w:rPr>
          <w:t xml:space="preserve">website</w:t>
        </w:r>
      </w:hyperlink>
    </w:p>
    <w:p>
      <w:pPr>
        <w:numPr>
          <w:ilvl w:val="0"/>
          <w:numId w:val="1075"/>
        </w:numPr>
      </w:pPr>
      <w:hyperlink r:id="rId750">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752" name="Picture"/>
            <a:graphic>
              <a:graphicData uri="http://schemas.openxmlformats.org/drawingml/2006/picture">
                <pic:pic>
                  <pic:nvPicPr>
                    <pic:cNvPr descr="figures/apps/sdm.png" id="753" name="Picture"/>
                    <pic:cNvPicPr>
                      <a:picLocks noChangeArrowheads="1" noChangeAspect="1"/>
                    </pic:cNvPicPr>
                  </pic:nvPicPr>
                  <pic:blipFill>
                    <a:blip r:embed="rId751"/>
                    <a:stretch>
                      <a:fillRect/>
                    </a:stretch>
                  </pic:blipFill>
                  <pic:spPr bwMode="auto">
                    <a:xfrm>
                      <a:off x="0" y="0"/>
                      <a:ext cx="5334000" cy="2983171"/>
                    </a:xfrm>
                    <a:prstGeom prst="rect">
                      <a:avLst/>
                    </a:prstGeom>
                    <a:noFill/>
                    <a:ln w="9525">
                      <a:noFill/>
                      <a:headEnd/>
                      <a:tailEnd/>
                    </a:ln>
                  </pic:spPr>
                </pic:pic>
              </a:graphicData>
            </a:graphic>
          </wp:inline>
        </w:drawing>
      </w:r>
    </w:p>
    <w:bookmarkEnd w:id="754"/>
    <w:bookmarkStart w:id="760"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76"/>
        </w:numPr>
      </w:pPr>
      <w:hyperlink r:id="rId755">
        <w:r>
          <w:rPr>
            <w:rStyle w:val="Hyperlink"/>
          </w:rPr>
          <w:t xml:space="preserve"> </w:t>
        </w:r>
        <w:r>
          <w:rPr>
            <w:rStyle w:val="Hyperlink"/>
          </w:rPr>
          <w:t xml:space="preserve">website</w:t>
        </w:r>
      </w:hyperlink>
    </w:p>
    <w:p>
      <w:pPr>
        <w:numPr>
          <w:ilvl w:val="0"/>
          <w:numId w:val="1076"/>
        </w:numPr>
      </w:pPr>
      <w:hyperlink r:id="rId756">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758" name="Picture"/>
            <a:graphic>
              <a:graphicData uri="http://schemas.openxmlformats.org/drawingml/2006/picture">
                <pic:pic>
                  <pic:nvPicPr>
                    <pic:cNvPr descr="figures/apps/sdm-cog.png" id="759" name="Picture"/>
                    <pic:cNvPicPr>
                      <a:picLocks noChangeArrowheads="1" noChangeAspect="1"/>
                    </pic:cNvPicPr>
                  </pic:nvPicPr>
                  <pic:blipFill>
                    <a:blip r:embed="rId757"/>
                    <a:stretch>
                      <a:fillRect/>
                    </a:stretch>
                  </pic:blipFill>
                  <pic:spPr bwMode="auto">
                    <a:xfrm>
                      <a:off x="0" y="0"/>
                      <a:ext cx="5334000" cy="2951752"/>
                    </a:xfrm>
                    <a:prstGeom prst="rect">
                      <a:avLst/>
                    </a:prstGeom>
                    <a:noFill/>
                    <a:ln w="9525">
                      <a:noFill/>
                      <a:headEnd/>
                      <a:tailEnd/>
                    </a:ln>
                  </pic:spPr>
                </pic:pic>
              </a:graphicData>
            </a:graphic>
          </wp:inline>
        </w:drawing>
      </w:r>
    </w:p>
    <w:bookmarkEnd w:id="760"/>
    <w:bookmarkStart w:id="766"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77"/>
        </w:numPr>
      </w:pPr>
      <w:hyperlink r:id="rId761">
        <w:r>
          <w:rPr>
            <w:rStyle w:val="Hyperlink"/>
          </w:rPr>
          <w:t xml:space="preserve"> </w:t>
        </w:r>
        <w:r>
          <w:rPr>
            <w:rStyle w:val="Hyperlink"/>
          </w:rPr>
          <w:t xml:space="preserve">website</w:t>
        </w:r>
      </w:hyperlink>
    </w:p>
    <w:p>
      <w:pPr>
        <w:numPr>
          <w:ilvl w:val="0"/>
          <w:numId w:val="1077"/>
        </w:numPr>
      </w:pPr>
      <w:hyperlink r:id="rId762">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764" name="Picture"/>
            <a:graphic>
              <a:graphicData uri="http://schemas.openxmlformats.org/drawingml/2006/picture">
                <pic:pic>
                  <pic:nvPicPr>
                    <pic:cNvPr descr="figures/apps/vmap.png" id="765" name="Picture"/>
                    <pic:cNvPicPr>
                      <a:picLocks noChangeArrowheads="1" noChangeAspect="1"/>
                    </pic:cNvPicPr>
                  </pic:nvPicPr>
                  <pic:blipFill>
                    <a:blip r:embed="rId763"/>
                    <a:stretch>
                      <a:fillRect/>
                    </a:stretch>
                  </pic:blipFill>
                  <pic:spPr bwMode="auto">
                    <a:xfrm>
                      <a:off x="0" y="0"/>
                      <a:ext cx="5334000" cy="2955021"/>
                    </a:xfrm>
                    <a:prstGeom prst="rect">
                      <a:avLst/>
                    </a:prstGeom>
                    <a:noFill/>
                    <a:ln w="9525">
                      <a:noFill/>
                      <a:headEnd/>
                      <a:tailEnd/>
                    </a:ln>
                  </pic:spPr>
                </pic:pic>
              </a:graphicData>
            </a:graphic>
          </wp:inline>
        </w:drawing>
      </w:r>
    </w:p>
    <w:bookmarkEnd w:id="7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13" Target="media/rId13.png" /><Relationship Type="http://schemas.openxmlformats.org/officeDocument/2006/relationships/image" Id="rId112" Target="media/rId112.png" /><Relationship Type="http://schemas.openxmlformats.org/officeDocument/2006/relationships/image" Id="rId52" Target="media/rId52.png" /><Relationship Type="http://schemas.openxmlformats.org/officeDocument/2006/relationships/image" Id="rId425" Target="media/rId425.png" /><Relationship Type="http://schemas.openxmlformats.org/officeDocument/2006/relationships/image" Id="rId460" Target="media/rId460.png" /><Relationship Type="http://schemas.openxmlformats.org/officeDocument/2006/relationships/image" Id="rId483" Target="media/rId483.png" /><Relationship Type="http://schemas.openxmlformats.org/officeDocument/2006/relationships/image" Id="rId488" Target="media/rId488.png" /><Relationship Type="http://schemas.openxmlformats.org/officeDocument/2006/relationships/image" Id="rId493" Target="media/rId493.png" /><Relationship Type="http://schemas.openxmlformats.org/officeDocument/2006/relationships/image" Id="rId498" Target="media/rId498.png" /><Relationship Type="http://schemas.openxmlformats.org/officeDocument/2006/relationships/image" Id="rId503" Target="media/rId503.png" /><Relationship Type="http://schemas.openxmlformats.org/officeDocument/2006/relationships/image" Id="rId508" Target="media/rId508.png" /><Relationship Type="http://schemas.openxmlformats.org/officeDocument/2006/relationships/image" Id="rId513" Target="media/rId513.png" /><Relationship Type="http://schemas.openxmlformats.org/officeDocument/2006/relationships/image" Id="rId518" Target="media/rId518.png" /><Relationship Type="http://schemas.openxmlformats.org/officeDocument/2006/relationships/image" Id="rId523" Target="media/rId523.png" /><Relationship Type="http://schemas.openxmlformats.org/officeDocument/2006/relationships/image" Id="rId528" Target="media/rId528.png" /><Relationship Type="http://schemas.openxmlformats.org/officeDocument/2006/relationships/image" Id="rId533" Target="media/rId533.png" /><Relationship Type="http://schemas.openxmlformats.org/officeDocument/2006/relationships/image" Id="rId539" Target="media/rId539.png" /><Relationship Type="http://schemas.openxmlformats.org/officeDocument/2006/relationships/image" Id="rId544" Target="media/rId544.png" /><Relationship Type="http://schemas.openxmlformats.org/officeDocument/2006/relationships/image" Id="rId549" Target="media/rId549.png" /><Relationship Type="http://schemas.openxmlformats.org/officeDocument/2006/relationships/image" Id="rId554" Target="media/rId554.png" /><Relationship Type="http://schemas.openxmlformats.org/officeDocument/2006/relationships/image" Id="rId559" Target="media/rId559.png" /><Relationship Type="http://schemas.openxmlformats.org/officeDocument/2006/relationships/image" Id="rId728" Target="media/rId728.png" /><Relationship Type="http://schemas.openxmlformats.org/officeDocument/2006/relationships/image" Id="rId734" Target="media/rId734.png" /><Relationship Type="http://schemas.openxmlformats.org/officeDocument/2006/relationships/image" Id="rId740" Target="media/rId740.png" /><Relationship Type="http://schemas.openxmlformats.org/officeDocument/2006/relationships/image" Id="rId696" Target="media/rId696.png" /><Relationship Type="http://schemas.openxmlformats.org/officeDocument/2006/relationships/image" Id="rId692" Target="media/rId692.png" /><Relationship Type="http://schemas.openxmlformats.org/officeDocument/2006/relationships/image" Id="rId745" Target="media/rId745.png" /><Relationship Type="http://schemas.openxmlformats.org/officeDocument/2006/relationships/image" Id="rId757" Target="media/rId757.png" /><Relationship Type="http://schemas.openxmlformats.org/officeDocument/2006/relationships/image" Id="rId751" Target="media/rId751.png" /><Relationship Type="http://schemas.openxmlformats.org/officeDocument/2006/relationships/image" Id="rId712" Target="media/rId712.png" /><Relationship Type="http://schemas.openxmlformats.org/officeDocument/2006/relationships/image" Id="rId763" Target="media/rId763.png" /><Relationship Type="http://schemas.openxmlformats.org/officeDocument/2006/relationships/image" Id="rId264" Target="media/rId264.png" /><Relationship Type="http://schemas.openxmlformats.org/officeDocument/2006/relationships/image" Id="rId286" Target="media/rId286.png" /><Relationship Type="http://schemas.openxmlformats.org/officeDocument/2006/relationships/image" Id="rId345" Target="media/rId345.png" /><Relationship Type="http://schemas.openxmlformats.org/officeDocument/2006/relationships/image" Id="rId121" Target="media/rId121.png" /><Relationship Type="http://schemas.openxmlformats.org/officeDocument/2006/relationships/image" Id="rId16" Target="media/rId16.svg" /><Relationship Type="http://schemas.openxmlformats.org/officeDocument/2006/relationships/image" Id="rId388" Target="media/rId388.png" /><Relationship Type="http://schemas.openxmlformats.org/officeDocument/2006/relationships/image" Id="rId393" Target="media/rId393.png" /><Relationship Type="http://schemas.openxmlformats.org/officeDocument/2006/relationships/image" Id="rId381" Target="media/rId381.png" /><Relationship Type="http://schemas.openxmlformats.org/officeDocument/2006/relationships/image" Id="rId269" Target="media/rId269.png" /><Relationship Type="http://schemas.openxmlformats.org/officeDocument/2006/relationships/image" Id="rId273" Target="media/rId273.png" /><Relationship Type="http://schemas.openxmlformats.org/officeDocument/2006/relationships/image" Id="rId166" Target="media/rId166.jpg" /><Relationship Type="http://schemas.openxmlformats.org/officeDocument/2006/relationships/image" Id="rId644" Target="media/rId644.png" /><Relationship Type="http://schemas.openxmlformats.org/officeDocument/2006/relationships/image" Id="rId660" Target="media/rId660.png" /><Relationship Type="http://schemas.openxmlformats.org/officeDocument/2006/relationships/image" Id="rId630" Target="media/rId630.png" /><Relationship Type="http://schemas.openxmlformats.org/officeDocument/2006/relationships/image" Id="rId615" Target="media/rId615.png" /><Relationship Type="http://schemas.openxmlformats.org/officeDocument/2006/relationships/image" Id="rId640" Target="media/rId640.png" /><Relationship Type="http://schemas.openxmlformats.org/officeDocument/2006/relationships/image" Id="rId673" Target="media/rId673.png" /><Relationship Type="http://schemas.openxmlformats.org/officeDocument/2006/relationships/image" Id="rId669" Target="media/rId669.png" /><Relationship Type="http://schemas.openxmlformats.org/officeDocument/2006/relationships/image" Id="rId651" Target="media/rId651.png" /><Relationship Type="http://schemas.openxmlformats.org/officeDocument/2006/relationships/image" Id="rId655" Target="media/rId655.png" /><Relationship Type="http://schemas.openxmlformats.org/officeDocument/2006/relationships/image" Id="rId635" Target="media/rId635.png" /><Relationship Type="http://schemas.openxmlformats.org/officeDocument/2006/relationships/image" Id="rId664" Target="media/rId664.png" /><Relationship Type="http://schemas.openxmlformats.org/officeDocument/2006/relationships/image" Id="rId682" Target="media/rId682.png" /><Relationship Type="http://schemas.openxmlformats.org/officeDocument/2006/relationships/image" Id="rId619" Target="media/rId619.png" /><Relationship Type="http://schemas.openxmlformats.org/officeDocument/2006/relationships/image" Id="rId623" Target="media/rId623.png" /><Relationship Type="http://schemas.openxmlformats.org/officeDocument/2006/relationships/image" Id="rId9" Target="media/rId9.svg" /><Relationship Type="http://schemas.openxmlformats.org/officeDocument/2006/relationships/image" Id="rId39" Target="media/rId39.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5" Target="media/rId45.png" /><Relationship Type="http://schemas.openxmlformats.org/officeDocument/2006/relationships/image" Id="rId219" Target="media/rId219.png" /><Relationship Type="http://schemas.openxmlformats.org/officeDocument/2006/relationships/image" Id="rId306" Target="media/rId306.png" /><Relationship Type="http://schemas.openxmlformats.org/officeDocument/2006/relationships/image" Id="rId298" Target="media/rId298.png" /><Relationship Type="http://schemas.openxmlformats.org/officeDocument/2006/relationships/image" Id="rId323" Target="media/rId323.png" /><Relationship Type="http://schemas.openxmlformats.org/officeDocument/2006/relationships/image" Id="rId318" Target="media/rId318.png" /><Relationship Type="http://schemas.openxmlformats.org/officeDocument/2006/relationships/image" Id="rId312" Target="media/rId312.png" /><Relationship Type="http://schemas.openxmlformats.org/officeDocument/2006/relationships/hyperlink" Id="rId610" Target="MarineBON.org" TargetMode="External" /><Relationship Type="http://schemas.openxmlformats.org/officeDocument/2006/relationships/hyperlink" Id="rId479" Target="apps/scores.qmd" TargetMode="External" /><Relationship Type="http://schemas.openxmlformats.org/officeDocument/2006/relationships/hyperlink" Id="rId480" Target="apps/species.qmd" TargetMode="External" /><Relationship Type="http://schemas.openxmlformats.org/officeDocument/2006/relationships/hyperlink" Id="rId150" Target="http://datazone.birdlife.org/species/requestdis" TargetMode="External" /><Relationship Type="http://schemas.openxmlformats.org/officeDocument/2006/relationships/hyperlink" Id="rId165" Target="http://sites.science.oregonstate.edu/ocean.productivity" TargetMode="External" /><Relationship Type="http://schemas.openxmlformats.org/officeDocument/2006/relationships/hyperlink" Id="rId578" Target="https://CRAN.R-project.org/package=shiny" TargetMode="External" /><Relationship Type="http://schemas.openxmlformats.org/officeDocument/2006/relationships/hyperlink" Id="rId374" Target="https://account.squarespace.com/domains" TargetMode="External" /><Relationship Type="http://schemas.openxmlformats.org/officeDocument/2006/relationships/hyperlink" Id="rId387" Target="https://api.marinesensitivity.org" TargetMode="External" /><Relationship Type="http://schemas.openxmlformats.org/officeDocument/2006/relationships/hyperlink" Id="rId379" Target="https://app.marinesensitivity.org" TargetMode="External" /><Relationship Type="http://schemas.openxmlformats.org/officeDocument/2006/relationships/hyperlink" Id="rId84" Target="https://app.marinesensitivity.org/v3/scores/" TargetMode="External" /><Relationship Type="http://schemas.openxmlformats.org/officeDocument/2006/relationships/hyperlink" Id="rId85" Target="https://app.marinesensitivity.org/v3/species/" TargetMode="External" /><Relationship Type="http://schemas.openxmlformats.org/officeDocument/2006/relationships/hyperlink" Id="rId21" Target="https://app.marinesensitivity.org/v7/scores/" TargetMode="External" /><Relationship Type="http://schemas.openxmlformats.org/officeDocument/2006/relationships/hyperlink" Id="rId22" Target="https://app.marinesensitivity.org/v7/species/" TargetMode="External" /><Relationship Type="http://schemas.openxmlformats.org/officeDocument/2006/relationships/hyperlink" Id="rId36" Target="https://boem.gov" TargetMode="External" /><Relationship Type="http://schemas.openxmlformats.org/officeDocument/2006/relationships/hyperlink" Id="rId437" Target="https://books.ropensci.org/targets/" TargetMode="External" /><Relationship Type="http://schemas.openxmlformats.org/officeDocument/2006/relationships/hyperlink" Id="rId356" Target="https://caddyserver.com" TargetMode="External" /><Relationship Type="http://schemas.openxmlformats.org/officeDocument/2006/relationships/hyperlink" Id="rId295" Target="https://developmentseed.org/titiler/" TargetMode="External" /><Relationship Type="http://schemas.openxmlformats.org/officeDocument/2006/relationships/hyperlink" Id="rId363" Target="https://docs.aws.amazon.com/AWSEC2/latest/UserGuide/ebs-using-volumes.html" TargetMode="External" /><Relationship Type="http://schemas.openxmlformats.org/officeDocument/2006/relationships/hyperlink" Id="rId361" Target="https://docs.aws.amazon.com/AWSEC2/latest/UserGuide/set-hostname.html" TargetMode="External" /><Relationship Type="http://schemas.openxmlformats.org/officeDocument/2006/relationships/hyperlink" Id="rId370" Target="https://docs.aws.amazon.com/AWSEC2/latest/UserGuide/snapshot-ami-policy.html#create-snap-policy" TargetMode="External" /><Relationship Type="http://schemas.openxmlformats.org/officeDocument/2006/relationships/hyperlink" Id="rId375" Target="https://docs.github.com/en/pages/configuring-a-custom-domain-for-your-github-pages-site/managing-a-custom-domain-for-your-github-pages-site" TargetMode="External" /><Relationship Type="http://schemas.openxmlformats.org/officeDocument/2006/relationships/hyperlink" Id="rId594" Target="https://doi.org/10.1002/ece3.70030" TargetMode="External" /><Relationship Type="http://schemas.openxmlformats.org/officeDocument/2006/relationships/hyperlink" Id="rId582" Target="https://doi.org/10.1038/nature11397" TargetMode="External" /><Relationship Type="http://schemas.openxmlformats.org/officeDocument/2006/relationships/hyperlink" Id="rId590" Target="https://doi.org/10.1038/s41559-017-0160" TargetMode="External" /><Relationship Type="http://schemas.openxmlformats.org/officeDocument/2006/relationships/hyperlink" Id="rId592" Target="https://doi.org/10.1038/s41559-021-01432-0" TargetMode="External" /><Relationship Type="http://schemas.openxmlformats.org/officeDocument/2006/relationships/hyperlink" Id="rId606" Target="https://doi.org/10.1038/sdata.2016.18" TargetMode="External" /><Relationship Type="http://schemas.openxmlformats.org/officeDocument/2006/relationships/hyperlink" Id="rId580" Target="https://doi.org/10.1080/09640568.2014.973483" TargetMode="External" /><Relationship Type="http://schemas.openxmlformats.org/officeDocument/2006/relationships/hyperlink" Id="rId584" Target="https://doi.org/10.1111/j.1523-1739.2007.00752.x" TargetMode="External" /><Relationship Type="http://schemas.openxmlformats.org/officeDocument/2006/relationships/hyperlink" Id="rId576" Target="https://doi.org/10.1371/journal.pbio.0020383" TargetMode="External" /><Relationship Type="http://schemas.openxmlformats.org/officeDocument/2006/relationships/hyperlink" Id="rId574" Target="https://doi.org/10.1371/journal.pone.0000140" TargetMode="External" /><Relationship Type="http://schemas.openxmlformats.org/officeDocument/2006/relationships/hyperlink" Id="rId596" Target="https://doi.org/10.1371/journal.pone.0003700" TargetMode="External" /><Relationship Type="http://schemas.openxmlformats.org/officeDocument/2006/relationships/hyperlink" Id="rId586" Target="https://doi.org/10.1371/journal.pone.0146756" TargetMode="External" /><Relationship Type="http://schemas.openxmlformats.org/officeDocument/2006/relationships/hyperlink" Id="rId604" Target="https://doi.org/10.3354/esr01243" TargetMode="External" /><Relationship Type="http://schemas.openxmlformats.org/officeDocument/2006/relationships/hyperlink" Id="rId572" Target="https://doi.org/10.4319/lo.1997.42.1.0001" TargetMode="External" /><Relationship Type="http://schemas.openxmlformats.org/officeDocument/2006/relationships/hyperlink" Id="rId367" Target="https://drive.google.com/open?id=17B3djETDU8SVwGvJdZ3rp7TKtX8w0cfl&amp;usp=drive_fs" TargetMode="External" /><Relationship Type="http://schemas.openxmlformats.org/officeDocument/2006/relationships/hyperlink" Id="rId293" Target="https://duckdb.org" TargetMode="External" /><Relationship Type="http://schemas.openxmlformats.org/officeDocument/2006/relationships/hyperlink" Id="rId145" Target="https://ecos.fws.gov/docs/crithab/crithab_all/crithab_all_layers.zip" TargetMode="External" /><Relationship Type="http://schemas.openxmlformats.org/officeDocument/2006/relationships/hyperlink" Id="rId148" Target="https://ecos.fws.gov/docs/species/shapefiles/usfws_complete_species_current_range.zip" TargetMode="External" /><Relationship Type="http://schemas.openxmlformats.org/officeDocument/2006/relationships/hyperlink" Id="rId144" Target="https://ecos.fws.gov/ecp/report/table/critical-habitat.html" TargetMode="External" /><Relationship Type="http://schemas.openxmlformats.org/officeDocument/2006/relationships/hyperlink" Id="rId147" Target="https://ecos.fws.gov/ecp/species-reports" TargetMode="External" /><Relationship Type="http://schemas.openxmlformats.org/officeDocument/2006/relationships/hyperlink" Id="rId385" Target="https://file.marinesensitivity.org" TargetMode="External" /><Relationship Type="http://schemas.openxmlformats.org/officeDocument/2006/relationships/hyperlink" Id="rId316" Target="https://github.com/CrunchyData/pg_tileserv" TargetMode="External" /><Relationship Type="http://schemas.openxmlformats.org/officeDocument/2006/relationships/hyperlink" Id="rId296" Target="https://github.com/MarineSensitivities/msens" TargetMode="External" /><Relationship Type="http://schemas.openxmlformats.org/officeDocument/2006/relationships/hyperlink" Id="rId329" Target="https://github.com/MarineSensitivity/.github" TargetMode="External" /><Relationship Type="http://schemas.openxmlformats.org/officeDocument/2006/relationships/hyperlink" Id="rId337" Target="https://github.com/MarineSensitivity/MarineSensitivity.github.io" TargetMode="External" /><Relationship Type="http://schemas.openxmlformats.org/officeDocument/2006/relationships/hyperlink" Id="rId330" Target="https://github.com/MarineSensitivity/analytics" TargetMode="External" /><Relationship Type="http://schemas.openxmlformats.org/officeDocument/2006/relationships/hyperlink" Id="rId331" Target="https://github.com/MarineSensitivity/api" TargetMode="External" /><Relationship Type="http://schemas.openxmlformats.org/officeDocument/2006/relationships/hyperlink" Id="rId459" Target="https://github.com/MarineSensitivity/api/blob/main/plumber.R" TargetMode="External" /><Relationship Type="http://schemas.openxmlformats.org/officeDocument/2006/relationships/hyperlink" Id="rId332" Target="https://github.com/MarineSensitivity/app" TargetMode="External" /><Relationship Type="http://schemas.openxmlformats.org/officeDocument/2006/relationships/hyperlink" Id="rId333" Target="https://github.com/MarineSensitivity/apps" TargetMode="External" /><Relationship Type="http://schemas.openxmlformats.org/officeDocument/2006/relationships/hyperlink" Id="rId727" Target="https://github.com/MarineSensitivity/apps/tree/main/aoi" TargetMode="External" /><Relationship Type="http://schemas.openxmlformats.org/officeDocument/2006/relationships/hyperlink" Id="rId733" Target="https://github.com/MarineSensitivity/apps/tree/main/bird_hotspots" TargetMode="External" /><Relationship Type="http://schemas.openxmlformats.org/officeDocument/2006/relationships/hyperlink" Id="rId739" Target="https://github.com/MarineSensitivity/apps/tree/main/map" TargetMode="External" /><Relationship Type="http://schemas.openxmlformats.org/officeDocument/2006/relationships/hyperlink" Id="rId708" Target="https://github.com/MarineSensitivity/apps/tree/main/scores" TargetMode="External" /><Relationship Type="http://schemas.openxmlformats.org/officeDocument/2006/relationships/hyperlink" Id="rId750" Target="https://github.com/MarineSensitivity/apps/tree/main/sdm" TargetMode="External" /><Relationship Type="http://schemas.openxmlformats.org/officeDocument/2006/relationships/hyperlink" Id="rId756" Target="https://github.com/MarineSensitivity/apps/tree/main/sdm-cog" TargetMode="External" /><Relationship Type="http://schemas.openxmlformats.org/officeDocument/2006/relationships/hyperlink" Id="rId723" Target="https://github.com/MarineSensitivity/apps/tree/main/species" TargetMode="External" /><Relationship Type="http://schemas.openxmlformats.org/officeDocument/2006/relationships/hyperlink" Id="rId762" Target="https://github.com/MarineSensitivity/apps/tree/main/vmap" TargetMode="External" /><Relationship Type="http://schemas.openxmlformats.org/officeDocument/2006/relationships/hyperlink" Id="rId334" Target="https://github.com/MarineSensitivity/atlas" TargetMode="External" /><Relationship Type="http://schemas.openxmlformats.org/officeDocument/2006/relationships/hyperlink" Id="rId678" Target="https://github.com/MarineSensitivity/atlas/blob/main/docs/accessibility.md" TargetMode="External" /><Relationship Type="http://schemas.openxmlformats.org/officeDocument/2006/relationships/hyperlink" Id="rId679" Target="https://github.com/MarineSensitivity/atlas/blob/main/docs/performance.md" TargetMode="External" /><Relationship Type="http://schemas.openxmlformats.org/officeDocument/2006/relationships/hyperlink" Id="rId335" Target="https://github.com/MarineSensitivity/docs" TargetMode="External" /><Relationship Type="http://schemas.openxmlformats.org/officeDocument/2006/relationships/hyperlink" Id="rId336" Target="https://github.com/MarineSensitivity/manuscripts" TargetMode="External" /><Relationship Type="http://schemas.openxmlformats.org/officeDocument/2006/relationships/hyperlink" Id="rId338" Target="https://github.com/MarineSensitivity/msens" TargetMode="External" /><Relationship Type="http://schemas.openxmlformats.org/officeDocument/2006/relationships/hyperlink" Id="rId339" Target="https://github.com/MarineSensitivity/objectives" TargetMode="External" /><Relationship Type="http://schemas.openxmlformats.org/officeDocument/2006/relationships/hyperlink" Id="rId340" Target="https://github.com/MarineSensitivity/server" TargetMode="External" /><Relationship Type="http://schemas.openxmlformats.org/officeDocument/2006/relationships/hyperlink" Id="rId377" Target="https://github.com/MarineSensitivity/server/blob/main/caddy/Caddyfile" TargetMode="External" /><Relationship Type="http://schemas.openxmlformats.org/officeDocument/2006/relationships/hyperlink" Id="rId355" Target="https://github.com/MarineSensitivity/server/blob/main/docker-compose.yml" TargetMode="External" /><Relationship Type="http://schemas.openxmlformats.org/officeDocument/2006/relationships/hyperlink" Id="rId449" Target="https://github.com/MarineSensitivity/server/blob/main/titiler/factory.py" TargetMode="External" /><Relationship Type="http://schemas.openxmlformats.org/officeDocument/2006/relationships/hyperlink" Id="rId357" Target="https://github.com/MarineSensitivity/server/wiki/Server-Setup" TargetMode="External" /><Relationship Type="http://schemas.openxmlformats.org/officeDocument/2006/relationships/hyperlink" Id="rId341" Target="https://github.com/MarineSensitivity/stac-sdm" TargetMode="External" /><Relationship Type="http://schemas.openxmlformats.org/officeDocument/2006/relationships/hyperlink" Id="rId342" Target="https://github.com/MarineSensitivity/workflows" TargetMode="External" /><Relationship Type="http://schemas.openxmlformats.org/officeDocument/2006/relationships/hyperlink" Id="rId311" Target="https://github.com/mapbox/tippecanoe" TargetMode="External" /><Relationship Type="http://schemas.openxmlformats.org/officeDocument/2006/relationships/hyperlink" Id="rId305" Target="https://guide.cloudnativegeo.org/" TargetMode="External" /><Relationship Type="http://schemas.openxmlformats.org/officeDocument/2006/relationships/hyperlink" Id="rId351" Target="https://marinesensitivity.org/" TargetMode="External" /><Relationship Type="http://schemas.openxmlformats.org/officeDocument/2006/relationships/hyperlink" Id="rId472" Target="https://marinesensitivity.org/atlas/?ver=v7" TargetMode="External" /><Relationship Type="http://schemas.openxmlformats.org/officeDocument/2006/relationships/hyperlink" Id="rId352" Target="https://marinesensitivity.org/docs" TargetMode="External" /><Relationship Type="http://schemas.openxmlformats.org/officeDocument/2006/relationships/hyperlink" Id="rId26" Target="https://marinesensitivity.org/docs/" TargetMode="External" /><Relationship Type="http://schemas.openxmlformats.org/officeDocument/2006/relationships/hyperlink" Id="rId566" Target="https://marinesensitivity.org/faq/" TargetMode="External" /><Relationship Type="http://schemas.openxmlformats.org/officeDocument/2006/relationships/hyperlink" Id="rId353" Target="https://marinesensitivity.org/msens" TargetMode="External" /><Relationship Type="http://schemas.openxmlformats.org/officeDocument/2006/relationships/hyperlink" Id="rId451" Target="https://marinesensitivity.org/msens/reference/cell_stats.html" TargetMode="External" /><Relationship Type="http://schemas.openxmlformats.org/officeDocument/2006/relationships/hyperlink" Id="rId450" Target="https://marinesensitivity.org/msens/reference/cell_tile_url.html" TargetMode="External" /><Relationship Type="http://schemas.openxmlformats.org/officeDocument/2006/relationships/hyperlink" Id="rId283" Target="https://marinesensitivity.org/workflows/" TargetMode="External" /><Relationship Type="http://schemas.openxmlformats.org/officeDocument/2006/relationships/hyperlink" Id="rId366" Target="https://medium.com/@srijaanaparthy/step-by-step-guide-to-install-docker-on-ubuntu-in-aws-a39746e5a63d" TargetMode="External" /><Relationship Type="http://schemas.openxmlformats.org/officeDocument/2006/relationships/hyperlink" Id="rId141" Target="https://noaa.maps.arcgis.com/home/item.html?id=f66c1e33f91d480db7d1b1c1336223c3" TargetMode="External" /><Relationship Type="http://schemas.openxmlformats.org/officeDocument/2006/relationships/hyperlink" Id="rId601" Target="https://noaa.maps.arcgis.com/home/search.html?searchTerm=turtle+dps" TargetMode="External" /><Relationship Type="http://schemas.openxmlformats.org/officeDocument/2006/relationships/hyperlink" Id="rId396" Target="https://posit.co/products/open-source/rstudio-server/" TargetMode="External" /><Relationship Type="http://schemas.openxmlformats.org/officeDocument/2006/relationships/hyperlink" Id="rId297" Target="https://protomaps.com/docs/pmtiles/" TargetMode="External" /><Relationship Type="http://schemas.openxmlformats.org/officeDocument/2006/relationships/hyperlink" Id="rId436" Target="https://quarto.org" TargetMode="External" /><Relationship Type="http://schemas.openxmlformats.org/officeDocument/2006/relationships/hyperlink" Id="rId134" Target="https://raquamaps.github.io/aquamapsdata" TargetMode="External" /><Relationship Type="http://schemas.openxmlformats.org/officeDocument/2006/relationships/hyperlink" Id="rId135" Target="https://raquamaps.github.io/aquamapsdata/articles/intro.html#data-scope-and-content-1" TargetMode="External" /><Relationship Type="http://schemas.openxmlformats.org/officeDocument/2006/relationships/hyperlink" Id="rId304" Target="https://rstudio.github.io/leaflet/articles/raster.html#large-raster-warning" TargetMode="External" /><Relationship Type="http://schemas.openxmlformats.org/officeDocument/2006/relationships/hyperlink" Id="rId392" Target="https://rstudio.marinesensitivity.org" TargetMode="External" /><Relationship Type="http://schemas.openxmlformats.org/officeDocument/2006/relationships/hyperlink" Id="rId380" Target="https://shiny.marinesensitivity.org" TargetMode="External" /><Relationship Type="http://schemas.openxmlformats.org/officeDocument/2006/relationships/hyperlink" Id="rId726" Target="https://shiny.marinesensitivity.org/aoi/" TargetMode="External" /><Relationship Type="http://schemas.openxmlformats.org/officeDocument/2006/relationships/hyperlink" Id="rId732" Target="https://shiny.marinesensitivity.org/bird_hotspots/" TargetMode="External" /><Relationship Type="http://schemas.openxmlformats.org/officeDocument/2006/relationships/hyperlink" Id="rId738" Target="https://shiny.marinesensitivity.org/map/" TargetMode="External" /><Relationship Type="http://schemas.openxmlformats.org/officeDocument/2006/relationships/hyperlink" Id="rId744" Target="https://shiny.marinesensitivity.org/scores/" TargetMode="External" /><Relationship Type="http://schemas.openxmlformats.org/officeDocument/2006/relationships/hyperlink" Id="rId755" Target="https://shiny.marinesensitivity.org/sdm-cog/" TargetMode="External" /><Relationship Type="http://schemas.openxmlformats.org/officeDocument/2006/relationships/hyperlink" Id="rId749" Target="https://shiny.marinesensitivity.org/sdm/" TargetMode="External" /><Relationship Type="http://schemas.openxmlformats.org/officeDocument/2006/relationships/hyperlink" Id="rId761" Target="https://shiny.marinesensitivity.org/vmap/" TargetMode="External" /><Relationship Type="http://schemas.openxmlformats.org/officeDocument/2006/relationships/hyperlink" Id="rId302" Target="https://shiny.posit.co" TargetMode="External" /><Relationship Type="http://schemas.openxmlformats.org/officeDocument/2006/relationships/hyperlink" Id="rId384" Target="https://shiny.posit.co/" TargetMode="External" /><Relationship Type="http://schemas.openxmlformats.org/officeDocument/2006/relationships/hyperlink" Id="rId464" Target="https://stacspec.org" TargetMode="External" /><Relationship Type="http://schemas.openxmlformats.org/officeDocument/2006/relationships/hyperlink" Id="rId386" Target="https://titiler.marinesensitivity.org" TargetMode="External" /><Relationship Type="http://schemas.openxmlformats.org/officeDocument/2006/relationships/hyperlink" Id="rId358" Target="https://us-east-1.console.aws.amazon.com/ec2/home?region=us-east-1#Addresses:" TargetMode="External" /><Relationship Type="http://schemas.openxmlformats.org/officeDocument/2006/relationships/hyperlink" Id="rId453" Target="https://varnish-cache.org" TargetMode="External" /><Relationship Type="http://schemas.openxmlformats.org/officeDocument/2006/relationships/hyperlink" Id="rId29" Target="https://www.aquamaps.org" TargetMode="External" /><Relationship Type="http://schemas.openxmlformats.org/officeDocument/2006/relationships/hyperlink" Id="rId30" Target="https://www.birdlife.org" TargetMode="External" /><Relationship Type="http://schemas.openxmlformats.org/officeDocument/2006/relationships/hyperlink" Id="rId28" Target="https://www.boem.gov/environment/environmental-studies/environmental-studies-information" TargetMode="External" /><Relationship Type="http://schemas.openxmlformats.org/officeDocument/2006/relationships/hyperlink" Id="rId598" Target="https://www.boem.gov/sites/default/files/environmental-stewardship/Environmental-Studies/Pacific-Region/Studies/BOEM-2018-031-Vol1.pdf" TargetMode="External" /><Relationship Type="http://schemas.openxmlformats.org/officeDocument/2006/relationships/hyperlink" Id="rId354" Target="https://www.docker.com/" TargetMode="External" /><Relationship Type="http://schemas.openxmlformats.org/officeDocument/2006/relationships/hyperlink" Id="rId32" Target="https://www.fisheries.noaa.gov" TargetMode="External" /><Relationship Type="http://schemas.openxmlformats.org/officeDocument/2006/relationships/hyperlink" Id="rId142" Target="https://www.fisheries.noaa.gov/inport/item/65207" TargetMode="External" /><Relationship Type="http://schemas.openxmlformats.org/officeDocument/2006/relationships/hyperlink" Id="rId140" Target="https://www.fisheries.noaa.gov/resource/map/national-esa-critical-habitat-mapper" TargetMode="External" /><Relationship Type="http://schemas.openxmlformats.org/officeDocument/2006/relationships/hyperlink" Id="rId138" Target="https://www.fisheries.noaa.gov/s3/2021-09/shapefile_Rices_whale_core_distribution_area_Jun19_SERO.zip" TargetMode="External" /><Relationship Type="http://schemas.openxmlformats.org/officeDocument/2006/relationships/hyperlink" Id="rId137" Target="https://www.fisheries.noaa.gov/species/rices-whale" TargetMode="External" /><Relationship Type="http://schemas.openxmlformats.org/officeDocument/2006/relationships/hyperlink" Id="rId194" Target="https://www.fisheries.noaa.gov/topic/laws-policies#marine-mammal-protection-act" TargetMode="External" /><Relationship Type="http://schemas.openxmlformats.org/officeDocument/2006/relationships/hyperlink" Id="rId33" Target="https://www.fws.gov" TargetMode="External" /><Relationship Type="http://schemas.openxmlformats.org/officeDocument/2006/relationships/hyperlink" Id="rId192" Target="https://www.fws.gov/law/endangered-species-act" TargetMode="External" /><Relationship Type="http://schemas.openxmlformats.org/officeDocument/2006/relationships/hyperlink" Id="rId196" Target="https://www.fws.gov/law/migratory-bird-treaty-act-1918" TargetMode="External" /><Relationship Type="http://schemas.openxmlformats.org/officeDocument/2006/relationships/hyperlink" Id="rId174" Target="https://www.gbif.org" TargetMode="External" /><Relationship Type="http://schemas.openxmlformats.org/officeDocument/2006/relationships/hyperlink" Id="rId175" Target="https://www.itis.gov" TargetMode="External" /><Relationship Type="http://schemas.openxmlformats.org/officeDocument/2006/relationships/hyperlink" Id="rId31" Target="https://www.iucnredlist.org" TargetMode="External" /><Relationship Type="http://schemas.openxmlformats.org/officeDocument/2006/relationships/hyperlink" Id="rId152" Target="https://www.iucnredlist.org/resources/spatial-data-download" TargetMode="External" /><Relationship Type="http://schemas.openxmlformats.org/officeDocument/2006/relationships/hyperlink" Id="rId173" Target="https://www.marinespecies.org" TargetMode="External" /><Relationship Type="http://schemas.openxmlformats.org/officeDocument/2006/relationships/hyperlink" Id="rId294" Target="https://www.rplumber.io" TargetMode="External" /><Relationship Type="http://schemas.openxmlformats.org/officeDocument/2006/relationships/hyperlink" Id="rId445" Target="https://www.rplumber.io/" TargetMode="External" /><Relationship Type="http://schemas.openxmlformats.org/officeDocument/2006/relationships/hyperlink" Id="rId154" Target="https://www.seaturtlestatus.org/online-map-data" TargetMode="External" /><Relationship Type="http://schemas.openxmlformats.org/officeDocument/2006/relationships/hyperlink" Id="rId38" Target="https://www.whitehouse.gov/presidential-actions/2025/01/restoring-gold-standard-science-in-the-federal-government/" TargetMode="External" /><Relationship Type="http://schemas.openxmlformats.org/officeDocument/2006/relationships/hyperlink" Id="rId37" Target="releases.qmd" TargetMode="External" /><Relationship Type="http://schemas.openxmlformats.org/officeDocument/2006/relationships/hyperlink" Id="rId613" Target="scores.qmd" TargetMode="External" /><Relationship Type="http://schemas.openxmlformats.org/officeDocument/2006/relationships/hyperlink" Id="rId23" Target="scoring-walkthrough.qmd" TargetMode="External" /><Relationship Type="http://schemas.openxmlformats.org/officeDocument/2006/relationships/hyperlink" Id="rId614" Target="species.qmd" TargetMode="External" /></Relationships>
</file>

<file path=word/_rels/footnotes.xml.rels><?xml version="1.0" encoding="UTF-8"?><Relationships xmlns="http://schemas.openxmlformats.org/package/2006/relationships"><Relationship Type="http://schemas.openxmlformats.org/officeDocument/2006/relationships/hyperlink" Id="rId610" Target="MarineBON.org" TargetMode="External" /><Relationship Type="http://schemas.openxmlformats.org/officeDocument/2006/relationships/hyperlink" Id="rId479" Target="apps/scores.qmd" TargetMode="External" /><Relationship Type="http://schemas.openxmlformats.org/officeDocument/2006/relationships/hyperlink" Id="rId480" Target="apps/species.qmd" TargetMode="External" /><Relationship Type="http://schemas.openxmlformats.org/officeDocument/2006/relationships/hyperlink" Id="rId150" Target="http://datazone.birdlife.org/species/requestdis" TargetMode="External" /><Relationship Type="http://schemas.openxmlformats.org/officeDocument/2006/relationships/hyperlink" Id="rId165" Target="http://sites.science.oregonstate.edu/ocean.productivity" TargetMode="External" /><Relationship Type="http://schemas.openxmlformats.org/officeDocument/2006/relationships/hyperlink" Id="rId578" Target="https://CRAN.R-project.org/package=shiny" TargetMode="External" /><Relationship Type="http://schemas.openxmlformats.org/officeDocument/2006/relationships/hyperlink" Id="rId374" Target="https://account.squarespace.com/domains" TargetMode="External" /><Relationship Type="http://schemas.openxmlformats.org/officeDocument/2006/relationships/hyperlink" Id="rId387" Target="https://api.marinesensitivity.org" TargetMode="External" /><Relationship Type="http://schemas.openxmlformats.org/officeDocument/2006/relationships/hyperlink" Id="rId379" Target="https://app.marinesensitivity.org" TargetMode="External" /><Relationship Type="http://schemas.openxmlformats.org/officeDocument/2006/relationships/hyperlink" Id="rId84" Target="https://app.marinesensitivity.org/v3/scores/" TargetMode="External" /><Relationship Type="http://schemas.openxmlformats.org/officeDocument/2006/relationships/hyperlink" Id="rId85" Target="https://app.marinesensitivity.org/v3/species/" TargetMode="External" /><Relationship Type="http://schemas.openxmlformats.org/officeDocument/2006/relationships/hyperlink" Id="rId21" Target="https://app.marinesensitivity.org/v7/scores/" TargetMode="External" /><Relationship Type="http://schemas.openxmlformats.org/officeDocument/2006/relationships/hyperlink" Id="rId22" Target="https://app.marinesensitivity.org/v7/species/" TargetMode="External" /><Relationship Type="http://schemas.openxmlformats.org/officeDocument/2006/relationships/hyperlink" Id="rId36" Target="https://boem.gov" TargetMode="External" /><Relationship Type="http://schemas.openxmlformats.org/officeDocument/2006/relationships/hyperlink" Id="rId437" Target="https://books.ropensci.org/targets/" TargetMode="External" /><Relationship Type="http://schemas.openxmlformats.org/officeDocument/2006/relationships/hyperlink" Id="rId356" Target="https://caddyserver.com" TargetMode="External" /><Relationship Type="http://schemas.openxmlformats.org/officeDocument/2006/relationships/hyperlink" Id="rId295" Target="https://developmentseed.org/titiler/" TargetMode="External" /><Relationship Type="http://schemas.openxmlformats.org/officeDocument/2006/relationships/hyperlink" Id="rId363" Target="https://docs.aws.amazon.com/AWSEC2/latest/UserGuide/ebs-using-volumes.html" TargetMode="External" /><Relationship Type="http://schemas.openxmlformats.org/officeDocument/2006/relationships/hyperlink" Id="rId361" Target="https://docs.aws.amazon.com/AWSEC2/latest/UserGuide/set-hostname.html" TargetMode="External" /><Relationship Type="http://schemas.openxmlformats.org/officeDocument/2006/relationships/hyperlink" Id="rId370" Target="https://docs.aws.amazon.com/AWSEC2/latest/UserGuide/snapshot-ami-policy.html#create-snap-policy" TargetMode="External" /><Relationship Type="http://schemas.openxmlformats.org/officeDocument/2006/relationships/hyperlink" Id="rId375" Target="https://docs.github.com/en/pages/configuring-a-custom-domain-for-your-github-pages-site/managing-a-custom-domain-for-your-github-pages-site" TargetMode="External" /><Relationship Type="http://schemas.openxmlformats.org/officeDocument/2006/relationships/hyperlink" Id="rId594" Target="https://doi.org/10.1002/ece3.70030" TargetMode="External" /><Relationship Type="http://schemas.openxmlformats.org/officeDocument/2006/relationships/hyperlink" Id="rId582" Target="https://doi.org/10.1038/nature11397" TargetMode="External" /><Relationship Type="http://schemas.openxmlformats.org/officeDocument/2006/relationships/hyperlink" Id="rId590" Target="https://doi.org/10.1038/s41559-017-0160" TargetMode="External" /><Relationship Type="http://schemas.openxmlformats.org/officeDocument/2006/relationships/hyperlink" Id="rId592" Target="https://doi.org/10.1038/s41559-021-01432-0" TargetMode="External" /><Relationship Type="http://schemas.openxmlformats.org/officeDocument/2006/relationships/hyperlink" Id="rId606" Target="https://doi.org/10.1038/sdata.2016.18" TargetMode="External" /><Relationship Type="http://schemas.openxmlformats.org/officeDocument/2006/relationships/hyperlink" Id="rId580" Target="https://doi.org/10.1080/09640568.2014.973483" TargetMode="External" /><Relationship Type="http://schemas.openxmlformats.org/officeDocument/2006/relationships/hyperlink" Id="rId584" Target="https://doi.org/10.1111/j.1523-1739.2007.00752.x" TargetMode="External" /><Relationship Type="http://schemas.openxmlformats.org/officeDocument/2006/relationships/hyperlink" Id="rId576" Target="https://doi.org/10.1371/journal.pbio.0020383" TargetMode="External" /><Relationship Type="http://schemas.openxmlformats.org/officeDocument/2006/relationships/hyperlink" Id="rId574" Target="https://doi.org/10.1371/journal.pone.0000140" TargetMode="External" /><Relationship Type="http://schemas.openxmlformats.org/officeDocument/2006/relationships/hyperlink" Id="rId596" Target="https://doi.org/10.1371/journal.pone.0003700" TargetMode="External" /><Relationship Type="http://schemas.openxmlformats.org/officeDocument/2006/relationships/hyperlink" Id="rId586" Target="https://doi.org/10.1371/journal.pone.0146756" TargetMode="External" /><Relationship Type="http://schemas.openxmlformats.org/officeDocument/2006/relationships/hyperlink" Id="rId604" Target="https://doi.org/10.3354/esr01243" TargetMode="External" /><Relationship Type="http://schemas.openxmlformats.org/officeDocument/2006/relationships/hyperlink" Id="rId572" Target="https://doi.org/10.4319/lo.1997.42.1.0001" TargetMode="External" /><Relationship Type="http://schemas.openxmlformats.org/officeDocument/2006/relationships/hyperlink" Id="rId367" Target="https://drive.google.com/open?id=17B3djETDU8SVwGvJdZ3rp7TKtX8w0cfl&amp;usp=drive_fs" TargetMode="External" /><Relationship Type="http://schemas.openxmlformats.org/officeDocument/2006/relationships/hyperlink" Id="rId293" Target="https://duckdb.org" TargetMode="External" /><Relationship Type="http://schemas.openxmlformats.org/officeDocument/2006/relationships/hyperlink" Id="rId145" Target="https://ecos.fws.gov/docs/crithab/crithab_all/crithab_all_layers.zip" TargetMode="External" /><Relationship Type="http://schemas.openxmlformats.org/officeDocument/2006/relationships/hyperlink" Id="rId148" Target="https://ecos.fws.gov/docs/species/shapefiles/usfws_complete_species_current_range.zip" TargetMode="External" /><Relationship Type="http://schemas.openxmlformats.org/officeDocument/2006/relationships/hyperlink" Id="rId144" Target="https://ecos.fws.gov/ecp/report/table/critical-habitat.html" TargetMode="External" /><Relationship Type="http://schemas.openxmlformats.org/officeDocument/2006/relationships/hyperlink" Id="rId147" Target="https://ecos.fws.gov/ecp/species-reports" TargetMode="External" /><Relationship Type="http://schemas.openxmlformats.org/officeDocument/2006/relationships/hyperlink" Id="rId385" Target="https://file.marinesensitivity.org" TargetMode="External" /><Relationship Type="http://schemas.openxmlformats.org/officeDocument/2006/relationships/hyperlink" Id="rId316" Target="https://github.com/CrunchyData/pg_tileserv" TargetMode="External" /><Relationship Type="http://schemas.openxmlformats.org/officeDocument/2006/relationships/hyperlink" Id="rId296" Target="https://github.com/MarineSensitivities/msens" TargetMode="External" /><Relationship Type="http://schemas.openxmlformats.org/officeDocument/2006/relationships/hyperlink" Id="rId329" Target="https://github.com/MarineSensitivity/.github" TargetMode="External" /><Relationship Type="http://schemas.openxmlformats.org/officeDocument/2006/relationships/hyperlink" Id="rId337" Target="https://github.com/MarineSensitivity/MarineSensitivity.github.io" TargetMode="External" /><Relationship Type="http://schemas.openxmlformats.org/officeDocument/2006/relationships/hyperlink" Id="rId330" Target="https://github.com/MarineSensitivity/analytics" TargetMode="External" /><Relationship Type="http://schemas.openxmlformats.org/officeDocument/2006/relationships/hyperlink" Id="rId331" Target="https://github.com/MarineSensitivity/api" TargetMode="External" /><Relationship Type="http://schemas.openxmlformats.org/officeDocument/2006/relationships/hyperlink" Id="rId459" Target="https://github.com/MarineSensitivity/api/blob/main/plumber.R" TargetMode="External" /><Relationship Type="http://schemas.openxmlformats.org/officeDocument/2006/relationships/hyperlink" Id="rId332" Target="https://github.com/MarineSensitivity/app" TargetMode="External" /><Relationship Type="http://schemas.openxmlformats.org/officeDocument/2006/relationships/hyperlink" Id="rId333" Target="https://github.com/MarineSensitivity/apps" TargetMode="External" /><Relationship Type="http://schemas.openxmlformats.org/officeDocument/2006/relationships/hyperlink" Id="rId727" Target="https://github.com/MarineSensitivity/apps/tree/main/aoi" TargetMode="External" /><Relationship Type="http://schemas.openxmlformats.org/officeDocument/2006/relationships/hyperlink" Id="rId733" Target="https://github.com/MarineSensitivity/apps/tree/main/bird_hotspots" TargetMode="External" /><Relationship Type="http://schemas.openxmlformats.org/officeDocument/2006/relationships/hyperlink" Id="rId739" Target="https://github.com/MarineSensitivity/apps/tree/main/map" TargetMode="External" /><Relationship Type="http://schemas.openxmlformats.org/officeDocument/2006/relationships/hyperlink" Id="rId708" Target="https://github.com/MarineSensitivity/apps/tree/main/scores" TargetMode="External" /><Relationship Type="http://schemas.openxmlformats.org/officeDocument/2006/relationships/hyperlink" Id="rId750" Target="https://github.com/MarineSensitivity/apps/tree/main/sdm" TargetMode="External" /><Relationship Type="http://schemas.openxmlformats.org/officeDocument/2006/relationships/hyperlink" Id="rId756" Target="https://github.com/MarineSensitivity/apps/tree/main/sdm-cog" TargetMode="External" /><Relationship Type="http://schemas.openxmlformats.org/officeDocument/2006/relationships/hyperlink" Id="rId723" Target="https://github.com/MarineSensitivity/apps/tree/main/species" TargetMode="External" /><Relationship Type="http://schemas.openxmlformats.org/officeDocument/2006/relationships/hyperlink" Id="rId762" Target="https://github.com/MarineSensitivity/apps/tree/main/vmap" TargetMode="External" /><Relationship Type="http://schemas.openxmlformats.org/officeDocument/2006/relationships/hyperlink" Id="rId334" Target="https://github.com/MarineSensitivity/atlas" TargetMode="External" /><Relationship Type="http://schemas.openxmlformats.org/officeDocument/2006/relationships/hyperlink" Id="rId678" Target="https://github.com/MarineSensitivity/atlas/blob/main/docs/accessibility.md" TargetMode="External" /><Relationship Type="http://schemas.openxmlformats.org/officeDocument/2006/relationships/hyperlink" Id="rId679" Target="https://github.com/MarineSensitivity/atlas/blob/main/docs/performance.md" TargetMode="External" /><Relationship Type="http://schemas.openxmlformats.org/officeDocument/2006/relationships/hyperlink" Id="rId335" Target="https://github.com/MarineSensitivity/docs" TargetMode="External" /><Relationship Type="http://schemas.openxmlformats.org/officeDocument/2006/relationships/hyperlink" Id="rId336" Target="https://github.com/MarineSensitivity/manuscripts" TargetMode="External" /><Relationship Type="http://schemas.openxmlformats.org/officeDocument/2006/relationships/hyperlink" Id="rId338" Target="https://github.com/MarineSensitivity/msens" TargetMode="External" /><Relationship Type="http://schemas.openxmlformats.org/officeDocument/2006/relationships/hyperlink" Id="rId339" Target="https://github.com/MarineSensitivity/objectives" TargetMode="External" /><Relationship Type="http://schemas.openxmlformats.org/officeDocument/2006/relationships/hyperlink" Id="rId340" Target="https://github.com/MarineSensitivity/server" TargetMode="External" /><Relationship Type="http://schemas.openxmlformats.org/officeDocument/2006/relationships/hyperlink" Id="rId377" Target="https://github.com/MarineSensitivity/server/blob/main/caddy/Caddyfile" TargetMode="External" /><Relationship Type="http://schemas.openxmlformats.org/officeDocument/2006/relationships/hyperlink" Id="rId355" Target="https://github.com/MarineSensitivity/server/blob/main/docker-compose.yml" TargetMode="External" /><Relationship Type="http://schemas.openxmlformats.org/officeDocument/2006/relationships/hyperlink" Id="rId449" Target="https://github.com/MarineSensitivity/server/blob/main/titiler/factory.py" TargetMode="External" /><Relationship Type="http://schemas.openxmlformats.org/officeDocument/2006/relationships/hyperlink" Id="rId357" Target="https://github.com/MarineSensitivity/server/wiki/Server-Setup" TargetMode="External" /><Relationship Type="http://schemas.openxmlformats.org/officeDocument/2006/relationships/hyperlink" Id="rId341" Target="https://github.com/MarineSensitivity/stac-sdm" TargetMode="External" /><Relationship Type="http://schemas.openxmlformats.org/officeDocument/2006/relationships/hyperlink" Id="rId342" Target="https://github.com/MarineSensitivity/workflows" TargetMode="External" /><Relationship Type="http://schemas.openxmlformats.org/officeDocument/2006/relationships/hyperlink" Id="rId311" Target="https://github.com/mapbox/tippecanoe" TargetMode="External" /><Relationship Type="http://schemas.openxmlformats.org/officeDocument/2006/relationships/hyperlink" Id="rId305" Target="https://guide.cloudnativegeo.org/" TargetMode="External" /><Relationship Type="http://schemas.openxmlformats.org/officeDocument/2006/relationships/hyperlink" Id="rId351" Target="https://marinesensitivity.org/" TargetMode="External" /><Relationship Type="http://schemas.openxmlformats.org/officeDocument/2006/relationships/hyperlink" Id="rId472" Target="https://marinesensitivity.org/atlas/?ver=v7" TargetMode="External" /><Relationship Type="http://schemas.openxmlformats.org/officeDocument/2006/relationships/hyperlink" Id="rId352" Target="https://marinesensitivity.org/docs" TargetMode="External" /><Relationship Type="http://schemas.openxmlformats.org/officeDocument/2006/relationships/hyperlink" Id="rId26" Target="https://marinesensitivity.org/docs/" TargetMode="External" /><Relationship Type="http://schemas.openxmlformats.org/officeDocument/2006/relationships/hyperlink" Id="rId566" Target="https://marinesensitivity.org/faq/" TargetMode="External" /><Relationship Type="http://schemas.openxmlformats.org/officeDocument/2006/relationships/hyperlink" Id="rId353" Target="https://marinesensitivity.org/msens" TargetMode="External" /><Relationship Type="http://schemas.openxmlformats.org/officeDocument/2006/relationships/hyperlink" Id="rId451" Target="https://marinesensitivity.org/msens/reference/cell_stats.html" TargetMode="External" /><Relationship Type="http://schemas.openxmlformats.org/officeDocument/2006/relationships/hyperlink" Id="rId450" Target="https://marinesensitivity.org/msens/reference/cell_tile_url.html" TargetMode="External" /><Relationship Type="http://schemas.openxmlformats.org/officeDocument/2006/relationships/hyperlink" Id="rId283" Target="https://marinesensitivity.org/workflows/" TargetMode="External" /><Relationship Type="http://schemas.openxmlformats.org/officeDocument/2006/relationships/hyperlink" Id="rId366" Target="https://medium.com/@srijaanaparthy/step-by-step-guide-to-install-docker-on-ubuntu-in-aws-a39746e5a63d" TargetMode="External" /><Relationship Type="http://schemas.openxmlformats.org/officeDocument/2006/relationships/hyperlink" Id="rId141" Target="https://noaa.maps.arcgis.com/home/item.html?id=f66c1e33f91d480db7d1b1c1336223c3" TargetMode="External" /><Relationship Type="http://schemas.openxmlformats.org/officeDocument/2006/relationships/hyperlink" Id="rId601" Target="https://noaa.maps.arcgis.com/home/search.html?searchTerm=turtle+dps" TargetMode="External" /><Relationship Type="http://schemas.openxmlformats.org/officeDocument/2006/relationships/hyperlink" Id="rId396" Target="https://posit.co/products/open-source/rstudio-server/" TargetMode="External" /><Relationship Type="http://schemas.openxmlformats.org/officeDocument/2006/relationships/hyperlink" Id="rId297" Target="https://protomaps.com/docs/pmtiles/" TargetMode="External" /><Relationship Type="http://schemas.openxmlformats.org/officeDocument/2006/relationships/hyperlink" Id="rId436" Target="https://quarto.org" TargetMode="External" /><Relationship Type="http://schemas.openxmlformats.org/officeDocument/2006/relationships/hyperlink" Id="rId134" Target="https://raquamaps.github.io/aquamapsdata" TargetMode="External" /><Relationship Type="http://schemas.openxmlformats.org/officeDocument/2006/relationships/hyperlink" Id="rId135" Target="https://raquamaps.github.io/aquamapsdata/articles/intro.html#data-scope-and-content-1" TargetMode="External" /><Relationship Type="http://schemas.openxmlformats.org/officeDocument/2006/relationships/hyperlink" Id="rId304" Target="https://rstudio.github.io/leaflet/articles/raster.html#large-raster-warning" TargetMode="External" /><Relationship Type="http://schemas.openxmlformats.org/officeDocument/2006/relationships/hyperlink" Id="rId392" Target="https://rstudio.marinesensitivity.org" TargetMode="External" /><Relationship Type="http://schemas.openxmlformats.org/officeDocument/2006/relationships/hyperlink" Id="rId380" Target="https://shiny.marinesensitivity.org" TargetMode="External" /><Relationship Type="http://schemas.openxmlformats.org/officeDocument/2006/relationships/hyperlink" Id="rId726" Target="https://shiny.marinesensitivity.org/aoi/" TargetMode="External" /><Relationship Type="http://schemas.openxmlformats.org/officeDocument/2006/relationships/hyperlink" Id="rId732" Target="https://shiny.marinesensitivity.org/bird_hotspots/" TargetMode="External" /><Relationship Type="http://schemas.openxmlformats.org/officeDocument/2006/relationships/hyperlink" Id="rId738" Target="https://shiny.marinesensitivity.org/map/" TargetMode="External" /><Relationship Type="http://schemas.openxmlformats.org/officeDocument/2006/relationships/hyperlink" Id="rId744" Target="https://shiny.marinesensitivity.org/scores/" TargetMode="External" /><Relationship Type="http://schemas.openxmlformats.org/officeDocument/2006/relationships/hyperlink" Id="rId755" Target="https://shiny.marinesensitivity.org/sdm-cog/" TargetMode="External" /><Relationship Type="http://schemas.openxmlformats.org/officeDocument/2006/relationships/hyperlink" Id="rId749" Target="https://shiny.marinesensitivity.org/sdm/" TargetMode="External" /><Relationship Type="http://schemas.openxmlformats.org/officeDocument/2006/relationships/hyperlink" Id="rId761" Target="https://shiny.marinesensitivity.org/vmap/" TargetMode="External" /><Relationship Type="http://schemas.openxmlformats.org/officeDocument/2006/relationships/hyperlink" Id="rId302" Target="https://shiny.posit.co" TargetMode="External" /><Relationship Type="http://schemas.openxmlformats.org/officeDocument/2006/relationships/hyperlink" Id="rId384" Target="https://shiny.posit.co/" TargetMode="External" /><Relationship Type="http://schemas.openxmlformats.org/officeDocument/2006/relationships/hyperlink" Id="rId464" Target="https://stacspec.org" TargetMode="External" /><Relationship Type="http://schemas.openxmlformats.org/officeDocument/2006/relationships/hyperlink" Id="rId386" Target="https://titiler.marinesensitivity.org" TargetMode="External" /><Relationship Type="http://schemas.openxmlformats.org/officeDocument/2006/relationships/hyperlink" Id="rId358" Target="https://us-east-1.console.aws.amazon.com/ec2/home?region=us-east-1#Addresses:" TargetMode="External" /><Relationship Type="http://schemas.openxmlformats.org/officeDocument/2006/relationships/hyperlink" Id="rId453" Target="https://varnish-cache.org" TargetMode="External" /><Relationship Type="http://schemas.openxmlformats.org/officeDocument/2006/relationships/hyperlink" Id="rId29" Target="https://www.aquamaps.org" TargetMode="External" /><Relationship Type="http://schemas.openxmlformats.org/officeDocument/2006/relationships/hyperlink" Id="rId30" Target="https://www.birdlife.org" TargetMode="External" /><Relationship Type="http://schemas.openxmlformats.org/officeDocument/2006/relationships/hyperlink" Id="rId28" Target="https://www.boem.gov/environment/environmental-studies/environmental-studies-information" TargetMode="External" /><Relationship Type="http://schemas.openxmlformats.org/officeDocument/2006/relationships/hyperlink" Id="rId598" Target="https://www.boem.gov/sites/default/files/environmental-stewardship/Environmental-Studies/Pacific-Region/Studies/BOEM-2018-031-Vol1.pdf" TargetMode="External" /><Relationship Type="http://schemas.openxmlformats.org/officeDocument/2006/relationships/hyperlink" Id="rId354" Target="https://www.docker.com/" TargetMode="External" /><Relationship Type="http://schemas.openxmlformats.org/officeDocument/2006/relationships/hyperlink" Id="rId32" Target="https://www.fisheries.noaa.gov" TargetMode="External" /><Relationship Type="http://schemas.openxmlformats.org/officeDocument/2006/relationships/hyperlink" Id="rId142" Target="https://www.fisheries.noaa.gov/inport/item/65207" TargetMode="External" /><Relationship Type="http://schemas.openxmlformats.org/officeDocument/2006/relationships/hyperlink" Id="rId140" Target="https://www.fisheries.noaa.gov/resource/map/national-esa-critical-habitat-mapper" TargetMode="External" /><Relationship Type="http://schemas.openxmlformats.org/officeDocument/2006/relationships/hyperlink" Id="rId138" Target="https://www.fisheries.noaa.gov/s3/2021-09/shapefile_Rices_whale_core_distribution_area_Jun19_SERO.zip" TargetMode="External" /><Relationship Type="http://schemas.openxmlformats.org/officeDocument/2006/relationships/hyperlink" Id="rId137" Target="https://www.fisheries.noaa.gov/species/rices-whale" TargetMode="External" /><Relationship Type="http://schemas.openxmlformats.org/officeDocument/2006/relationships/hyperlink" Id="rId194" Target="https://www.fisheries.noaa.gov/topic/laws-policies#marine-mammal-protection-act" TargetMode="External" /><Relationship Type="http://schemas.openxmlformats.org/officeDocument/2006/relationships/hyperlink" Id="rId33" Target="https://www.fws.gov" TargetMode="External" /><Relationship Type="http://schemas.openxmlformats.org/officeDocument/2006/relationships/hyperlink" Id="rId192" Target="https://www.fws.gov/law/endangered-species-act" TargetMode="External" /><Relationship Type="http://schemas.openxmlformats.org/officeDocument/2006/relationships/hyperlink" Id="rId196" Target="https://www.fws.gov/law/migratory-bird-treaty-act-1918" TargetMode="External" /><Relationship Type="http://schemas.openxmlformats.org/officeDocument/2006/relationships/hyperlink" Id="rId174" Target="https://www.gbif.org" TargetMode="External" /><Relationship Type="http://schemas.openxmlformats.org/officeDocument/2006/relationships/hyperlink" Id="rId175" Target="https://www.itis.gov" TargetMode="External" /><Relationship Type="http://schemas.openxmlformats.org/officeDocument/2006/relationships/hyperlink" Id="rId31" Target="https://www.iucnredlist.org" TargetMode="External" /><Relationship Type="http://schemas.openxmlformats.org/officeDocument/2006/relationships/hyperlink" Id="rId152" Target="https://www.iucnredlist.org/resources/spatial-data-download" TargetMode="External" /><Relationship Type="http://schemas.openxmlformats.org/officeDocument/2006/relationships/hyperlink" Id="rId173" Target="https://www.marinespecies.org" TargetMode="External" /><Relationship Type="http://schemas.openxmlformats.org/officeDocument/2006/relationships/hyperlink" Id="rId294" Target="https://www.rplumber.io" TargetMode="External" /><Relationship Type="http://schemas.openxmlformats.org/officeDocument/2006/relationships/hyperlink" Id="rId445" Target="https://www.rplumber.io/" TargetMode="External" /><Relationship Type="http://schemas.openxmlformats.org/officeDocument/2006/relationships/hyperlink" Id="rId154" Target="https://www.seaturtlestatus.org/online-map-data" TargetMode="External" /><Relationship Type="http://schemas.openxmlformats.org/officeDocument/2006/relationships/hyperlink" Id="rId38" Target="https://www.whitehouse.gov/presidential-actions/2025/01/restoring-gold-standard-science-in-the-federal-government/" TargetMode="External" /><Relationship Type="http://schemas.openxmlformats.org/officeDocument/2006/relationships/hyperlink" Id="rId37" Target="releases.qmd" TargetMode="External" /><Relationship Type="http://schemas.openxmlformats.org/officeDocument/2006/relationships/hyperlink" Id="rId613" Target="scores.qmd" TargetMode="External" /><Relationship Type="http://schemas.openxmlformats.org/officeDocument/2006/relationships/hyperlink" Id="rId23" Target="scoring-walkthrough.qmd" TargetMode="External" /><Relationship Type="http://schemas.openxmlformats.org/officeDocument/2006/relationships/hyperlink" Id="rId614"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2026-10-14T10:58:55Z</dcterms:created>
  <dcterms:modified xsi:type="dcterms:W3CDTF">2026-10-14T10:58:55Z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2026-10-14</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