
<file path=[Content_Types].xml><?xml version="1.0" encoding="utf-8"?>
<Types xmlns="http://schemas.openxmlformats.org/package/2006/content-types">
  <Default Extension="xml" ContentType="application/xml"/>
  <Default Extension="xlsx" ContentType="application/vnd.openxmlformats-officedocument.spreadsheetml.sheet"/>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rPr>
          <w:rFonts w:hint="eastAsia" w:ascii="等线" w:hAnsi="等线" w:eastAsia="等线" w:cs="等线"/>
          <w:color w:val="auto"/>
          <w:kern w:val="0"/>
          <w:sz w:val="22"/>
          <w:szCs w:val="22"/>
        </w:rPr>
      </w:pPr>
      <w:r>
        <w:rPr>
          <w:rFonts w:hint="eastAsia" w:ascii="等线" w:hAnsi="等线" w:eastAsia="等线" w:cs="等线"/>
          <w:color w:val="auto"/>
          <w:sz w:val="22"/>
          <w:szCs w:val="22"/>
        </w:rPr>
        <w:t>2020年2月8日，国家卫生健康委办公厅发布调整后的全国新型冠状病毒肺炎专家组名单。</w:t>
      </w:r>
      <w:r>
        <w:rPr>
          <w:rFonts w:hint="eastAsia" w:ascii="等线" w:hAnsi="等线" w:eastAsia="等线" w:cs="等线"/>
          <w:color w:val="auto"/>
          <w:sz w:val="22"/>
          <w:szCs w:val="22"/>
          <w:lang w:val="en-US" w:eastAsia="zh-CN"/>
        </w:rPr>
        <w:t>此次</w:t>
      </w:r>
      <w:r>
        <w:rPr>
          <w:rFonts w:hint="eastAsia" w:ascii="等线" w:hAnsi="等线" w:eastAsia="等线" w:cs="等线"/>
          <w:color w:val="auto"/>
          <w:sz w:val="22"/>
          <w:szCs w:val="22"/>
        </w:rPr>
        <w:t>调整是为了“充分发挥专家作用，进一步加大疫情形势分析研判力度”</w:t>
      </w:r>
      <w:r>
        <w:rPr>
          <w:rFonts w:hint="eastAsia" w:ascii="等线" w:hAnsi="等线" w:eastAsia="等线" w:cs="等线"/>
          <w:color w:val="auto"/>
          <w:sz w:val="22"/>
          <w:szCs w:val="22"/>
          <w:lang w:eastAsia="zh-CN"/>
        </w:rPr>
        <w:t>，</w:t>
      </w:r>
      <w:r>
        <w:rPr>
          <w:rFonts w:hint="eastAsia" w:ascii="等线" w:hAnsi="等线" w:eastAsia="等线" w:cs="等线"/>
          <w:color w:val="auto"/>
          <w:sz w:val="22"/>
          <w:szCs w:val="22"/>
        </w:rPr>
        <w:t>名单中共计60位成员，由</w:t>
      </w:r>
      <w:r>
        <w:rPr>
          <w:rFonts w:hint="eastAsia" w:ascii="等线" w:hAnsi="等线" w:eastAsia="等线" w:cs="等线"/>
          <w:color w:val="auto"/>
          <w:kern w:val="0"/>
          <w:sz w:val="22"/>
          <w:szCs w:val="22"/>
        </w:rPr>
        <w:t>国家卫生健康委体制改革司司长梁万年担任组长</w:t>
      </w:r>
      <w:r>
        <w:rPr>
          <w:rFonts w:hint="eastAsia" w:ascii="等线" w:hAnsi="等线" w:eastAsia="等线" w:cs="等线"/>
          <w:color w:val="auto"/>
          <w:kern w:val="0"/>
          <w:sz w:val="22"/>
          <w:szCs w:val="22"/>
          <w:lang w:eastAsia="zh-CN"/>
        </w:rPr>
        <w:t>，</w:t>
      </w:r>
      <w:r>
        <w:rPr>
          <w:rFonts w:hint="eastAsia" w:ascii="等线" w:hAnsi="等线" w:eastAsia="等线" w:cs="等线"/>
          <w:color w:val="auto"/>
          <w:kern w:val="0"/>
          <w:sz w:val="22"/>
          <w:szCs w:val="22"/>
          <w:lang w:val="en-US" w:eastAsia="zh-CN"/>
        </w:rPr>
        <w:t>包括钟南山、李兰娟、曾光、高福、袁国勇在内的</w:t>
      </w:r>
      <w:r>
        <w:rPr>
          <w:rFonts w:hint="eastAsia" w:ascii="等线" w:hAnsi="等线" w:eastAsia="等线" w:cs="等线"/>
          <w:color w:val="auto"/>
          <w:kern w:val="0"/>
          <w:sz w:val="22"/>
          <w:szCs w:val="22"/>
        </w:rPr>
        <w:t>国家卫健委高级别专家组五</w:t>
      </w:r>
      <w:r>
        <w:rPr>
          <w:rFonts w:hint="eastAsia" w:ascii="等线" w:hAnsi="等线" w:eastAsia="等线" w:cs="等线"/>
          <w:color w:val="auto"/>
          <w:kern w:val="0"/>
          <w:sz w:val="22"/>
          <w:szCs w:val="22"/>
          <w:lang w:val="en-US" w:eastAsia="zh-CN"/>
        </w:rPr>
        <w:t>名</w:t>
      </w:r>
      <w:r>
        <w:rPr>
          <w:rFonts w:hint="eastAsia" w:ascii="等线" w:hAnsi="等线" w:eastAsia="等线" w:cs="等线"/>
          <w:color w:val="auto"/>
          <w:kern w:val="0"/>
          <w:sz w:val="22"/>
          <w:szCs w:val="22"/>
        </w:rPr>
        <w:t>成员也在其中。</w:t>
      </w:r>
    </w:p>
    <w:p>
      <w:pPr>
        <w:rPr>
          <w:rFonts w:hint="eastAsia" w:ascii="等线" w:hAnsi="等线" w:eastAsia="等线" w:cs="等线"/>
          <w:color w:val="auto"/>
          <w:sz w:val="22"/>
          <w:szCs w:val="22"/>
        </w:rPr>
      </w:pPr>
      <w:r>
        <w:rPr>
          <w:rFonts w:hint="eastAsia" w:ascii="等线" w:hAnsi="等线" w:eastAsia="等线" w:cs="等线"/>
          <w:color w:val="auto"/>
          <w:sz w:val="22"/>
          <w:szCs w:val="22"/>
        </w:rPr>
        <w:t>60</w:t>
      </w:r>
      <w:r>
        <w:rPr>
          <w:rFonts w:hint="eastAsia" w:ascii="等线" w:hAnsi="等线" w:eastAsia="等线" w:cs="等线"/>
          <w:color w:val="auto"/>
          <w:sz w:val="22"/>
          <w:szCs w:val="22"/>
          <w:lang w:val="en-US" w:eastAsia="zh-CN"/>
        </w:rPr>
        <w:t>名专家</w:t>
      </w:r>
      <w:r>
        <w:rPr>
          <w:rFonts w:hint="eastAsia" w:ascii="等线" w:hAnsi="等线" w:eastAsia="等线" w:cs="等线"/>
          <w:color w:val="auto"/>
          <w:sz w:val="22"/>
          <w:szCs w:val="22"/>
        </w:rPr>
        <w:t>中，</w:t>
      </w:r>
      <w:r>
        <w:rPr>
          <w:rFonts w:hint="eastAsia" w:ascii="等线" w:hAnsi="等线" w:eastAsia="等线" w:cs="等线"/>
          <w:color w:val="auto"/>
          <w:sz w:val="22"/>
          <w:szCs w:val="22"/>
          <w:lang w:val="en-US" w:eastAsia="zh-CN"/>
        </w:rPr>
        <w:t>男性居多，男女比例为49:11</w:t>
      </w:r>
      <w:r>
        <w:rPr>
          <w:rFonts w:hint="eastAsia" w:ascii="等线" w:hAnsi="等线" w:eastAsia="等线" w:cs="等线"/>
          <w:color w:val="auto"/>
          <w:sz w:val="22"/>
          <w:szCs w:val="22"/>
        </w:rPr>
        <w:t>。</w:t>
      </w:r>
    </w:p>
    <w:p>
      <w:pPr>
        <w:rPr>
          <w:rFonts w:hint="eastAsia" w:ascii="等线" w:hAnsi="等线" w:eastAsia="等线" w:cs="等线"/>
          <w:color w:val="auto"/>
          <w:sz w:val="22"/>
          <w:szCs w:val="22"/>
        </w:rPr>
      </w:pPr>
    </w:p>
    <w:p>
      <w:pPr>
        <w:jc w:val="center"/>
        <w:rPr>
          <w:rFonts w:hint="eastAsia" w:ascii="等线" w:hAnsi="等线" w:eastAsia="等线" w:cs="等线"/>
          <w:color w:val="auto"/>
          <w:sz w:val="22"/>
          <w:szCs w:val="22"/>
        </w:rPr>
      </w:pPr>
      <w:r>
        <w:rPr>
          <w:rFonts w:hint="eastAsia" w:ascii="等线" w:hAnsi="等线" w:eastAsia="等线" w:cs="等线"/>
          <w:color w:val="auto"/>
          <w:sz w:val="22"/>
          <w:szCs w:val="22"/>
        </w:rPr>
        <w:drawing>
          <wp:inline distT="0" distB="0" distL="0" distR="0">
            <wp:extent cx="3042920" cy="1480185"/>
            <wp:effectExtent l="4445" t="4445" r="19685" b="2032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jc w:val="center"/>
        <w:rPr>
          <w:rFonts w:hint="eastAsia" w:ascii="等线" w:hAnsi="等线" w:eastAsia="等线" w:cs="等线"/>
          <w:color w:val="auto"/>
          <w:sz w:val="22"/>
          <w:szCs w:val="22"/>
          <w:lang w:eastAsia="zh-CN"/>
        </w:rPr>
      </w:pPr>
      <w:r>
        <w:rPr>
          <w:rFonts w:hint="eastAsia" w:ascii="等线" w:hAnsi="等线" w:eastAsia="等线" w:cs="等线"/>
          <w:color w:val="auto"/>
          <w:sz w:val="22"/>
          <w:szCs w:val="22"/>
          <w:lang w:eastAsia="zh-CN"/>
        </w:rPr>
        <w:t>（</w:t>
      </w:r>
      <w:r>
        <w:rPr>
          <w:rFonts w:hint="eastAsia" w:ascii="等线" w:hAnsi="等线" w:eastAsia="等线" w:cs="等线"/>
          <w:color w:val="auto"/>
          <w:sz w:val="22"/>
          <w:szCs w:val="22"/>
          <w:lang w:val="en-US" w:eastAsia="zh-CN"/>
        </w:rPr>
        <w:t>专家组男女比草图，后统一制作</w:t>
      </w:r>
      <w:bookmarkStart w:id="0" w:name="_GoBack"/>
      <w:bookmarkEnd w:id="0"/>
      <w:r>
        <w:rPr>
          <w:rFonts w:hint="eastAsia" w:ascii="等线" w:hAnsi="等线" w:eastAsia="等线" w:cs="等线"/>
          <w:color w:val="auto"/>
          <w:sz w:val="22"/>
          <w:szCs w:val="22"/>
          <w:lang w:eastAsia="zh-CN"/>
        </w:rPr>
        <w:t>）</w:t>
      </w:r>
    </w:p>
    <w:p>
      <w:pPr>
        <w:jc w:val="center"/>
        <w:rPr>
          <w:rFonts w:hint="eastAsia" w:ascii="等线" w:hAnsi="等线" w:eastAsia="等线" w:cs="等线"/>
          <w:color w:val="auto"/>
          <w:sz w:val="22"/>
          <w:szCs w:val="22"/>
          <w:lang w:eastAsia="zh-CN"/>
        </w:rPr>
      </w:pPr>
    </w:p>
    <w:p>
      <w:pPr>
        <w:rPr>
          <w:rFonts w:hint="eastAsia" w:ascii="等线" w:hAnsi="等线" w:eastAsia="等线" w:cs="等线"/>
          <w:color w:val="auto"/>
          <w:sz w:val="22"/>
          <w:szCs w:val="22"/>
        </w:rPr>
      </w:pPr>
      <w:r>
        <w:rPr>
          <w:rFonts w:hint="eastAsia" w:ascii="等线" w:hAnsi="等线" w:eastAsia="等线" w:cs="等线"/>
          <w:color w:val="auto"/>
          <w:sz w:val="22"/>
          <w:szCs w:val="22"/>
        </w:rPr>
        <w:t>7位中国工程院院士，1位中国科学院院士，院士人数占了总人数的13.3%。其中，李兰娟、徐建国分别为传染病诊治、预防控制国家重点实验室的主任，侯云德为国家传染病防治重大专项原技术总师，钟南山为国家呼吸系统临床医学研究中心主任。可以说，他们是对此次新冠病毒最专业对口的一部分人。</w:t>
      </w:r>
    </w:p>
    <w:p>
      <w:pPr>
        <w:rPr>
          <w:rFonts w:hint="eastAsia" w:ascii="等线" w:hAnsi="等线" w:eastAsia="等线" w:cs="等线"/>
          <w:color w:val="auto"/>
          <w:sz w:val="22"/>
          <w:szCs w:val="22"/>
        </w:rPr>
      </w:pPr>
    </w:p>
    <w:p>
      <w:pPr>
        <w:rPr>
          <w:rFonts w:hint="eastAsia" w:ascii="等线" w:hAnsi="等线" w:eastAsia="等线" w:cs="等线"/>
          <w:color w:val="auto"/>
          <w:sz w:val="22"/>
          <w:szCs w:val="22"/>
        </w:rPr>
      </w:pPr>
      <w:r>
        <w:rPr>
          <w:rFonts w:hint="eastAsia" w:ascii="等线" w:hAnsi="等线" w:eastAsia="等线" w:cs="等线"/>
          <w:color w:val="auto"/>
          <w:sz w:val="22"/>
          <w:szCs w:val="22"/>
        </w:rPr>
        <w:t>共有14位专家都在高校任教，北京大学5位，清华大学3位，复旦大学、中国传媒大学、香港大学各2位。</w:t>
      </w:r>
    </w:p>
    <w:p>
      <w:pPr>
        <w:rPr>
          <w:rFonts w:hint="eastAsia" w:ascii="等线" w:hAnsi="等线" w:eastAsia="等线" w:cs="等线"/>
          <w:color w:val="auto"/>
          <w:sz w:val="22"/>
          <w:szCs w:val="22"/>
        </w:rPr>
      </w:pPr>
    </w:p>
    <w:p>
      <w:pPr>
        <w:jc w:val="center"/>
        <w:rPr>
          <w:rFonts w:hint="eastAsia" w:ascii="等线" w:hAnsi="等线" w:eastAsia="等线" w:cs="等线"/>
          <w:color w:val="auto"/>
          <w:sz w:val="22"/>
          <w:szCs w:val="22"/>
        </w:rPr>
      </w:pPr>
      <w:r>
        <w:rPr>
          <w:rFonts w:hint="eastAsia" w:ascii="等线" w:hAnsi="等线" w:eastAsia="等线" w:cs="等线"/>
          <w:color w:val="auto"/>
          <w:sz w:val="22"/>
          <w:szCs w:val="22"/>
        </w:rPr>
        <w:drawing>
          <wp:inline distT="0" distB="0" distL="0" distR="0">
            <wp:extent cx="3166110" cy="1739900"/>
            <wp:effectExtent l="4445" t="4445" r="10795" b="825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jc w:val="center"/>
        <w:rPr>
          <w:rFonts w:hint="eastAsia" w:ascii="等线" w:hAnsi="等线" w:eastAsia="等线" w:cs="等线"/>
          <w:color w:val="auto"/>
          <w:sz w:val="22"/>
          <w:szCs w:val="22"/>
          <w:lang w:eastAsia="zh-CN"/>
        </w:rPr>
      </w:pPr>
      <w:r>
        <w:rPr>
          <w:rFonts w:hint="eastAsia" w:ascii="等线" w:hAnsi="等线" w:eastAsia="等线" w:cs="等线"/>
          <w:color w:val="auto"/>
          <w:sz w:val="22"/>
          <w:szCs w:val="22"/>
          <w:lang w:eastAsia="zh-CN"/>
        </w:rPr>
        <w:t>（</w:t>
      </w:r>
      <w:r>
        <w:rPr>
          <w:rFonts w:hint="eastAsia" w:ascii="等线" w:hAnsi="等线" w:eastAsia="等线" w:cs="等线"/>
          <w:color w:val="auto"/>
          <w:sz w:val="22"/>
          <w:szCs w:val="22"/>
          <w:lang w:val="en-US" w:eastAsia="zh-CN"/>
        </w:rPr>
        <w:t>教授学者专家任职高校简图，后统一制作</w:t>
      </w:r>
      <w:r>
        <w:rPr>
          <w:rFonts w:hint="eastAsia" w:ascii="等线" w:hAnsi="等线" w:eastAsia="等线" w:cs="等线"/>
          <w:color w:val="auto"/>
          <w:sz w:val="22"/>
          <w:szCs w:val="22"/>
          <w:lang w:eastAsia="zh-CN"/>
        </w:rPr>
        <w:t>）</w:t>
      </w:r>
    </w:p>
    <w:p>
      <w:pPr>
        <w:jc w:val="center"/>
        <w:rPr>
          <w:rFonts w:hint="eastAsia" w:ascii="等线" w:hAnsi="等线" w:eastAsia="等线" w:cs="等线"/>
          <w:color w:val="auto"/>
          <w:sz w:val="22"/>
          <w:szCs w:val="22"/>
          <w:lang w:eastAsia="zh-CN"/>
        </w:rPr>
      </w:pPr>
    </w:p>
    <w:p>
      <w:pPr>
        <w:rPr>
          <w:rFonts w:hint="eastAsia" w:ascii="等线" w:hAnsi="等线" w:eastAsia="等线" w:cs="等线"/>
          <w:color w:val="auto"/>
          <w:sz w:val="22"/>
          <w:szCs w:val="22"/>
        </w:rPr>
      </w:pPr>
      <w:r>
        <w:rPr>
          <w:rFonts w:hint="eastAsia" w:ascii="等线" w:hAnsi="等线" w:eastAsia="等线" w:cs="等线"/>
          <w:color w:val="auto"/>
          <w:sz w:val="22"/>
          <w:szCs w:val="22"/>
          <w:lang w:val="en-US" w:eastAsia="zh-CN"/>
        </w:rPr>
        <w:t>专家组多来自北京，共有</w:t>
      </w:r>
      <w:r>
        <w:rPr>
          <w:rFonts w:hint="eastAsia" w:ascii="等线" w:hAnsi="等线" w:eastAsia="等线" w:cs="等线"/>
          <w:color w:val="auto"/>
          <w:sz w:val="22"/>
          <w:szCs w:val="22"/>
        </w:rPr>
        <w:t>52位</w:t>
      </w:r>
      <w:r>
        <w:rPr>
          <w:rFonts w:hint="eastAsia" w:ascii="等线" w:hAnsi="等线" w:eastAsia="等线" w:cs="等线"/>
          <w:color w:val="auto"/>
          <w:sz w:val="22"/>
          <w:szCs w:val="22"/>
          <w:lang w:val="en-US" w:eastAsia="zh-CN"/>
        </w:rPr>
        <w:t>正在北京各个机构任职</w:t>
      </w:r>
      <w:r>
        <w:rPr>
          <w:rFonts w:hint="eastAsia" w:ascii="等线" w:hAnsi="等线" w:eastAsia="等线" w:cs="等线"/>
          <w:color w:val="auto"/>
          <w:sz w:val="22"/>
          <w:szCs w:val="22"/>
        </w:rPr>
        <w:t>，上海、江苏、香港各2位，浙江、广东各1位。</w:t>
      </w:r>
    </w:p>
    <w:p>
      <w:pPr>
        <w:rPr>
          <w:rFonts w:hint="eastAsia" w:ascii="等线" w:hAnsi="等线" w:eastAsia="等线" w:cs="等线"/>
          <w:color w:val="auto"/>
          <w:sz w:val="22"/>
          <w:szCs w:val="22"/>
        </w:rPr>
      </w:pPr>
    </w:p>
    <w:p>
      <w:pPr>
        <w:jc w:val="center"/>
        <w:rPr>
          <w:rFonts w:hint="eastAsia" w:ascii="等线" w:hAnsi="等线" w:eastAsia="等线" w:cs="等线"/>
          <w:color w:val="auto"/>
          <w:sz w:val="22"/>
          <w:szCs w:val="22"/>
        </w:rPr>
      </w:pPr>
      <w:r>
        <w:rPr>
          <w:rFonts w:hint="eastAsia" w:ascii="等线" w:hAnsi="等线" w:eastAsia="等线" w:cs="等线"/>
          <w:color w:val="auto"/>
          <w:sz w:val="22"/>
          <w:szCs w:val="22"/>
        </w:rPr>
        <w:drawing>
          <wp:inline distT="0" distB="0" distL="0" distR="0">
            <wp:extent cx="4087495" cy="1828800"/>
            <wp:effectExtent l="4445" t="4445" r="22860" b="146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center"/>
        <w:rPr>
          <w:rFonts w:hint="eastAsia" w:ascii="等线" w:hAnsi="等线" w:eastAsia="等线" w:cs="等线"/>
          <w:color w:val="auto"/>
          <w:sz w:val="22"/>
          <w:szCs w:val="22"/>
          <w:lang w:eastAsia="zh-CN"/>
        </w:rPr>
      </w:pPr>
      <w:r>
        <w:rPr>
          <w:rFonts w:hint="eastAsia" w:ascii="等线" w:hAnsi="等线" w:eastAsia="等线" w:cs="等线"/>
          <w:color w:val="auto"/>
          <w:sz w:val="22"/>
          <w:szCs w:val="22"/>
          <w:lang w:eastAsia="zh-CN"/>
        </w:rPr>
        <w:t>（</w:t>
      </w:r>
      <w:r>
        <w:rPr>
          <w:rFonts w:hint="eastAsia" w:ascii="等线" w:hAnsi="等线" w:eastAsia="等线" w:cs="等线"/>
          <w:color w:val="auto"/>
          <w:sz w:val="22"/>
          <w:szCs w:val="22"/>
          <w:lang w:val="en-US" w:eastAsia="zh-CN"/>
        </w:rPr>
        <w:t>专家组来源地简图，后统一制作</w:t>
      </w:r>
      <w:r>
        <w:rPr>
          <w:rFonts w:hint="eastAsia" w:ascii="等线" w:hAnsi="等线" w:eastAsia="等线" w:cs="等线"/>
          <w:color w:val="auto"/>
          <w:sz w:val="22"/>
          <w:szCs w:val="22"/>
          <w:lang w:eastAsia="zh-CN"/>
        </w:rPr>
        <w:t>）</w:t>
      </w:r>
    </w:p>
    <w:p>
      <w:pPr>
        <w:jc w:val="center"/>
        <w:rPr>
          <w:rFonts w:hint="eastAsia" w:ascii="等线" w:hAnsi="等线" w:eastAsia="等线" w:cs="等线"/>
          <w:color w:val="auto"/>
          <w:sz w:val="22"/>
          <w:szCs w:val="22"/>
          <w:lang w:eastAsia="zh-CN"/>
        </w:rPr>
      </w:pPr>
    </w:p>
    <w:p>
      <w:pPr>
        <w:widowControl/>
        <w:rPr>
          <w:rFonts w:hint="eastAsia" w:ascii="等线" w:hAnsi="等线" w:eastAsia="等线" w:cs="等线"/>
          <w:color w:val="auto"/>
          <w:sz w:val="22"/>
          <w:szCs w:val="22"/>
        </w:rPr>
      </w:pPr>
      <w:r>
        <w:rPr>
          <w:rFonts w:hint="eastAsia" w:ascii="等线" w:hAnsi="等线" w:eastAsia="等线" w:cs="等线"/>
          <w:color w:val="auto"/>
          <w:sz w:val="22"/>
          <w:szCs w:val="22"/>
        </w:rPr>
        <w:t>60位专家中，具有医学工作和教育背景的专家占据了绝大部分，有5</w:t>
      </w:r>
      <w:r>
        <w:rPr>
          <w:rFonts w:hint="eastAsia" w:ascii="等线" w:hAnsi="等线" w:eastAsia="等线" w:cs="等线"/>
          <w:color w:val="auto"/>
          <w:sz w:val="22"/>
          <w:szCs w:val="22"/>
          <w:lang w:val="en-US" w:eastAsia="zh-CN"/>
        </w:rPr>
        <w:t>4</w:t>
      </w:r>
      <w:r>
        <w:rPr>
          <w:rFonts w:hint="eastAsia" w:ascii="等线" w:hAnsi="等线" w:eastAsia="等线" w:cs="等线"/>
          <w:color w:val="auto"/>
          <w:sz w:val="22"/>
          <w:szCs w:val="22"/>
        </w:rPr>
        <w:t>位；其中，多数成员都来自中国疾控中心、全军和各地的医学院、医院。这些专家多数都有着医学教育背景，毕业于协和医学院、中山医学院、北京医学院等医学名校，部分专家还有留洋经历，曾在美、英、法等国取得博士学位、进行博士后研究或进修。</w:t>
      </w:r>
    </w:p>
    <w:p>
      <w:pPr>
        <w:widowControl/>
        <w:rPr>
          <w:rFonts w:hint="eastAsia" w:ascii="等线" w:hAnsi="等线" w:eastAsia="等线" w:cs="等线"/>
          <w:color w:val="auto"/>
          <w:sz w:val="22"/>
          <w:szCs w:val="22"/>
        </w:rPr>
      </w:pPr>
    </w:p>
    <w:p>
      <w:pPr>
        <w:widowControl/>
        <w:rPr>
          <w:rFonts w:hint="eastAsia" w:ascii="等线" w:hAnsi="等线" w:eastAsia="等线" w:cs="等线"/>
          <w:color w:val="auto"/>
          <w:sz w:val="22"/>
          <w:szCs w:val="22"/>
          <w:lang w:val="en-US" w:eastAsia="zh-CN"/>
        </w:rPr>
      </w:pPr>
      <w:r>
        <w:rPr>
          <w:rFonts w:hint="eastAsia" w:ascii="等线" w:hAnsi="等线" w:eastAsia="等线" w:cs="等线"/>
          <w:color w:val="auto"/>
          <w:sz w:val="22"/>
          <w:szCs w:val="22"/>
        </w:rPr>
        <w:t>在科系分布上，有21位专家从事的是流行病学研究和传染病防治，6位专家有呼吸系统研究背景，4位专家从事重症监护医学研究</w:t>
      </w:r>
      <w:r>
        <w:rPr>
          <w:rFonts w:hint="eastAsia" w:ascii="等线" w:hAnsi="等线" w:eastAsia="等线" w:cs="等线"/>
          <w:color w:val="auto"/>
          <w:sz w:val="22"/>
          <w:szCs w:val="22"/>
          <w:lang w:eastAsia="zh-CN"/>
        </w:rPr>
        <w:t>。</w:t>
      </w:r>
      <w:r>
        <w:rPr>
          <w:rFonts w:hint="eastAsia" w:ascii="等线" w:hAnsi="等线" w:eastAsia="等线" w:cs="等线"/>
          <w:color w:val="auto"/>
          <w:sz w:val="22"/>
          <w:szCs w:val="22"/>
          <w:lang w:val="en-US" w:eastAsia="zh-CN"/>
        </w:rPr>
        <w:t>值得注意的是，</w:t>
      </w:r>
      <w:r>
        <w:rPr>
          <w:rFonts w:hint="eastAsia" w:ascii="等线" w:hAnsi="等线" w:eastAsia="等线" w:cs="等线"/>
          <w:color w:val="auto"/>
          <w:sz w:val="22"/>
          <w:szCs w:val="22"/>
        </w:rPr>
        <w:t>名单中还有</w:t>
      </w:r>
      <w:r>
        <w:rPr>
          <w:rFonts w:hint="eastAsia" w:ascii="等线" w:hAnsi="等线" w:eastAsia="等线" w:cs="等线"/>
          <w:color w:val="auto"/>
          <w:sz w:val="22"/>
          <w:szCs w:val="22"/>
          <w:lang w:val="en-US" w:eastAsia="zh-CN"/>
        </w:rPr>
        <w:t>3</w:t>
      </w:r>
      <w:r>
        <w:rPr>
          <w:rFonts w:hint="eastAsia" w:ascii="等线" w:hAnsi="等线" w:eastAsia="等线" w:cs="等线"/>
          <w:color w:val="auto"/>
          <w:sz w:val="22"/>
          <w:szCs w:val="22"/>
        </w:rPr>
        <w:t>位</w:t>
      </w:r>
      <w:r>
        <w:rPr>
          <w:rFonts w:hint="eastAsia" w:ascii="等线" w:hAnsi="等线" w:eastAsia="等线" w:cs="等线"/>
          <w:color w:val="auto"/>
          <w:sz w:val="22"/>
          <w:szCs w:val="22"/>
          <w:lang w:val="en-US" w:eastAsia="zh-CN"/>
        </w:rPr>
        <w:t>专家有中医背景</w:t>
      </w:r>
      <w:r>
        <w:rPr>
          <w:rFonts w:hint="eastAsia" w:ascii="等线" w:hAnsi="等线" w:eastAsia="等线" w:cs="等线"/>
          <w:color w:val="auto"/>
          <w:sz w:val="22"/>
          <w:szCs w:val="22"/>
        </w:rPr>
        <w:t>，分别是中国中医科学院院长黄璐琦、中华中医药学会副会长张伯礼</w:t>
      </w:r>
      <w:r>
        <w:rPr>
          <w:rFonts w:hint="eastAsia" w:ascii="等线" w:hAnsi="等线" w:eastAsia="等线" w:cs="等线"/>
          <w:color w:val="auto"/>
          <w:sz w:val="22"/>
          <w:szCs w:val="22"/>
          <w:lang w:eastAsia="zh-CN"/>
        </w:rPr>
        <w:t>、</w:t>
      </w:r>
      <w:r>
        <w:rPr>
          <w:rFonts w:hint="eastAsia" w:ascii="等线" w:hAnsi="等线" w:eastAsia="等线" w:cs="等线"/>
          <w:color w:val="auto"/>
          <w:sz w:val="22"/>
          <w:szCs w:val="22"/>
          <w:lang w:val="en-US" w:eastAsia="zh-CN"/>
        </w:rPr>
        <w:t>北京市中医医学院院长刘清泉</w:t>
      </w:r>
      <w:r>
        <w:rPr>
          <w:rFonts w:hint="eastAsia" w:ascii="等线" w:hAnsi="等线" w:eastAsia="等线" w:cs="等线"/>
          <w:color w:val="auto"/>
          <w:sz w:val="22"/>
          <w:szCs w:val="22"/>
        </w:rPr>
        <w:t>，</w:t>
      </w:r>
      <w:r>
        <w:rPr>
          <w:rFonts w:hint="eastAsia" w:ascii="等线" w:hAnsi="等线" w:eastAsia="等线" w:cs="等线"/>
          <w:color w:val="auto"/>
          <w:sz w:val="22"/>
          <w:szCs w:val="22"/>
          <w:lang w:val="en-US" w:eastAsia="zh-CN"/>
        </w:rPr>
        <w:t>前</w:t>
      </w:r>
      <w:r>
        <w:rPr>
          <w:rFonts w:hint="eastAsia" w:ascii="等线" w:hAnsi="等线" w:eastAsia="等线" w:cs="等线"/>
          <w:color w:val="auto"/>
          <w:sz w:val="22"/>
          <w:szCs w:val="22"/>
        </w:rPr>
        <w:t>两位同时也都是中国工程院院士。</w:t>
      </w:r>
      <w:r>
        <w:rPr>
          <w:rFonts w:hint="eastAsia" w:ascii="等线" w:hAnsi="等线" w:eastAsia="等线" w:cs="等线"/>
          <w:color w:val="auto"/>
          <w:sz w:val="22"/>
          <w:szCs w:val="22"/>
          <w:lang w:val="en-US" w:eastAsia="zh-CN"/>
        </w:rPr>
        <w:t>说明此次疫情防控工作中，国家卫健委对中医也多有参考。还有一名心理治疗方面的专家马弘医生。</w:t>
      </w:r>
    </w:p>
    <w:p>
      <w:pPr>
        <w:widowControl/>
        <w:rPr>
          <w:rFonts w:hint="default" w:ascii="等线" w:hAnsi="等线" w:eastAsia="等线" w:cs="等线"/>
          <w:color w:val="auto"/>
          <w:sz w:val="22"/>
          <w:szCs w:val="22"/>
          <w:lang w:val="en-US" w:eastAsia="zh-CN"/>
        </w:rPr>
      </w:pPr>
    </w:p>
    <w:p>
      <w:pPr>
        <w:rPr>
          <w:rFonts w:hint="eastAsia" w:ascii="等线" w:hAnsi="等线" w:eastAsia="等线" w:cs="等线"/>
          <w:color w:val="auto"/>
          <w:sz w:val="22"/>
          <w:szCs w:val="22"/>
        </w:rPr>
      </w:pPr>
      <w:r>
        <w:rPr>
          <w:rFonts w:hint="eastAsia" w:ascii="等线" w:hAnsi="等线" w:eastAsia="等线" w:cs="等线"/>
          <w:color w:val="auto"/>
          <w:sz w:val="22"/>
          <w:szCs w:val="22"/>
        </w:rPr>
        <w:t>值得留意的是，这批具有医学背景的专家之中，有部分专家具有跨学科背景，如曾当过赤脚医生、后从事卫生经济学研究的北京大学经济管理学部副主任刘国恩，以及毕业于北京军区军医学校和中国政法大学、从事医疗诉讼研究的北京华卫律师事务所主任郑雪倩。</w:t>
      </w:r>
    </w:p>
    <w:p>
      <w:pPr>
        <w:rPr>
          <w:rFonts w:hint="eastAsia" w:ascii="等线" w:hAnsi="等线" w:eastAsia="等线" w:cs="等线"/>
          <w:color w:val="auto"/>
          <w:sz w:val="22"/>
          <w:szCs w:val="22"/>
        </w:rPr>
      </w:pPr>
    </w:p>
    <w:p>
      <w:pPr>
        <w:rPr>
          <w:rFonts w:hint="eastAsia" w:ascii="等线" w:hAnsi="等线" w:eastAsia="等线" w:cs="等线"/>
          <w:color w:val="auto"/>
          <w:sz w:val="22"/>
          <w:szCs w:val="22"/>
        </w:rPr>
      </w:pPr>
      <w:r>
        <w:rPr>
          <w:rFonts w:hint="eastAsia" w:ascii="等线" w:hAnsi="等线" w:eastAsia="等线" w:cs="等线"/>
          <w:color w:val="auto"/>
          <w:sz w:val="22"/>
          <w:szCs w:val="22"/>
        </w:rPr>
        <w:t>尽管有</w:t>
      </w:r>
      <w:r>
        <w:rPr>
          <w:rFonts w:hint="eastAsia" w:ascii="等线" w:hAnsi="等线" w:eastAsia="等线" w:cs="等线"/>
          <w:color w:val="auto"/>
          <w:sz w:val="22"/>
          <w:szCs w:val="22"/>
          <w:lang w:val="en-US" w:eastAsia="zh-CN"/>
        </w:rPr>
        <w:t>6</w:t>
      </w:r>
      <w:r>
        <w:rPr>
          <w:rFonts w:hint="eastAsia" w:ascii="等线" w:hAnsi="等线" w:eastAsia="等线" w:cs="等线"/>
          <w:color w:val="auto"/>
          <w:sz w:val="22"/>
          <w:szCs w:val="22"/>
        </w:rPr>
        <w:t>位专家的研究领域和教育背景与医学的关联较小，但他们分别在</w:t>
      </w:r>
      <w:r>
        <w:rPr>
          <w:rFonts w:hint="eastAsia" w:ascii="等线" w:hAnsi="等线" w:eastAsia="等线" w:cs="等线"/>
          <w:color w:val="auto"/>
          <w:sz w:val="22"/>
          <w:szCs w:val="22"/>
          <w:lang w:val="en-US" w:eastAsia="zh-CN"/>
        </w:rPr>
        <w:t>法学、</w:t>
      </w:r>
      <w:r>
        <w:rPr>
          <w:rFonts w:hint="eastAsia" w:ascii="等线" w:hAnsi="等线" w:eastAsia="等线" w:cs="等线"/>
          <w:color w:val="auto"/>
          <w:sz w:val="22"/>
          <w:szCs w:val="22"/>
        </w:rPr>
        <w:t>传媒、公共管理和应急事务管理等公共领域的问题上有着较为丰富的应对经验，如专家组成员、中国传媒大学媒介与公共事务研究院院长杨宇军就是国防部前新闻发言人，另外</w:t>
      </w:r>
      <w:r>
        <w:rPr>
          <w:rFonts w:hint="eastAsia" w:ascii="等线" w:hAnsi="等线" w:eastAsia="等线" w:cs="等线"/>
          <w:color w:val="auto"/>
          <w:sz w:val="22"/>
          <w:szCs w:val="22"/>
          <w:lang w:val="en-US" w:eastAsia="zh-CN"/>
        </w:rPr>
        <w:t>五</w:t>
      </w:r>
      <w:r>
        <w:rPr>
          <w:rFonts w:hint="eastAsia" w:ascii="等线" w:hAnsi="等线" w:eastAsia="等线" w:cs="等线"/>
          <w:color w:val="auto"/>
          <w:sz w:val="22"/>
          <w:szCs w:val="22"/>
        </w:rPr>
        <w:t>位分别是清华大学法学院原院长王晨光、清华大学公管学院党委书记彭宗超、中国传媒大学政府学院院长董光鹏和清华大学苏世民学院院长薛澜</w:t>
      </w:r>
      <w:r>
        <w:rPr>
          <w:rFonts w:hint="eastAsia" w:ascii="等线" w:hAnsi="等线" w:eastAsia="等线" w:cs="等线"/>
          <w:color w:val="auto"/>
          <w:sz w:val="22"/>
          <w:szCs w:val="22"/>
          <w:lang w:eastAsia="zh-CN"/>
        </w:rPr>
        <w:t>、北京市华卫律师事务所主任</w:t>
      </w:r>
      <w:r>
        <w:rPr>
          <w:rFonts w:hint="eastAsia" w:ascii="等线" w:hAnsi="等线" w:eastAsia="等线" w:cs="等线"/>
          <w:color w:val="auto"/>
          <w:sz w:val="22"/>
          <w:szCs w:val="22"/>
          <w:lang w:val="en-US" w:eastAsia="zh-CN"/>
        </w:rPr>
        <w:t>郑雪倩</w:t>
      </w:r>
      <w:r>
        <w:rPr>
          <w:rFonts w:hint="eastAsia" w:ascii="等线" w:hAnsi="等线" w:eastAsia="等线" w:cs="等线"/>
          <w:color w:val="auto"/>
          <w:sz w:val="22"/>
          <w:szCs w:val="22"/>
        </w:rPr>
        <w:t>。</w:t>
      </w:r>
    </w:p>
    <w:p>
      <w:pPr>
        <w:rPr>
          <w:rFonts w:hint="eastAsia" w:ascii="等线" w:hAnsi="等线" w:eastAsia="等线" w:cs="等线"/>
          <w:color w:val="auto"/>
          <w:sz w:val="22"/>
          <w:szCs w:val="22"/>
        </w:rPr>
      </w:pPr>
    </w:p>
    <w:p>
      <w:pPr>
        <w:rPr>
          <w:rFonts w:hint="eastAsia" w:ascii="等线" w:hAnsi="等线" w:eastAsia="等线" w:cs="等线"/>
          <w:color w:val="auto"/>
          <w:sz w:val="22"/>
          <w:szCs w:val="22"/>
        </w:rPr>
      </w:pPr>
      <w:r>
        <w:rPr>
          <w:rFonts w:hint="eastAsia" w:ascii="等线" w:hAnsi="等线" w:eastAsia="等线" w:cs="等线"/>
          <w:color w:val="auto"/>
          <w:sz w:val="22"/>
          <w:szCs w:val="22"/>
        </w:rPr>
        <w:t>60位专家虽然都经历过“非典”时代，但有16位专家明确具有应对“非典”疫情的工作经历或工作内容，除了公众熟知的钟南山之外，专家组组长梁万年是时任北京市卫生局副局长，北京中医医院院长刘清泉也曾被授予“抗击‘非典’优秀共产党员“。除此之外，其他成员也相应参加过2005年的H5N1禽流感、2009年的H1N1甲型流感以及H7N9禽流感的防控救治工作。</w:t>
      </w:r>
    </w:p>
    <w:p>
      <w:pPr>
        <w:rPr>
          <w:rFonts w:hint="eastAsia" w:ascii="等线" w:hAnsi="等线" w:eastAsia="等线" w:cs="等线"/>
          <w:color w:val="auto"/>
          <w:sz w:val="22"/>
          <w:szCs w:val="22"/>
        </w:rPr>
      </w:pPr>
    </w:p>
    <w:p>
      <w:pPr>
        <w:rPr>
          <w:rFonts w:hint="eastAsia" w:ascii="等线" w:hAnsi="等线" w:eastAsia="等线" w:cs="等线"/>
          <w:color w:val="auto"/>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DF69D8"/>
    <w:rsid w:val="47647A3B"/>
    <w:rsid w:val="66A27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人数</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delete val="1"/>
          </c:dLbls>
          <c:cat>
            <c:strRef>
              <c:f>Sheet1!$A$2:$A$5</c:f>
              <c:strCache>
                <c:ptCount val="4"/>
                <c:pt idx="0">
                  <c:v>男</c:v>
                </c:pt>
                <c:pt idx="1">
                  <c:v>女</c:v>
                </c:pt>
              </c:strCache>
            </c:strRef>
          </c:cat>
          <c:val>
            <c:numRef>
              <c:f>Sheet1!$B$2:$B$5</c:f>
              <c:numCache>
                <c:formatCode>General</c:formatCode>
                <c:ptCount val="4"/>
                <c:pt idx="0">
                  <c:v>49</c:v>
                </c:pt>
                <c:pt idx="1">
                  <c:v>11</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pieChart>
        <c:varyColors val="1"/>
        <c:ser>
          <c:idx val="0"/>
          <c:order val="0"/>
          <c:tx>
            <c:strRef>
              <c:f>Sheet1!$B$1</c:f>
              <c:strCache>
                <c:ptCount val="1"/>
                <c:pt idx="0">
                  <c:v>人数</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Lbls>
            <c:delete val="1"/>
          </c:dLbls>
          <c:cat>
            <c:strRef>
              <c:f>Sheet1!$A$2:$A$6</c:f>
              <c:strCache>
                <c:ptCount val="5"/>
                <c:pt idx="0">
                  <c:v>北京大学</c:v>
                </c:pt>
                <c:pt idx="1">
                  <c:v>清华大学</c:v>
                </c:pt>
                <c:pt idx="2">
                  <c:v>复旦大学</c:v>
                </c:pt>
                <c:pt idx="3">
                  <c:v>中国传媒大学</c:v>
                </c:pt>
                <c:pt idx="4">
                  <c:v>香港大学</c:v>
                </c:pt>
              </c:strCache>
            </c:strRef>
          </c:cat>
          <c:val>
            <c:numRef>
              <c:f>Sheet1!$B$2:$B$6</c:f>
              <c:numCache>
                <c:formatCode>General</c:formatCode>
                <c:ptCount val="5"/>
                <c:pt idx="0">
                  <c:v>5</c:v>
                </c:pt>
                <c:pt idx="1">
                  <c:v>3</c:v>
                </c:pt>
                <c:pt idx="2">
                  <c:v>2</c:v>
                </c:pt>
                <c:pt idx="3">
                  <c:v>2</c:v>
                </c:pt>
                <c:pt idx="4">
                  <c:v>2</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cap="none" spc="20" baseline="0">
                <a:solidFill>
                  <a:schemeClr val="tx1">
                    <a:lumMod val="50000"/>
                    <a:lumOff val="50000"/>
                  </a:schemeClr>
                </a:solidFill>
                <a:latin typeface="+mn-lt"/>
                <a:ea typeface="+mn-ea"/>
                <a:cs typeface="+mn-cs"/>
              </a:defRPr>
            </a:pPr>
            <a:r>
              <a:rPr lang="zh-CN" altLang="en-US"/>
              <a:t>原工作地区</a:t>
            </a:r>
            <a:endParaRPr lang="zh-CN" altLang="en-US"/>
          </a:p>
        </c:rich>
      </c:tx>
      <c:layout/>
      <c:overlay val="0"/>
      <c:spPr>
        <a:noFill/>
        <a:ln>
          <a:noFill/>
        </a:ln>
        <a:effectLst/>
      </c:spPr>
    </c:title>
    <c:autoTitleDeleted val="0"/>
    <c:plotArea>
      <c:layout/>
      <c:doughnutChart>
        <c:varyColors val="1"/>
        <c:ser>
          <c:idx val="0"/>
          <c:order val="0"/>
          <c:tx>
            <c:strRef>
              <c:f>Sheet1!$B$1</c:f>
              <c:strCache>
                <c:ptCount val="1"/>
                <c:pt idx="0">
                  <c:v>人数</c:v>
                </c:pt>
              </c:strCache>
            </c:strRef>
          </c:tx>
          <c:spPr/>
          <c:explosion val="0"/>
          <c:dPt>
            <c:idx val="0"/>
            <c:bubble3D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dPt>
          <c:dPt>
            <c:idx val="1"/>
            <c:bubble3D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dPt>
          <c:dPt>
            <c:idx val="2"/>
            <c:bubble3D val="0"/>
            <c:spPr>
              <a:gradFill rotWithShape="1">
                <a:gsLst>
                  <a:gs pos="0">
                    <a:schemeClr val="accent3">
                      <a:lumMod val="110000"/>
                      <a:satMod val="105000"/>
                      <a:tint val="67000"/>
                    </a:schemeClr>
                  </a:gs>
                  <a:gs pos="50000">
                    <a:schemeClr val="accent3">
                      <a:lumMod val="105000"/>
                      <a:satMod val="103000"/>
                      <a:tint val="73000"/>
                    </a:schemeClr>
                  </a:gs>
                  <a:gs pos="100000">
                    <a:schemeClr val="accent3">
                      <a:lumMod val="105000"/>
                      <a:satMod val="109000"/>
                      <a:tint val="81000"/>
                    </a:schemeClr>
                  </a:gs>
                </a:gsLst>
                <a:lin ang="5400000" scaled="0"/>
              </a:gradFill>
              <a:ln w="9525" cap="flat" cmpd="sng" algn="ctr">
                <a:solidFill>
                  <a:schemeClr val="accent3">
                    <a:shade val="95000"/>
                  </a:schemeClr>
                </a:solidFill>
                <a:round/>
              </a:ln>
              <a:effectLst/>
            </c:spPr>
          </c:dPt>
          <c:dPt>
            <c:idx val="3"/>
            <c:bubble3D val="0"/>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dPt>
          <c:dPt>
            <c:idx val="4"/>
            <c:bubble3D val="0"/>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dPt>
          <c:dPt>
            <c:idx val="5"/>
            <c:bubble3D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dPt>
          <c:dLbls>
            <c:delete val="1"/>
          </c:dLbls>
          <c:cat>
            <c:strRef>
              <c:f>Sheet1!$A$2:$A$7</c:f>
              <c:strCache>
                <c:ptCount val="6"/>
                <c:pt idx="0">
                  <c:v>北京</c:v>
                </c:pt>
                <c:pt idx="1">
                  <c:v>上海</c:v>
                </c:pt>
                <c:pt idx="2">
                  <c:v>江苏</c:v>
                </c:pt>
                <c:pt idx="3">
                  <c:v>香港</c:v>
                </c:pt>
                <c:pt idx="4">
                  <c:v>浙江</c:v>
                </c:pt>
                <c:pt idx="5">
                  <c:v>广东</c:v>
                </c:pt>
              </c:strCache>
            </c:strRef>
          </c:cat>
          <c:val>
            <c:numRef>
              <c:f>Sheet1!$B$2:$B$7</c:f>
              <c:numCache>
                <c:formatCode>General</c:formatCode>
                <c:ptCount val="6"/>
                <c:pt idx="0">
                  <c:v>52</c:v>
                </c:pt>
                <c:pt idx="1">
                  <c:v>2</c:v>
                </c:pt>
                <c:pt idx="2">
                  <c:v>2</c:v>
                </c:pt>
                <c:pt idx="3">
                  <c:v>2</c:v>
                </c:pt>
                <c:pt idx="4">
                  <c:v>1</c:v>
                </c:pt>
                <c:pt idx="5">
                  <c:v>1</c:v>
                </c:pt>
              </c:numCache>
            </c:numRef>
          </c:val>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50000"/>
                  <a:lumOff val="50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4">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fillRef idx="2">
      <cs:styleClr val="auto"/>
    </cs:fillRef>
    <cs:effectRef idx="1"/>
    <cs:fontRef idx="minor">
      <a:schemeClr val="dk1"/>
    </cs:fontRef>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流年有若雨</cp:lastModifiedBy>
  <dcterms:modified xsi:type="dcterms:W3CDTF">2020-03-15T14:23:34Z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