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6F1AAF" w:rsidRDefault="006F1AAF" w:rsidP="006F1AAF">
      <w:pPr>
        <w:pStyle w:val="Heading1"/>
      </w:pPr>
      <w:r>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lastRenderedPageBreak/>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Pr="00CC1E10" w:rsidRDefault="009E199F" w:rsidP="00CC1E10">
      <w:bookmarkStart w:id="0" w:name="_GoBack"/>
      <w:bookmarkEnd w:id="0"/>
    </w:p>
    <w:sectPr w:rsidR="009E199F" w:rsidRPr="00CC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rQUA/TwO9CwAAAA="/>
  </w:docVars>
  <w:rsids>
    <w:rsidRoot w:val="009D6FD2"/>
    <w:rsid w:val="00046792"/>
    <w:rsid w:val="000A3F77"/>
    <w:rsid w:val="000A40AD"/>
    <w:rsid w:val="000A524C"/>
    <w:rsid w:val="000B173F"/>
    <w:rsid w:val="001212B4"/>
    <w:rsid w:val="00143B51"/>
    <w:rsid w:val="001562F0"/>
    <w:rsid w:val="00175C72"/>
    <w:rsid w:val="00195D48"/>
    <w:rsid w:val="001C0831"/>
    <w:rsid w:val="001D63D1"/>
    <w:rsid w:val="001F32E7"/>
    <w:rsid w:val="002055E3"/>
    <w:rsid w:val="00216D54"/>
    <w:rsid w:val="00292A5D"/>
    <w:rsid w:val="002A319E"/>
    <w:rsid w:val="002F7040"/>
    <w:rsid w:val="003206F8"/>
    <w:rsid w:val="00323E19"/>
    <w:rsid w:val="003441A2"/>
    <w:rsid w:val="00383F96"/>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30363"/>
    <w:rsid w:val="00642A17"/>
    <w:rsid w:val="00644812"/>
    <w:rsid w:val="006455C8"/>
    <w:rsid w:val="00677DCE"/>
    <w:rsid w:val="00685983"/>
    <w:rsid w:val="006E6E7A"/>
    <w:rsid w:val="006F1AAF"/>
    <w:rsid w:val="0077092A"/>
    <w:rsid w:val="007C3C3A"/>
    <w:rsid w:val="008466F5"/>
    <w:rsid w:val="008633B4"/>
    <w:rsid w:val="00865044"/>
    <w:rsid w:val="008728BE"/>
    <w:rsid w:val="00873E48"/>
    <w:rsid w:val="008A7FA8"/>
    <w:rsid w:val="00943E03"/>
    <w:rsid w:val="009827F2"/>
    <w:rsid w:val="0099010C"/>
    <w:rsid w:val="009C78FF"/>
    <w:rsid w:val="009D6FD2"/>
    <w:rsid w:val="009D753C"/>
    <w:rsid w:val="009E199F"/>
    <w:rsid w:val="00A051DD"/>
    <w:rsid w:val="00A059AD"/>
    <w:rsid w:val="00A318C4"/>
    <w:rsid w:val="00A332AB"/>
    <w:rsid w:val="00AB4E4E"/>
    <w:rsid w:val="00AC166E"/>
    <w:rsid w:val="00B0613A"/>
    <w:rsid w:val="00B17CCE"/>
    <w:rsid w:val="00B430CD"/>
    <w:rsid w:val="00B637F6"/>
    <w:rsid w:val="00BC59FE"/>
    <w:rsid w:val="00BC655E"/>
    <w:rsid w:val="00C8147E"/>
    <w:rsid w:val="00C83FC1"/>
    <w:rsid w:val="00C971CB"/>
    <w:rsid w:val="00C97897"/>
    <w:rsid w:val="00CA6AC0"/>
    <w:rsid w:val="00CB669D"/>
    <w:rsid w:val="00CC1713"/>
    <w:rsid w:val="00CC1E10"/>
    <w:rsid w:val="00D45C36"/>
    <w:rsid w:val="00D565B7"/>
    <w:rsid w:val="00D90A98"/>
    <w:rsid w:val="00DB5F9E"/>
    <w:rsid w:val="00DD36C5"/>
    <w:rsid w:val="00E01B47"/>
    <w:rsid w:val="00E01EE8"/>
    <w:rsid w:val="00E81F8B"/>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77E9E-7CCD-433F-BA10-E2403551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3880</TotalTime>
  <Pages>1</Pages>
  <Words>8443</Words>
  <Characters>48126</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29</cp:revision>
  <dcterms:created xsi:type="dcterms:W3CDTF">2018-07-12T06:51:00Z</dcterms:created>
  <dcterms:modified xsi:type="dcterms:W3CDTF">2018-07-16T20:25:00Z</dcterms:modified>
</cp:coreProperties>
</file>