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lzct65gitdeg" w:id="0"/>
      <w:bookmarkEnd w:id="0"/>
      <w:r w:rsidDel="00000000" w:rsidR="00000000" w:rsidRPr="00000000">
        <w:rPr>
          <w:rtl w:val="0"/>
        </w:rPr>
        <w:t xml:space="preserve">Prueba Técnica: Proyecto base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Actualmente en Tinsa, utilizamos: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IDE: IntelliJ IDEA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Lenguaje: Groovy (puedes usar Java)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Framework: Spring boot (puedes usar Spring MVC)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Pruebas: Spock framework (puedes utilizar cualquier herramienta)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BBDD: Oracle (puedes usar la que quieras, recomendamos H2 u otra BBDD in memory)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desarrollo de nuestras aplicaciones tenemos unos módulos reutilizables de arquitectura, que no son necesarios para este proyecto.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if9b0v1032sj" w:id="1"/>
      <w:bookmarkEnd w:id="1"/>
      <w:r w:rsidDel="00000000" w:rsidR="00000000" w:rsidRPr="00000000">
        <w:rPr>
          <w:b w:val="1"/>
          <w:rtl w:val="0"/>
        </w:rPr>
        <w:t xml:space="preserve">Creación proyecto base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creación de los proyectos disponemos de un arquetipo que nos genera un proyecto base, con nuestros módulos pre-incluidos y/o pre-configurados, para esta prueba no son necesarios.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Existen múltiples herramientas y maneras de crear y configurar el proyecto base, para este ejercicio, un proyecto nuevo de spring boot es más que suficiente.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crearlo de la manera que prefiramos, para este ejercicio recomendamos utilizar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sz w:val="24"/>
          <w:szCs w:val="24"/>
          <w:rtl w:val="0"/>
        </w:rPr>
        <w:t xml:space="preserve">, desde su web o en el wizard integrado en IntelliJ...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de la configuración base, recomendamos las siguientes dependencias: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Web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20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Módulo: Web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Full-stack web development with Tomcat and Spring MVC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SQL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20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Módulo: JPA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Java Persistence API including spring-data-jpa, spring-orm and Hibernate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20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Módulo: H2 (En caso de elegir H2 como BBDD)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H2 database (with embedded support)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Incluye (y/o sustituye) cualquier dependencia según tus preferencias.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zmddkkjjjx" w:id="2"/>
      <w:bookmarkEnd w:id="2"/>
      <w:r w:rsidDel="00000000" w:rsidR="00000000" w:rsidRPr="00000000">
        <w:rPr>
          <w:rtl w:val="0"/>
        </w:rPr>
        <w:t xml:space="preserve">Configuración Datasource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utilizas H2 como database, añade al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application.properties</w:t>
      </w:r>
      <w:r w:rsidDel="00000000" w:rsidR="00000000" w:rsidRPr="00000000">
        <w:rPr>
          <w:sz w:val="24"/>
          <w:szCs w:val="24"/>
          <w:rtl w:val="0"/>
        </w:rPr>
        <w:t xml:space="preserve"> la configuración: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spring.datasource.url=jdbc:h2:mem:domain;DB_CLOSE_ON_EXIT=FALSE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spring.datasource.username=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spring.datasource.password=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spring.datasource.driver-class-name=org.h2.Driver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spring.jpa.hibernate.ddl-auto=create-drop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spring.jpa.show-sql=false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art.spring.io/" TargetMode="External"/></Relationships>
</file>