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F3864"/>
          <w:sz w:val="52"/>
          <w:szCs w:val="52"/>
        </w:rPr>
        <w:t xml:space="preserve">REPORTE EJECUTIVO</w:t>
      </w:r>
    </w:p>
    <w:p>
      <w:pPr>
        <w:spacing w:after="80" w:before="0"/>
        <w:jc w:val="center"/>
      </w:pPr>
      <w:r>
        <w:rPr>
          <w:rFonts w:ascii="Arial" w:cs="Arial" w:eastAsia="Arial" w:hAnsi="Arial"/>
          <w:color w:val="2E75B6"/>
          <w:sz w:val="28"/>
          <w:szCs w:val="28"/>
        </w:rPr>
        <w:t xml:space="preserve">Sistema de Identificacion Temprana de Riesgo de Cartera</w:t>
      </w:r>
    </w:p>
    <w:p>
      <w:pPr>
        <w:spacing w:after="80" w:before="0"/>
        <w:jc w:val="center"/>
      </w:pPr>
      <w:r>
        <w:rPr>
          <w:rFonts w:ascii="Arial" w:cs="Arial" w:eastAsia="Arial" w:hAnsi="Arial"/>
          <w:color w:val="2E75B6"/>
          <w:sz w:val="28"/>
          <w:szCs w:val="28"/>
        </w:rPr>
        <w:t xml:space="preserve">en Asesores de Microfinanzas</w:t>
      </w:r>
    </w:p>
    <w:p>
      <w:pPr>
        <w:pBdr>
          <w:bottom w:val="single" w:color="2E75B6" w:sz="6" w:space="1"/>
        </w:pBdr>
        <w:spacing w:after="60" w:before="600"/>
        <w:jc w:val="center"/>
      </w:pPr>
    </w:p>
    <w:p>
      <w:pPr>
        <w:spacing w:after="100" w:before="100"/>
      </w:pPr>
    </w:p>
    <w:p>
      <w:pPr>
        <w:jc w:val="center"/>
      </w:pPr>
      <w:r>
        <w:rPr>
          <w:rFonts w:ascii="Arial" w:cs="Arial" w:eastAsia="Arial" w:hAnsi="Arial"/>
          <w:color w:val="555555"/>
          <w:sz w:val="21"/>
          <w:szCs w:val="21"/>
        </w:rPr>
        <w:t xml:space="preserve">Institucion: Microfinanciera mexicana (datos anonimizados)</w:t>
      </w:r>
    </w:p>
    <w:p>
      <w:pPr>
        <w:jc w:val="center"/>
      </w:pPr>
      <w:r>
        <w:rPr>
          <w:rFonts w:ascii="Arial" w:cs="Arial" w:eastAsia="Arial" w:hAnsi="Arial"/>
          <w:color w:val="555555"/>
          <w:sz w:val="21"/>
          <w:szCs w:val="21"/>
        </w:rPr>
        <w:t xml:space="preserve">Periodo analizado: Junio 2016 - Enero 2019  |  2,004 asesores</w:t>
      </w:r>
    </w:p>
    <w:p>
      <w:pPr>
        <w:jc w:val="center"/>
      </w:pPr>
      <w:r>
        <w:rPr>
          <w:rFonts w:ascii="Arial" w:cs="Arial" w:eastAsia="Arial" w:hAnsi="Arial"/>
          <w:color w:val="555555"/>
          <w:sz w:val="21"/>
          <w:szCs w:val="21"/>
        </w:rPr>
        <w:t xml:space="preserve">Version 2.0  |  Junio 2026</w:t>
      </w:r>
    </w:p>
    <w:p>
      <w:pPr>
        <w:spacing w:after="100" w:before="100"/>
      </w:pPr>
    </w:p>
    <w:p>
      <w:pPr>
        <w:spacing w:after="100" w:before="100"/>
      </w:pPr>
    </w:p>
    <w:p>
      <w:pPr>
        <w:pStyle w:val="Heading1"/>
        <w:spacing w:after="160" w:before="400"/>
      </w:pPr>
      <w:r>
        <w:rPr>
          <w:rFonts w:ascii="Arial" w:cs="Arial" w:eastAsia="Arial" w:hAnsi="Arial"/>
          <w:b/>
          <w:bCs/>
          <w:color w:val="1F3864"/>
          <w:sz w:val="32"/>
          <w:szCs w:val="32"/>
        </w:rPr>
        <w:t xml:space="preserve">1. El Problema que Queremos Resolver</w:t>
      </w:r>
    </w:p>
    <w:p>
      <w:pPr>
        <w:spacing w:after="100" w:before="60"/>
      </w:pPr>
      <w:r>
        <w:rPr>
          <w:rFonts w:ascii="Arial" w:cs="Arial" w:eastAsia="Arial" w:hAnsi="Arial"/>
          <w:b w:val="false"/>
          <w:bCs w:val="false"/>
          <w:i w:val="false"/>
          <w:iCs w:val="false"/>
          <w:color w:val="000000"/>
          <w:sz w:val="22"/>
          <w:szCs w:val="22"/>
        </w:rPr>
        <w:t xml:space="preserve">Imagine que es director de riesgo de una microfinanciera. Cada semana recibe reportes de cartera que le dicen cuanto atraso tiene hoy. Pero para cuando esos numeros aparecen en pantalla, el deterioro ya ocurrio. Lo que usted necesita es saber, antes de que el atraso sea visible, que asesores estan acumulando problemas silenciosamente.</w:t>
      </w:r>
    </w:p>
    <w:p>
      <w:pPr>
        <w:spacing w:after="100" w:before="100"/>
      </w:pPr>
    </w:p>
    <w:p>
      <w:pPr>
        <w:spacing w:after="100" w:before="60"/>
      </w:pPr>
      <w:r>
        <w:rPr>
          <w:rFonts w:ascii="Arial" w:cs="Arial" w:eastAsia="Arial" w:hAnsi="Arial"/>
          <w:b w:val="false"/>
          <w:bCs w:val="false"/>
          <w:i w:val="false"/>
          <w:iCs w:val="false"/>
          <w:color w:val="000000"/>
          <w:sz w:val="22"/>
          <w:szCs w:val="22"/>
        </w:rPr>
        <w:t xml:space="preserve">Eso es exactamente lo que hace este sistema.</w:t>
      </w:r>
    </w:p>
    <w:p>
      <w:pPr>
        <w:spacing w:after="100" w:before="100"/>
      </w:pPr>
    </w:p>
    <w:p>
      <w:pPr>
        <w:spacing w:after="100" w:before="60"/>
      </w:pPr>
      <w:r>
        <w:rPr>
          <w:rFonts w:ascii="Arial" w:cs="Arial" w:eastAsia="Arial" w:hAnsi="Arial"/>
          <w:b w:val="false"/>
          <w:bCs w:val="false"/>
          <w:i w:val="false"/>
          <w:iCs w:val="false"/>
          <w:color w:val="000000"/>
          <w:sz w:val="22"/>
          <w:szCs w:val="22"/>
        </w:rPr>
        <w:t xml:space="preserve">Un asesor con mora acumulada tiene grupos que no renuevan su credito. Y cuando un grupo no renueva, el asesor no desembolsa. Esa senial, la frecuencia de desembolso, es detectable semanas o meses antes de que el atraso aparezca en los reportes.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2E75B6" w:sz="18"/>
              <w:bottom w:val="single" w:color="CCCCCC" w:sz="4"/>
              <w:right w:val="single" w:color="CCCCCC" w:sz="4"/>
            </w:tcBorders>
            <w:shd w:fill="F8F9FA" w:val="clear"/>
            <w:tcMar>
              <w:top w:type="dxa" w:w="140"/>
              <w:left w:type="dxa" w:w="220"/>
              <w:bottom w:type="dxa" w:w="140"/>
              <w:right w:type="dxa" w:w="220"/>
            </w:tcMar>
          </w:tcPr>
          <w:p>
            <w:pPr>
              <w:spacing w:after="80"/>
            </w:pPr>
            <w:r>
              <w:rPr>
                <w:rFonts w:ascii="Arial" w:cs="Arial" w:eastAsia="Arial" w:hAnsi="Arial"/>
                <w:b/>
                <w:bCs/>
                <w:color w:val="2E75B6"/>
                <w:sz w:val="22"/>
                <w:szCs w:val="22"/>
              </w:rPr>
              <w:t xml:space="preserve">La pregunta que responde este modelo</w:t>
            </w:r>
          </w:p>
          <w:p>
            <w:r>
              <w:rPr>
                <w:rFonts w:ascii="Arial" w:cs="Arial" w:eastAsia="Arial" w:hAnsi="Arial"/>
                <w:sz w:val="21"/>
                <w:szCs w:val="21"/>
              </w:rPr>
              <w:t xml:space="preserve">Dado el comportamiento operacional del asesor en las ultimas semanas, icual es su nivel de riesgo de deterioro de cartera hoy?</w:t>
            </w:r>
          </w:p>
        </w:tc>
      </w:tr>
    </w:tbl>
    <w:p>
      <w:pPr>
        <w:spacing w:after="100" w:before="100"/>
      </w:pPr>
    </w:p>
    <w:p>
      <w:pPr>
        <w:pStyle w:val="Heading1"/>
        <w:spacing w:after="160" w:before="400"/>
      </w:pPr>
      <w:r>
        <w:rPr>
          <w:rFonts w:ascii="Arial" w:cs="Arial" w:eastAsia="Arial" w:hAnsi="Arial"/>
          <w:b/>
          <w:bCs/>
          <w:color w:val="1F3864"/>
          <w:sz w:val="32"/>
          <w:szCs w:val="32"/>
        </w:rPr>
        <w:t xml:space="preserve">2. Lo que se Hizo</w:t>
      </w:r>
    </w:p>
    <w:p>
      <w:pPr>
        <w:spacing w:after="100" w:before="60"/>
      </w:pPr>
      <w:r>
        <w:rPr>
          <w:rFonts w:ascii="Arial" w:cs="Arial" w:eastAsia="Arial" w:hAnsi="Arial"/>
          <w:b w:val="false"/>
          <w:bCs w:val="false"/>
          <w:i w:val="false"/>
          <w:iCs w:val="false"/>
          <w:color w:val="000000"/>
          <w:sz w:val="22"/>
          <w:szCs w:val="22"/>
        </w:rPr>
        <w:t xml:space="preserve">Se analizaron registros semanales de 2,004 asesores durante un periodo de dos anos y medio (junio 2016 - enero 2019), totalizando 1,218,831 observaciones. El trabajo partio de una tesis de maestria del IPN de 2020, la cual fue auditada sistematicamente antes de construir cualquier modelo.</w:t>
      </w:r>
    </w:p>
    <w:p>
      <w:pPr>
        <w:spacing w:after="100" w:before="100"/>
      </w:pPr>
    </w:p>
    <w:p>
      <w:pPr>
        <w:spacing w:after="100" w:before="60"/>
      </w:pPr>
      <w:r>
        <w:rPr>
          <w:rFonts w:ascii="Arial" w:cs="Arial" w:eastAsia="Arial" w:hAnsi="Arial"/>
          <w:b w:val="false"/>
          <w:bCs w:val="false"/>
          <w:i w:val="false"/>
          <w:iCs w:val="false"/>
          <w:color w:val="000000"/>
          <w:sz w:val="22"/>
          <w:szCs w:val="22"/>
        </w:rPr>
        <w:t xml:space="preserve">La auditoria identifico cinco problemas criticos en el modelo original que, de no corregirse, hubieran producido resultados enganosamente optimistas. El mas importante: el modelo original usaba el atraso mismo como variable predictora, lo que equivale a predecir la mora con la mora. Al detectarlo, el baseline bajo de un F1 irreal de 0.92 a un F1 honesto de 0.71.</w:t>
      </w:r>
    </w:p>
    <w:p>
      <w:pPr>
        <w:spacing w:after="100" w:before="100"/>
      </w:pPr>
    </w:p>
    <w:p>
      <w:pPr>
        <w:pStyle w:val="Heading2"/>
        <w:spacing w:after="100" w:before="240"/>
      </w:pPr>
      <w:r>
        <w:rPr>
          <w:rFonts w:ascii="Arial" w:cs="Arial" w:eastAsia="Arial" w:hAnsi="Arial"/>
          <w:b/>
          <w:bCs/>
          <w:color w:val="2E75B6"/>
          <w:sz w:val="26"/>
          <w:szCs w:val="26"/>
        </w:rPr>
        <w:t xml:space="preserve">La variable objetivo: Tasa de Deterioro Neto de Cartera (TDNC)</w:t>
      </w:r>
    </w:p>
    <w:p>
      <w:pPr>
        <w:spacing w:after="100" w:before="60"/>
      </w:pPr>
      <w:r>
        <w:rPr>
          <w:rFonts w:ascii="Arial" w:cs="Arial" w:eastAsia="Arial" w:hAnsi="Arial"/>
          <w:b w:val="false"/>
          <w:bCs w:val="false"/>
          <w:i w:val="false"/>
          <w:iCs w:val="false"/>
          <w:color w:val="000000"/>
          <w:sz w:val="22"/>
          <w:szCs w:val="22"/>
        </w:rPr>
        <w:t xml:space="preserve">Para caracterizar a cada asesor, se construyo la TDNC colapsando el dataset de nivel semanal a nivel asesor: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18"/>
              <w:left w:val="single" w:color="1E7145" w:sz="18"/>
              <w:bottom w:val="single" w:color="CCCCCC" w:sz="4"/>
              <w:right w:val="single" w:color="CCCCCC" w:sz="4"/>
            </w:tcBorders>
            <w:shd w:fill="F8F9FA" w:val="clear"/>
            <w:tcMar>
              <w:top w:type="dxa" w:w="140"/>
              <w:left w:type="dxa" w:w="220"/>
              <w:bottom w:type="dxa" w:w="140"/>
              <w:right w:type="dxa" w:w="220"/>
            </w:tcMar>
          </w:tcPr>
          <w:p>
            <w:pPr>
              <w:spacing w:after="80"/>
            </w:pPr>
            <w:r>
              <w:rPr>
                <w:rFonts w:ascii="Arial" w:cs="Arial" w:eastAsia="Arial" w:hAnsi="Arial"/>
                <w:b/>
                <w:bCs/>
                <w:color w:val="1E7145"/>
                <w:sz w:val="22"/>
                <w:szCs w:val="22"/>
              </w:rPr>
              <w:t xml:space="preserve">TDNC = promedio(ATRASO) / promedio(CARTERA)</w:t>
            </w:r>
          </w:p>
          <w:p>
            <w:r>
              <w:rPr>
                <w:rFonts w:ascii="Arial" w:cs="Arial" w:eastAsia="Arial" w:hAnsi="Arial"/>
                <w:sz w:val="21"/>
                <w:szCs w:val="21"/>
              </w:rPr>
              <w:t xml:space="preserve">Un asesor con TDNC = 0.01 tiene practicamente cero atraso. Uno con TDNC = 0.37 tiene mas de un tercio de su cartera en problemas.</w:t>
            </w:r>
          </w:p>
        </w:tc>
      </w:tr>
    </w:tbl>
    <w:p>
      <w:pPr>
        <w:spacing w:after="100" w:before="100"/>
      </w:pPr>
    </w:p>
    <w:p>
      <w:pPr>
        <w:spacing w:after="100" w:before="60"/>
      </w:pPr>
      <w:r>
        <w:rPr>
          <w:rFonts w:ascii="Arial" w:cs="Arial" w:eastAsia="Arial" w:hAnsi="Arial"/>
          <w:b w:val="false"/>
          <w:bCs w:val="false"/>
          <w:i w:val="false"/>
          <w:iCs w:val="false"/>
          <w:color w:val="000000"/>
          <w:sz w:val="22"/>
          <w:szCs w:val="22"/>
        </w:rPr>
        <w:t xml:space="preserve">Los asesores se segmentaron en tres niveles usando terciles de TDNC:</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TDNC promedio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 que significa</w:t>
            </w:r>
          </w:p>
        </w:tc>
      </w:tr>
      <w:tr>
        <w:tc>
          <w:tcPr>
            <w:tcW w:type="dxa" w:w="234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sz w:val="20"/>
                <w:szCs w:val="20"/>
              </w:rPr>
              <w:t xml:space="preserve">BAJO</w:t>
            </w:r>
          </w:p>
        </w:tc>
        <w:tc>
          <w:tcPr>
            <w:tcW w:type="dxa" w:w="234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0.013</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Cartera practicamente sin atraso - ciclo de renovacion normal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MEDIO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0.095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Atraso entre 5% y 15% de la cartera - señales de atencion</w:t>
            </w:r>
          </w:p>
        </w:tc>
      </w:tr>
      <w:tr>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bCs/>
                <w:sz w:val="20"/>
                <w:szCs w:val="20"/>
              </w:rPr>
              <w:t xml:space="preserve">ALTO</w:t>
            </w:r>
          </w:p>
        </w:tc>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0.372</w:t>
            </w:r>
          </w:p>
        </w:tc>
        <w:tc>
          <w:tcPr>
            <w:tcW w:type="dxa" w:w="46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Atraso superior al 20% de la cartera - intervencion urgente</w:t>
            </w:r>
          </w:p>
        </w:tc>
      </w:tr>
    </w:tbl>
    <w:p>
      <w:pPr>
        <w:spacing w:after="100" w:before="100"/>
      </w:pPr>
    </w:p>
    <w:p>
      <w:pPr>
        <w:pStyle w:val="Heading2"/>
        <w:spacing w:after="100" w:before="240"/>
      </w:pPr>
      <w:r>
        <w:rPr>
          <w:rFonts w:ascii="Arial" w:cs="Arial" w:eastAsia="Arial" w:hAnsi="Arial"/>
          <w:b/>
          <w:bCs/>
          <w:color w:val="2E75B6"/>
          <w:sz w:val="26"/>
          <w:szCs w:val="26"/>
        </w:rPr>
        <w:t xml:space="preserve">El hallazgo que cambio el analisis</w:t>
      </w:r>
    </w:p>
    <w:p>
      <w:pPr>
        <w:spacing w:after="100" w:before="60"/>
      </w:pPr>
      <w:r>
        <w:rPr>
          <w:rFonts w:ascii="Arial" w:cs="Arial" w:eastAsia="Arial" w:hAnsi="Arial"/>
          <w:b w:val="false"/>
          <w:bCs w:val="false"/>
          <w:i w:val="false"/>
          <w:iCs w:val="false"/>
          <w:color w:val="000000"/>
          <w:sz w:val="22"/>
          <w:szCs w:val="22"/>
        </w:rPr>
        <w:t xml:space="preserve">Al construir el modelo nos encontramos con que las variables de desembolso originales estaban mal calculadas: promediaban sobre todas las semanas, incluyendo semanas sin actividad. Eso distorsionaba completamente su significado.</w:t>
      </w:r>
    </w:p>
    <w:p>
      <w:pPr>
        <w:spacing w:after="100" w:before="100"/>
      </w:pPr>
    </w:p>
    <w:p>
      <w:pPr>
        <w:spacing w:after="100" w:before="60"/>
      </w:pPr>
      <w:r>
        <w:rPr>
          <w:rFonts w:ascii="Arial" w:cs="Arial" w:eastAsia="Arial" w:hAnsi="Arial"/>
          <w:b w:val="false"/>
          <w:bCs w:val="false"/>
          <w:i w:val="false"/>
          <w:iCs w:val="false"/>
          <w:color w:val="000000"/>
          <w:sz w:val="22"/>
          <w:szCs w:val="22"/>
        </w:rPr>
        <w:t xml:space="preserve">Al corregirlo y calcularlas solo sobre semanas con desembolso real, la nueva variable TASA_DESEMBOLSO emergió como la señal dominante del modelo con una importancia SHAP de 0.935, cuatro veces mayor que la siguiente variable. Su interpretacion es directa: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TASA_DESEMBOLSO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Frecuencia de renovacion</w:t>
            </w:r>
          </w:p>
        </w:tc>
      </w:tr>
      <w:tr>
        <w:tc>
          <w:tcPr>
            <w:tcW w:type="dxa" w:w="234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sz w:val="20"/>
                <w:szCs w:val="20"/>
              </w:rPr>
              <w:t xml:space="preserve">BAJO</w:t>
            </w:r>
          </w:p>
        </w:tc>
        <w:tc>
          <w:tcPr>
            <w:tcW w:type="dxa" w:w="234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15.9%</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Renueva cada ~6 semanas (ciclo normal de 12 semanas)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MEDIO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6.6%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Renueva cada ~15 semanas (ciclo dilatado)</w:t>
            </w:r>
          </w:p>
        </w:tc>
      </w:tr>
      <w:tr>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bCs/>
                <w:sz w:val="20"/>
                <w:szCs w:val="20"/>
              </w:rPr>
              <w:t xml:space="preserve">ALTO</w:t>
            </w:r>
          </w:p>
        </w:tc>
        <w:tc>
          <w:tcPr>
            <w:tcW w:type="dxa" w:w="234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3.6%</w:t>
            </w:r>
          </w:p>
        </w:tc>
        <w:tc>
          <w:tcPr>
            <w:tcW w:type="dxa" w:w="46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Renueva cada ~28 semanas (grupos bloqueados por mora)</w:t>
            </w:r>
          </w:p>
        </w:tc>
      </w:tr>
    </w:tbl>
    <w:p>
      <w:pPr>
        <w:spacing w:after="100" w:before="100"/>
      </w:pPr>
    </w:p>
    <w:p>
      <w:pPr>
        <w:pStyle w:val="Heading1"/>
        <w:spacing w:after="160" w:before="400"/>
      </w:pPr>
      <w:r>
        <w:rPr>
          <w:rFonts w:ascii="Arial" w:cs="Arial" w:eastAsia="Arial" w:hAnsi="Arial"/>
          <w:b/>
          <w:bCs/>
          <w:color w:val="1F3864"/>
          <w:sz w:val="32"/>
          <w:szCs w:val="32"/>
        </w:rPr>
        <w:t xml:space="preserve">3. Lo que Encontramos</w:t>
      </w:r>
    </w:p>
    <w:p>
      <w:pPr>
        <w:pStyle w:val="Heading2"/>
        <w:spacing w:after="100" w:before="240"/>
      </w:pPr>
      <w:r>
        <w:rPr>
          <w:rFonts w:ascii="Arial" w:cs="Arial" w:eastAsia="Arial" w:hAnsi="Arial"/>
          <w:b/>
          <w:bCs/>
          <w:color w:val="2E75B6"/>
          <w:sz w:val="26"/>
          <w:szCs w:val="26"/>
        </w:rPr>
        <w:t xml:space="preserve">El modelo clasifica con alta confianza los extremos</w:t>
      </w:r>
    </w:p>
    <w:p>
      <w:pPr>
        <w:spacing w:after="100" w:before="60"/>
      </w:pPr>
      <w:r>
        <w:rPr>
          <w:rFonts w:ascii="Arial" w:cs="Arial" w:eastAsia="Arial" w:hAnsi="Arial"/>
          <w:b w:val="false"/>
          <w:bCs w:val="false"/>
          <w:i w:val="false"/>
          <w:iCs w:val="false"/>
          <w:color w:val="000000"/>
          <w:sz w:val="22"/>
          <w:szCs w:val="22"/>
        </w:rPr>
        <w:t xml:space="preserve">El modelo identifica correctamente a los asesores de mayor y menor riesgo en 8 de cada 10 casos. La clase intermedia (MEDIO) tiene mayor confusion, lo cual es esperable: la frontera entre riesgo moderado y riesgo alto es genuinamente difusa con las variables disponibles.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Lectura practica</w:t>
            </w:r>
          </w:p>
        </w:tc>
      </w:tr>
      <w:tr>
        <w:tc>
          <w:tcPr>
            <w:tcW w:type="dxa" w:w="187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sz w:val="20"/>
                <w:szCs w:val="20"/>
              </w:rPr>
              <w:t xml:space="preserve">BAJO</w:t>
            </w:r>
          </w:p>
        </w:tc>
        <w:tc>
          <w:tcPr>
            <w:tcW w:type="dxa" w:w="187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0.74</w:t>
            </w:r>
          </w:p>
        </w:tc>
        <w:tc>
          <w:tcPr>
            <w:tcW w:type="dxa" w:w="187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0.75</w:t>
            </w:r>
          </w:p>
        </w:tc>
        <w:tc>
          <w:tcPr>
            <w:tcW w:type="dxa" w:w="187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0.74</w:t>
            </w:r>
          </w:p>
        </w:tc>
        <w:tc>
          <w:tcPr>
            <w:tcW w:type="dxa" w:w="187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Bien identificado</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MEDIO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0.63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0.59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0.61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Frontera difusa</w:t>
            </w:r>
          </w:p>
        </w:tc>
      </w:tr>
      <w:tr>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left"/>
            </w:pPr>
            <w:r>
              <w:rPr>
                <w:rFonts w:ascii="Arial" w:cs="Arial" w:eastAsia="Arial" w:hAnsi="Arial"/>
                <w:b/>
                <w:bCs/>
                <w:sz w:val="20"/>
                <w:szCs w:val="20"/>
              </w:rPr>
              <w:t xml:space="preserve">ALTO</w:t>
            </w:r>
          </w:p>
        </w:tc>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0.78</w:t>
            </w:r>
          </w:p>
        </w:tc>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0.82</w:t>
            </w:r>
          </w:p>
        </w:tc>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0.80</w:t>
            </w:r>
          </w:p>
        </w:tc>
        <w:tc>
          <w:tcPr>
            <w:tcW w:type="dxa" w:w="1872"/>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Bien identificado</w:t>
            </w:r>
          </w:p>
        </w:tc>
      </w:tr>
    </w:tbl>
    <w:p>
      <w:pPr>
        <w:spacing w:after="100" w:before="100"/>
      </w:pPr>
    </w:p>
    <w:p>
      <w:pPr>
        <w:pStyle w:val="Heading2"/>
        <w:spacing w:after="100" w:before="240"/>
      </w:pPr>
      <w:r>
        <w:rPr>
          <w:rFonts w:ascii="Arial" w:cs="Arial" w:eastAsia="Arial" w:hAnsi="Arial"/>
          <w:b/>
          <w:bCs/>
          <w:color w:val="2E75B6"/>
          <w:sz w:val="26"/>
          <w:szCs w:val="26"/>
        </w:rPr>
        <w:t xml:space="preserve">Las cinco variables mas importantes</w:t>
      </w:r>
    </w:p>
    <w:p>
      <w:pPr>
        <w:spacing w:after="100" w:before="60"/>
      </w:pPr>
      <w:r>
        <w:rPr>
          <w:rFonts w:ascii="Arial" w:cs="Arial" w:eastAsia="Arial" w:hAnsi="Arial"/>
          <w:b w:val="false"/>
          <w:bCs w:val="false"/>
          <w:i w:val="false"/>
          <w:iCs w:val="false"/>
          <w:color w:val="000000"/>
          <w:sz w:val="22"/>
          <w:szCs w:val="22"/>
        </w:rPr>
        <w:t xml:space="preserve">Las variables que mas contribuyen a la prediccion reflejan directamente la dinamica operacional del asesor: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 que revela</w:t>
            </w:r>
          </w:p>
        </w:tc>
      </w:tr>
      <w:tr>
        <w:tc>
          <w:tcPr>
            <w:tcW w:type="dxa" w:w="312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rFonts w:ascii="Arial" w:cs="Arial" w:eastAsia="Arial" w:hAnsi="Arial"/>
                <w:b/>
                <w:bCs/>
                <w:sz w:val="20"/>
                <w:szCs w:val="20"/>
              </w:rPr>
              <w:t xml:space="preserve">TASA_DESEMBOLSO</w:t>
            </w:r>
          </w:p>
        </w:tc>
        <w:tc>
          <w:tcPr>
            <w:tcW w:type="dxa" w:w="1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0.935</w:t>
            </w:r>
          </w:p>
        </w:tc>
        <w:tc>
          <w:tcPr>
            <w:tcW w:type="dxa" w:w="468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sz w:val="20"/>
                <w:szCs w:val="20"/>
              </w:rPr>
              <w:t xml:space="preserve">Frecuencia de renovacion de cartera (senial dominante)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TASA_PROM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0.223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Tasas altas se asocian con clientes de mayor riesgo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N_SEMANAS_OBS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0.183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Antiguedad del asesor en el periodo analizado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INCREMENTO_CARTERA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0.136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Crecimiento o contraccion semanal de la cartera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CLIENTES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0.106</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Numero de clientes activos bajo su responsabilidad</w:t>
            </w:r>
          </w:p>
        </w:tc>
      </w:tr>
    </w:tbl>
    <w:p>
      <w:pPr>
        <w:spacing w:after="100" w:before="100"/>
      </w:pPr>
    </w:p>
    <w:p>
      <w:pPr>
        <w:pStyle w:val="Heading2"/>
        <w:spacing w:after="100" w:before="240"/>
      </w:pPr>
      <w:r>
        <w:rPr>
          <w:rFonts w:ascii="Arial" w:cs="Arial" w:eastAsia="Arial" w:hAnsi="Arial"/>
          <w:b/>
          <w:bCs/>
          <w:color w:val="2E75B6"/>
          <w:sz w:val="26"/>
          <w:szCs w:val="26"/>
        </w:rPr>
        <w:t xml:space="preserve">Sobre equidad del modelo</w:t>
      </w:r>
    </w:p>
    <w:p>
      <w:pPr>
        <w:spacing w:after="100" w:before="60"/>
      </w:pPr>
      <w:r>
        <w:rPr>
          <w:rFonts w:ascii="Arial" w:cs="Arial" w:eastAsia="Arial" w:hAnsi="Arial"/>
          <w:b w:val="false"/>
          <w:bCs w:val="false"/>
          <w:i w:val="false"/>
          <w:iCs w:val="false"/>
          <w:color w:val="000000"/>
          <w:sz w:val="22"/>
          <w:szCs w:val="22"/>
        </w:rPr>
        <w:t xml:space="preserve">Se verifico que el modelo no produce resultados significativamente distintos segun el genero o la edad del asesor. Ambas diferencias estan por debajo del umbral de alerta institucional de 10 puntos porcentuales, aunque su proximidad requiere monitoreo activo.</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Diferencia maxima</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Umbral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23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Genero</w:t>
            </w:r>
          </w:p>
        </w:tc>
        <w:tc>
          <w:tcPr>
            <w:tcW w:type="dxa" w:w="23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8.1pp</w:t>
            </w:r>
          </w:p>
        </w:tc>
        <w:tc>
          <w:tcPr>
            <w:tcW w:type="dxa" w:w="23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10pp</w:t>
            </w:r>
          </w:p>
        </w:tc>
        <w:tc>
          <w:tcPr>
            <w:tcW w:type="dxa" w:w="23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Monitorear</w:t>
            </w:r>
          </w:p>
        </w:tc>
      </w:tr>
      <w:tr>
        <w:tc>
          <w:tcPr>
            <w:tcW w:type="dxa" w:w="23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Grupo de edad</w:t>
            </w:r>
          </w:p>
        </w:tc>
        <w:tc>
          <w:tcPr>
            <w:tcW w:type="dxa" w:w="23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9.5pp</w:t>
            </w:r>
          </w:p>
        </w:tc>
        <w:tc>
          <w:tcPr>
            <w:tcW w:type="dxa" w:w="23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10pp</w:t>
            </w:r>
          </w:p>
        </w:tc>
        <w:tc>
          <w:tcPr>
            <w:tcW w:type="dxa" w:w="23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center"/>
          </w:tcPr>
          <w:p>
            <w:pPr>
              <w:jc w:val="center"/>
            </w:pPr>
            <w:r>
              <w:rPr>
                <w:rFonts w:ascii="Arial" w:cs="Arial" w:eastAsia="Arial" w:hAnsi="Arial"/>
                <w:b w:val="false"/>
                <w:bCs w:val="false"/>
                <w:sz w:val="20"/>
                <w:szCs w:val="20"/>
              </w:rPr>
              <w:t xml:space="preserve">Monitorear</w:t>
            </w:r>
          </w:p>
        </w:tc>
      </w:tr>
    </w:tbl>
    <w:p>
      <w:pPr>
        <w:spacing w:after="100" w:before="100"/>
      </w:pPr>
    </w:p>
    <w:p>
      <w:pPr>
        <w:pStyle w:val="Heading1"/>
        <w:spacing w:after="160" w:before="400"/>
      </w:pPr>
      <w:r>
        <w:rPr>
          <w:rFonts w:ascii="Arial" w:cs="Arial" w:eastAsia="Arial" w:hAnsi="Arial"/>
          <w:b/>
          <w:bCs/>
          <w:color w:val="1F3864"/>
          <w:sz w:val="32"/>
          <w:szCs w:val="32"/>
        </w:rPr>
        <w:t xml:space="preserve">4. Que se Recomienda Hacer con Esto</w:t>
      </w:r>
    </w:p>
    <w:p>
      <w:pPr>
        <w:pStyle w:val="Heading2"/>
        <w:spacing w:after="100" w:before="240"/>
      </w:pPr>
      <w:r>
        <w:rPr>
          <w:rFonts w:ascii="Arial" w:cs="Arial" w:eastAsia="Arial" w:hAnsi="Arial"/>
          <w:b/>
          <w:bCs/>
          <w:color w:val="2E75B6"/>
          <w:sz w:val="26"/>
          <w:szCs w:val="26"/>
        </w:rPr>
        <w:t xml:space="preserve">Priorizar la supervision de campo</w:t>
      </w:r>
    </w:p>
    <w:p>
      <w:pPr>
        <w:spacing w:after="100" w:before="60"/>
      </w:pPr>
      <w:r>
        <w:rPr>
          <w:rFonts w:ascii="Arial" w:cs="Arial" w:eastAsia="Arial" w:hAnsi="Arial"/>
          <w:b w:val="false"/>
          <w:bCs w:val="false"/>
          <w:i w:val="false"/>
          <w:iCs w:val="false"/>
          <w:color w:val="000000"/>
          <w:sz w:val="22"/>
          <w:szCs w:val="22"/>
        </w:rPr>
        <w:t xml:space="preserve">En lugar de revisar a todos los asesores con la misma frecuencia, enfocar las visitas de coordinadores en los clasificados como ALTO. El modelo reduce el universo de revision al 33% de la plantilla, identificando correctamente al asesor de alto riesgo real en 8 de cada 10 casos.</w:t>
      </w:r>
    </w:p>
    <w:p>
      <w:pPr>
        <w:spacing w:after="100" w:before="100"/>
      </w:pPr>
    </w:p>
    <w:p>
      <w:pPr>
        <w:pStyle w:val="Heading2"/>
        <w:spacing w:after="100" w:before="240"/>
      </w:pPr>
      <w:r>
        <w:rPr>
          <w:rFonts w:ascii="Arial" w:cs="Arial" w:eastAsia="Arial" w:hAnsi="Arial"/>
          <w:b/>
          <w:bCs/>
          <w:color w:val="2E75B6"/>
          <w:sz w:val="26"/>
          <w:szCs w:val="26"/>
        </w:rPr>
        <w:t xml:space="preserve">Usar la TASA_DESEMBOLSO como alerta temprana semanal</w:t>
      </w:r>
    </w:p>
    <w:p>
      <w:pPr>
        <w:spacing w:after="100" w:before="60"/>
      </w:pPr>
      <w:r>
        <w:rPr>
          <w:rFonts w:ascii="Arial" w:cs="Arial" w:eastAsia="Arial" w:hAnsi="Arial"/>
          <w:b w:val="false"/>
          <w:bCs w:val="false"/>
          <w:i w:val="false"/>
          <w:iCs w:val="false"/>
          <w:color w:val="000000"/>
          <w:sz w:val="22"/>
          <w:szCs w:val="22"/>
        </w:rPr>
        <w:t xml:space="preserve">Un asesor que cae de TASA_DESEMBOLSO mayor a 0.10 a menor de 0.05 en dos cortes consecutivos esta enviando una señal de alerta temprana, antes de que el atraso aparezca en los reportes de cartera. Este indicador puede calcularse directamente del sistema transaccional sin necesidad de correr el modelo completo.</w:t>
      </w:r>
    </w:p>
    <w:p>
      <w:pPr>
        <w:spacing w:after="100" w:before="100"/>
      </w:pPr>
    </w:p>
    <w:p>
      <w:pPr>
        <w:pStyle w:val="Heading2"/>
        <w:spacing w:after="100" w:before="240"/>
      </w:pPr>
      <w:r>
        <w:rPr>
          <w:rFonts w:ascii="Arial" w:cs="Arial" w:eastAsia="Arial" w:hAnsi="Arial"/>
          <w:b/>
          <w:bCs/>
          <w:color w:val="2E75B6"/>
          <w:sz w:val="26"/>
          <w:szCs w:val="26"/>
        </w:rPr>
        <w:t xml:space="preserve">Integrar con la estrategia comercial</w:t>
      </w:r>
    </w:p>
    <w:p>
      <w:pPr>
        <w:spacing w:after="100" w:before="60"/>
      </w:pPr>
      <w:r>
        <w:rPr>
          <w:rFonts w:ascii="Arial" w:cs="Arial" w:eastAsia="Arial" w:hAnsi="Arial"/>
          <w:b w:val="false"/>
          <w:bCs w:val="false"/>
          <w:i w:val="false"/>
          <w:iCs w:val="false"/>
          <w:color w:val="000000"/>
          <w:sz w:val="22"/>
          <w:szCs w:val="22"/>
        </w:rPr>
        <w:t xml:space="preserve">Los asesores BAJO son el universo natural para campañas de ampliacion de credito: sus clientes tienen historial de pago limpio y sus grupos renuevan puntualmente. Los asesores ALTO, en cambio, deben recibir intervencion de cobranza antes de cualquier oferta comercial — lanzar una campana de renovacion sobre su cartera aumentaria el riesgo, no lo reducira.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8"/>
              <w:left w:val="single" w:color="C00000" w:sz="18"/>
              <w:bottom w:val="single" w:color="CCCCCC" w:sz="4"/>
              <w:right w:val="single" w:color="CCCCCC" w:sz="4"/>
            </w:tcBorders>
            <w:shd w:fill="F8F9FA" w:val="clear"/>
            <w:tcMar>
              <w:top w:type="dxa" w:w="140"/>
              <w:left w:type="dxa" w:w="220"/>
              <w:bottom w:type="dxa" w:w="140"/>
              <w:right w:type="dxa" w:w="220"/>
            </w:tcMar>
          </w:tcPr>
          <w:p>
            <w:pPr>
              <w:spacing w:after="80"/>
            </w:pPr>
            <w:r>
              <w:rPr>
                <w:rFonts w:ascii="Arial" w:cs="Arial" w:eastAsia="Arial" w:hAnsi="Arial"/>
                <w:b/>
                <w:bCs/>
                <w:color w:val="C00000"/>
                <w:sz w:val="22"/>
                <w:szCs w:val="22"/>
              </w:rPr>
              <w:t xml:space="preserve">Regla de decision operacional para ALTO</w:t>
            </w:r>
          </w:p>
          <w:p>
            <w:r>
              <w:rPr>
                <w:rFonts w:ascii="Arial" w:cs="Arial" w:eastAsia="Arial" w:hAnsi="Arial"/>
                <w:sz w:val="21"/>
                <w:szCs w:val="21"/>
              </w:rPr>
              <w:t xml:space="preserve">TASA_DESEMBOLSO &lt; 0.05  Y  TASA_PROM &gt; 236  Y  MONTO desembolsado &lt; $107,000  Y  Clientes nuevos &lt; 2.5 por desembolso.
Este perfil identifica asesores con grupos estancados que no califican para renovacion.</w:t>
            </w:r>
          </w:p>
        </w:tc>
      </w:tr>
    </w:tbl>
    <w:p>
      <w:pPr>
        <w:spacing w:after="100" w:before="100"/>
      </w:pPr>
    </w:p>
    <w:p>
      <w:pPr>
        <w:pStyle w:val="Heading1"/>
        <w:spacing w:after="160" w:before="400"/>
      </w:pPr>
      <w:r>
        <w:rPr>
          <w:rFonts w:ascii="Arial" w:cs="Arial" w:eastAsia="Arial" w:hAnsi="Arial"/>
          <w:b/>
          <w:bCs/>
          <w:color w:val="1F3864"/>
          <w:sz w:val="32"/>
          <w:szCs w:val="32"/>
        </w:rPr>
        <w:t xml:space="preserve">5. Lo que Este Modelo No Puede Hacer</w:t>
      </w:r>
    </w:p>
    <w:p>
      <w:pPr>
        <w:spacing w:after="100" w:before="60"/>
      </w:pPr>
      <w:r>
        <w:rPr>
          <w:rFonts w:ascii="Arial" w:cs="Arial" w:eastAsia="Arial" w:hAnsi="Arial"/>
          <w:b w:val="false"/>
          <w:bCs w:val="false"/>
          <w:i w:val="false"/>
          <w:iCs w:val="false"/>
          <w:color w:val="000000"/>
          <w:sz w:val="22"/>
          <w:szCs w:val="22"/>
        </w:rPr>
        <w:t xml:space="preserve">La transparencia sobre las limitaciones es parte de la confianza en los resultados. Este modelo no debe usarse para:</w:t>
      </w:r>
    </w:p>
    <w:p>
      <w:pPr>
        <w:spacing w:after="100" w:before="100"/>
      </w:pPr>
    </w:p>
    <w:p>
      <w:pPr>
        <w:pStyle w:val="ListParagraph"/>
        <w:numPr>
          <w:ilvl w:val="0"/>
          <w:numId w:val="2"/>
        </w:numPr>
        <w:spacing w:after="40" w:before="40"/>
      </w:pPr>
      <w:r>
        <w:rPr>
          <w:rFonts w:ascii="Arial" w:cs="Arial" w:eastAsia="Arial" w:hAnsi="Arial"/>
          <w:sz w:val="22"/>
          <w:szCs w:val="22"/>
        </w:rPr>
        <w:t xml:space="preserve">Decisiones de despido o sancion sin revision humana complementaria</w:t>
      </w:r>
    </w:p>
    <w:p>
      <w:pPr>
        <w:pStyle w:val="ListParagraph"/>
        <w:numPr>
          <w:ilvl w:val="0"/>
          <w:numId w:val="2"/>
        </w:numPr>
        <w:spacing w:after="40" w:before="40"/>
      </w:pPr>
      <w:r>
        <w:rPr>
          <w:rFonts w:ascii="Arial" w:cs="Arial" w:eastAsia="Arial" w:hAnsi="Arial"/>
          <w:sz w:val="22"/>
          <w:szCs w:val="22"/>
        </w:rPr>
        <w:t xml:space="preserve">Productos distintos a Credito Grupal sin validacion previa</w:t>
      </w:r>
    </w:p>
    <w:p>
      <w:pPr>
        <w:pStyle w:val="ListParagraph"/>
        <w:numPr>
          <w:ilvl w:val="0"/>
          <w:numId w:val="2"/>
        </w:numPr>
        <w:spacing w:after="40" w:before="40"/>
      </w:pPr>
      <w:r>
        <w:rPr>
          <w:rFonts w:ascii="Arial" w:cs="Arial" w:eastAsia="Arial" w:hAnsi="Arial"/>
          <w:sz w:val="22"/>
          <w:szCs w:val="22"/>
        </w:rPr>
        <w:t xml:space="preserve">Periodos posteriores a enero 2019 sin reentrenamiento</w:t>
      </w:r>
    </w:p>
    <w:p>
      <w:pPr>
        <w:pStyle w:val="ListParagraph"/>
        <w:numPr>
          <w:ilvl w:val="0"/>
          <w:numId w:val="2"/>
        </w:numPr>
        <w:spacing w:after="40" w:before="40"/>
      </w:pPr>
      <w:r>
        <w:rPr>
          <w:rFonts w:ascii="Arial" w:cs="Arial" w:eastAsia="Arial" w:hAnsi="Arial"/>
          <w:sz w:val="22"/>
          <w:szCs w:val="22"/>
        </w:rPr>
        <w:t xml:space="preserve">Instituciones distintas a la de origen sin validacion en sus propios datos</w:t>
      </w:r>
    </w:p>
    <w:p>
      <w:pPr>
        <w:pStyle w:val="ListParagraph"/>
        <w:numPr>
          <w:ilvl w:val="0"/>
          <w:numId w:val="2"/>
        </w:numPr>
        <w:spacing w:after="40" w:before="40"/>
      </w:pPr>
      <w:r>
        <w:rPr>
          <w:rFonts w:ascii="Arial" w:cs="Arial" w:eastAsia="Arial" w:hAnsi="Arial"/>
          <w:sz w:val="22"/>
          <w:szCs w:val="22"/>
        </w:rPr>
        <w:t xml:space="preserve">Asesores clasificados como MEDIO con probabilidad maxima menor al 55%: en esa zona el modelo no es mas informativo que el criterio del coordinador</w:t>
      </w:r>
    </w:p>
    <w:p>
      <w:pPr>
        <w:spacing w:after="100" w:before="100"/>
      </w:pPr>
    </w:p>
    <w:p>
      <w:pPr>
        <w:spacing w:after="100" w:before="60"/>
      </w:pPr>
      <w:r>
        <w:rPr>
          <w:rFonts w:ascii="Arial" w:cs="Arial" w:eastAsia="Arial" w:hAnsi="Arial"/>
          <w:b w:val="false"/>
          <w:bCs w:val="false"/>
          <w:i/>
          <w:iCs/>
          <w:color w:val="000000"/>
          <w:sz w:val="22"/>
          <w:szCs w:val="22"/>
        </w:rPr>
        <w:t xml:space="preserve">La clase MEDIO tiene F1 = 0.61 — la frontera entre riesgo moderado y riesgo alto es genuinamente difusa con las variables disponibles. El modelo es util para priorizar, no para reemplazar el juicio operacional.</w:t>
      </w:r>
    </w:p>
    <w:p>
      <w:pPr>
        <w:spacing w:after="100" w:before="100"/>
      </w:pPr>
    </w:p>
    <w:p>
      <w:pPr>
        <w:pStyle w:val="Heading1"/>
        <w:spacing w:after="160" w:before="400"/>
      </w:pPr>
      <w:r>
        <w:rPr>
          <w:rFonts w:ascii="Arial" w:cs="Arial" w:eastAsia="Arial" w:hAnsi="Arial"/>
          <w:b/>
          <w:bCs/>
          <w:color w:val="1F3864"/>
          <w:sz w:val="32"/>
          <w:szCs w:val="32"/>
        </w:rPr>
        <w:t xml:space="preserve">6. Extensiones Naturales del Analisis</w:t>
      </w:r>
    </w:p>
    <w:p>
      <w:pPr>
        <w:spacing w:after="100" w:before="60"/>
      </w:pPr>
      <w:r>
        <w:rPr>
          <w:rFonts w:ascii="Arial" w:cs="Arial" w:eastAsia="Arial" w:hAnsi="Arial"/>
          <w:b w:val="false"/>
          <w:bCs w:val="false"/>
          <w:i w:val="false"/>
          <w:iCs w:val="false"/>
          <w:color w:val="000000"/>
          <w:sz w:val="22"/>
          <w:szCs w:val="22"/>
        </w:rPr>
        <w:t xml:space="preserve">Este proyecto abre tres lineas de trabajo que podrian desarrollarse en fases posteriores:</w:t>
      </w:r>
    </w:p>
    <w:p>
      <w:pPr>
        <w:spacing w:after="100" w:before="100"/>
      </w:pPr>
    </w:p>
    <w:p>
      <w:pPr>
        <w:pStyle w:val="Heading2"/>
        <w:spacing w:after="100" w:before="240"/>
      </w:pPr>
      <w:r>
        <w:rPr>
          <w:rFonts w:ascii="Arial" w:cs="Arial" w:eastAsia="Arial" w:hAnsi="Arial"/>
          <w:b/>
          <w:bCs/>
          <w:color w:val="2E75B6"/>
          <w:sz w:val="26"/>
          <w:szCs w:val="26"/>
        </w:rPr>
        <w:t xml:space="preserve">Modelo de propension a nivel cliente</w:t>
      </w:r>
    </w:p>
    <w:p>
      <w:pPr>
        <w:spacing w:after="100" w:before="60"/>
      </w:pPr>
      <w:r>
        <w:rPr>
          <w:rFonts w:ascii="Arial" w:cs="Arial" w:eastAsia="Arial" w:hAnsi="Arial"/>
          <w:b w:val="false"/>
          <w:bCs w:val="false"/>
          <w:i w:val="false"/>
          <w:iCs w:val="false"/>
          <w:color w:val="000000"/>
          <w:sz w:val="22"/>
          <w:szCs w:val="22"/>
        </w:rPr>
        <w:t xml:space="preserve">El modelo actual caracteriza al asesor, no al cliente individual. Una extension natural es predecir que cliente especifico tiene mayor probabilidad de incumplir en el siguiente ciclo, usando el historial de pagos por ciclo y el comportamiento del grupo.</w:t>
      </w:r>
    </w:p>
    <w:p>
      <w:pPr>
        <w:pStyle w:val="Heading2"/>
        <w:spacing w:after="100" w:before="240"/>
      </w:pPr>
      <w:r>
        <w:rPr>
          <w:rFonts w:ascii="Arial" w:cs="Arial" w:eastAsia="Arial" w:hAnsi="Arial"/>
          <w:b/>
          <w:bCs/>
          <w:color w:val="2E75B6"/>
          <w:sz w:val="26"/>
          <w:szCs w:val="26"/>
        </w:rPr>
        <w:t xml:space="preserve">Integracion con el area comercial</w:t>
      </w:r>
    </w:p>
    <w:p>
      <w:pPr>
        <w:spacing w:after="100" w:before="60"/>
      </w:pPr>
      <w:r>
        <w:rPr>
          <w:rFonts w:ascii="Arial" w:cs="Arial" w:eastAsia="Arial" w:hAnsi="Arial"/>
          <w:b w:val="false"/>
          <w:bCs w:val="false"/>
          <w:i w:val="false"/>
          <w:iCs w:val="false"/>
          <w:color w:val="000000"/>
          <w:sz w:val="22"/>
          <w:szCs w:val="22"/>
        </w:rPr>
        <w:t xml:space="preserve">La TASA_DESEMBOLSO puede usarse como variable de segmentacion para campañas: asesores por encima del percentil 80 en renovacion activa son el universo optimo para colocacion de credito nuevo o ampliaciones.</w:t>
      </w:r>
    </w:p>
    <w:p>
      <w:pPr>
        <w:pStyle w:val="Heading2"/>
        <w:spacing w:after="100" w:before="240"/>
      </w:pPr>
      <w:r>
        <w:rPr>
          <w:rFonts w:ascii="Arial" w:cs="Arial" w:eastAsia="Arial" w:hAnsi="Arial"/>
          <w:b/>
          <w:bCs/>
          <w:color w:val="2E75B6"/>
          <w:sz w:val="26"/>
          <w:szCs w:val="26"/>
        </w:rPr>
        <w:t xml:space="preserve">Reentrenamiento automatico</w:t>
      </w:r>
    </w:p>
    <w:p>
      <w:pPr>
        <w:spacing w:after="100" w:before="60"/>
      </w:pPr>
      <w:r>
        <w:rPr>
          <w:rFonts w:ascii="Arial" w:cs="Arial" w:eastAsia="Arial" w:hAnsi="Arial"/>
          <w:b w:val="false"/>
          <w:bCs w:val="false"/>
          <w:i w:val="false"/>
          <w:iCs w:val="false"/>
          <w:color w:val="000000"/>
          <w:sz w:val="22"/>
          <w:szCs w:val="22"/>
        </w:rPr>
        <w:t xml:space="preserve">Dado que el comportamiento de cartera cambia con condiciones macroeconomicas, un pipeline de reentrenamiento trimestral con los datos mas recientes mantendria la vigencia del modelo sin intervencion manual.</w:t>
      </w:r>
    </w:p>
    <w:p>
      <w:pPr>
        <w:spacing w:after="100" w:before="100"/>
      </w:pPr>
    </w:p>
    <w:p>
      <w:pPr>
        <w:pBdr>
          <w:top w:val="single" w:color="2E75B6" w:sz="6" w:space="1"/>
        </w:pBdr>
        <w:spacing w:before="400"/>
      </w:pPr>
    </w:p>
    <w:p>
      <w:pPr>
        <w:spacing w:after="100" w:before="100"/>
      </w:pPr>
    </w:p>
    <w:p>
      <w:pPr>
        <w:spacing w:after="100" w:before="60"/>
      </w:pPr>
      <w:r>
        <w:rPr>
          <w:rFonts w:ascii="Arial" w:cs="Arial" w:eastAsia="Arial" w:hAnsi="Arial"/>
          <w:b w:val="false"/>
          <w:bCs w:val="false"/>
          <w:i w:val="false"/>
          <w:iCs w:val="false"/>
          <w:color w:val="555555"/>
          <w:sz w:val="22"/>
          <w:szCs w:val="22"/>
        </w:rPr>
        <w:t xml:space="preserve">Para acceder al codigo fuente, los notebooks documentados y el dashboard interactivo:</w:t>
      </w:r>
    </w:p>
    <w:p>
      <w:pPr>
        <w:spacing w:after="100" w:before="60"/>
      </w:pPr>
      <w:r>
        <w:rPr>
          <w:rFonts w:ascii="Arial" w:cs="Arial" w:eastAsia="Arial" w:hAnsi="Arial"/>
          <w:b/>
          <w:bCs/>
          <w:i w:val="false"/>
          <w:iCs w:val="false"/>
          <w:color w:val="2E75B6"/>
          <w:sz w:val="22"/>
          <w:szCs w:val="22"/>
        </w:rPr>
        <w:t xml:space="preserve">github.com/MarinoSB577/Productividad-asesores-negocios</w:t>
      </w:r>
    </w:p>
    <w:p>
      <w:pPr>
        <w:spacing w:after="100" w:before="60"/>
      </w:pPr>
      <w:r>
        <w:rPr>
          <w:rFonts w:ascii="Arial" w:cs="Arial" w:eastAsia="Arial" w:hAnsi="Arial"/>
          <w:b/>
          <w:bCs/>
          <w:i w:val="false"/>
          <w:iCs w:val="false"/>
          <w:color w:val="2E75B6"/>
          <w:sz w:val="22"/>
          <w:szCs w:val="22"/>
        </w:rPr>
        <w:t xml:space="preserve">app-deterioro-cartera-asesores-marin.streamlit.app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2026-06-05T22:25:41.774Z</dcterms:created>
  <dcterms:modified xsi:type="dcterms:W3CDTF">2026-06-05T22:25:41.788Z</dcterms:modified>
</cp:coreProperties>
</file>

<file path=docProps/custom.xml><?xml version="1.0" encoding="utf-8"?>
<Properties xmlns="http://schemas.openxmlformats.org/officeDocument/2006/custom-properties" xmlns:vt="http://schemas.openxmlformats.org/officeDocument/2006/docPropsVTypes"/>
</file>