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75"/>
          <w:sz w:val="28"/>
        </w:rPr>
        <w:t>VARIABLES PROHIBIDAS EN MODELOS DE SCORING CREDITICIO</w:t>
      </w:r>
    </w:p>
    <w:p>
      <w:pPr>
        <w:jc w:val="center"/>
      </w:pPr>
      <w:r>
        <w:rPr>
          <w:color w:val="555555"/>
          <w:sz w:val="22"/>
        </w:rPr>
        <w:t>Lineamientos de Equidad e Inclusión Financiera para Modelos de IA</w:t>
      </w:r>
    </w:p>
    <w:p>
      <w:pPr>
        <w:jc w:val="center"/>
      </w:pPr>
      <w:r>
        <w:rPr>
          <w:color w:val="888888"/>
          <w:sz w:val="18"/>
        </w:rPr>
        <w:t>CNBV | CONDUSEF | Ley Fintech — Versión 2024</w:t>
      </w:r>
    </w:p>
    <w:p/>
    <w:p>
      <w:pPr>
        <w:spacing w:before="280" w:after="120"/>
      </w:pPr>
      <w:r>
        <w:rPr>
          <w:b/>
          <w:color w:val="003875"/>
          <w:sz w:val="26"/>
        </w:rPr>
        <w:t>1. FUNDAMENTO LEGAL Y OBJETO</w:t>
      </w:r>
    </w:p>
    <w:p>
      <w:pPr>
        <w:spacing w:after="120" w:before="0"/>
      </w:pPr>
      <w:r>
        <w:rPr>
          <w:sz w:val="20"/>
        </w:rPr>
        <w:t>El uso de variables discriminatorias en modelos de scoring crediticio constituye una práctica prohibida conforme a la legislación mexicana y los estándares internacionales de IA responsable. La CNBV, en coordinación con la CONDUSEF y la Secretaría de Hacienda, ha establecido criterios explícitos sobre las variables que NUNCA pueden utilizarse como insumos de un modelo de evaluación crediticia.</w:t>
      </w:r>
    </w:p>
    <w:p>
      <w:pPr>
        <w:spacing w:after="120" w:before="0"/>
      </w:pPr>
      <w:r>
        <w:rPr>
          <w:sz w:val="20"/>
        </w:rPr>
        <w:t>El fundamento legal se sustenta en:</w:t>
      </w:r>
    </w:p>
    <w:p>
      <w:pPr>
        <w:pStyle w:val="ListBullet"/>
        <w:spacing w:after="60"/>
        <w:ind w:left="432"/>
      </w:pPr>
      <w:r>
        <w:rPr>
          <w:sz w:val="20"/>
        </w:rPr>
        <w:t>Ley para Regular las Instituciones de Tecnología Financiera (Ley Fintech), Art. 76: trato justo, no discriminatorio e igualitario.</w:t>
      </w:r>
    </w:p>
    <w:p>
      <w:pPr>
        <w:pStyle w:val="ListBullet"/>
        <w:spacing w:after="60"/>
        <w:ind w:left="432"/>
      </w:pPr>
      <w:r>
        <w:rPr>
          <w:sz w:val="20"/>
        </w:rPr>
        <w:t>Ley Federal para Prevenir y Eliminar la Discriminación (LFPED), Art. 9.</w:t>
      </w:r>
    </w:p>
    <w:p>
      <w:pPr>
        <w:pStyle w:val="ListBullet"/>
        <w:spacing w:after="60"/>
        <w:ind w:left="432"/>
      </w:pPr>
      <w:r>
        <w:rPr>
          <w:sz w:val="20"/>
        </w:rPr>
        <w:t>Convención sobre la Eliminación de todas las formas de Discriminación contra la Mujer (CEDAW), ratificada por México.</w:t>
      </w:r>
    </w:p>
    <w:p>
      <w:pPr>
        <w:pStyle w:val="ListBullet"/>
        <w:spacing w:after="60"/>
        <w:ind w:left="432"/>
      </w:pPr>
      <w:r>
        <w:rPr>
          <w:sz w:val="20"/>
        </w:rPr>
        <w:t>Principios de IA Responsable del Comité de Basilea (2022): equidad algorítmica como requisito de gobernanza.</w:t>
      </w:r>
    </w:p>
    <w:p>
      <w:pPr>
        <w:pStyle w:val="ListBullet"/>
        <w:spacing w:after="60"/>
        <w:ind w:left="432"/>
      </w:pPr>
      <w:r>
        <w:rPr>
          <w:sz w:val="20"/>
        </w:rPr>
        <w:t>Ley General de Instituciones y Sociedades Mutualistas de Seguros, en lo relativo a criterios de selección de riesgo.</w:t>
      </w:r>
    </w:p>
    <w:p>
      <w:pPr>
        <w:spacing w:before="280" w:after="120"/>
      </w:pPr>
      <w:r>
        <w:rPr>
          <w:b/>
          <w:color w:val="003875"/>
          <w:sz w:val="26"/>
        </w:rPr>
        <w:t>2. VARIABLES ABSOLUTAMENTE PROHIBIDAS</w:t>
      </w:r>
    </w:p>
    <w:p>
      <w:pPr>
        <w:spacing w:after="120" w:before="0"/>
      </w:pPr>
      <w:r>
        <w:rPr>
          <w:sz w:val="20"/>
        </w:rPr>
        <w:t>Las siguientes variables NUNCA pueden ser utilizadas directa ni indirectamente como input de un modelo de scoring, ni como criterio de segmentación para aplicar distintos modelos a distintos grupos de personas: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84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Categoría protegida</w:t>
            </w:r>
          </w:p>
        </w:tc>
        <w:tc>
          <w:tcPr>
            <w:tcW w:type="dxa" w:w="2448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Justificación legal</w:t>
            </w:r>
          </w:p>
        </w:tc>
        <w:tc>
          <w:tcPr>
            <w:tcW w:type="dxa" w:w="2448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Riesgo si se usa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Género / Sexo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Protección de género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Art. 1° Constitucional; CEDAW; Ley Fintech Art. 76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Discriminación directa. Nulidad del contrato.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Raza / Origen étnico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Protección racial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LFPED Art. 9, Fracc. I; CERD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Discriminación sistémica. Sanción CNBV + CONAPRED.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Religión / Creencias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Libertad religiosa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Art. 24 Constitucional; LFPED Art. 9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Discriminación ideológica.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Orientación sexual / Identidad de género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Diversidad sexual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LFPED Art. 9 Fracc. XIX; jurisprudencia SCJN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Discriminación. Responsabilidad civil y penal.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Estado civil / Maternidad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No discriminación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LFPED; Ley General para la Igualdad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Discriminación indirecta contra mujeres.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Embarazo / Condición de salud reproductiva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Salud reproductiva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LFT Art. 164; Ley General de Salud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Discriminación. Alta exposición a litigio.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Discapacidad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Inclusión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Convención ONU sobre Derechos de Personas con Discapacidad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Exclusión financiera. Sanción CONAPRED.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Afiliación política / Sindical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Libertad política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Art. 9° Constitucional; LFPED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Discriminación política.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Lugar de nacimiento / Nacionalidad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No xenofobia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Art. 1° Constitucional; LFPED Art. 9 Fracc. III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Xenofobia. Sanción SEGOB + CNBV.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Historial de aborto o procedimientos médicos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Privacidad médica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LFPDPPP; NOM-004-SSA3-2012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Violación de datos sensibles. Sanción INAI.</w:t>
            </w:r>
          </w:p>
        </w:tc>
      </w:tr>
    </w:tbl>
    <w:p/>
    <w:p>
      <w:pPr>
        <w:spacing w:before="280" w:after="120"/>
      </w:pPr>
      <w:r>
        <w:rPr>
          <w:b/>
          <w:color w:val="003875"/>
          <w:sz w:val="26"/>
        </w:rPr>
        <w:t>3. VARIABLES DE USO RESTRINGIDO (PROXY DISCRIMINATION)</w:t>
      </w:r>
    </w:p>
    <w:p>
      <w:pPr>
        <w:spacing w:after="120" w:before="0"/>
      </w:pPr>
      <w:r>
        <w:rPr>
          <w:sz w:val="20"/>
        </w:rPr>
        <w:t>Algunas variables son técnicamente válidas pero pueden actuar como proxies de variables prohibidas. Su uso requiere validación de impacto disparado (fairness audit) y justificación documentada ante la CNBV: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Variable / Proxy</w:t>
            </w:r>
          </w:p>
        </w:tc>
        <w:tc>
          <w:tcPr>
            <w:tcW w:type="dxa" w:w="2592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Variable protegida que puede aproximar</w:t>
            </w:r>
          </w:p>
        </w:tc>
        <w:tc>
          <w:tcPr>
            <w:tcW w:type="dxa" w:w="3744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Condición de uso permitido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Código postal / Colonia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Raza, origen étnico, nivel socioeconómico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Solo si el diferencial de riesgo es estadísticamente válido y no correlaciona con grupos protegidos en &gt; 5 pp.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Nombre completo / CURP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Origen étnico, género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Prohibido usar como feature del modelo. Solo para identificación del expediente.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Número de hijos (CNT_CHILDREN)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Género (mujeres con hijos = mayor penalización)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Uso permitido si el modelo no amplifica diferencias de género. Requiere fairness audit.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Miembros del hogar (CNT_FAM_MEMBERS)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Estado civil, maternidad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Uso permitido con validación. No debe correlacionar con decisión adversa para mujeres.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Tipo de contrato laboral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Género (más mujeres en empleo informal)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Uso permitido si se valida impacto diferenciado. Alternativa: usar ingresos directamente.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Hora de la solicitud (HOUR_APPR_PROCESS_START)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Sin proxy claro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Uso permitido. Indica comportamiento del solicitante, no características protegidas.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Zona / Región geográfica (REGION_POPULATION_RELATIVE)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Origen étnico / clase social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Uso con cautela. Requiere que el diferencial regional se explique por riesgo crediticio real, no por composición demográfica.</w:t>
            </w:r>
          </w:p>
        </w:tc>
      </w:tr>
    </w:tbl>
    <w:p/>
    <w:p>
      <w:pPr>
        <w:spacing w:before="280" w:after="120"/>
      </w:pPr>
      <w:r>
        <w:rPr>
          <w:b/>
          <w:color w:val="003875"/>
          <w:sz w:val="26"/>
        </w:rPr>
        <w:t>4. VARIABLES PERMITIDAS EN EL MODELO DE ORIGINACIÓN</w:t>
      </w:r>
    </w:p>
    <w:p>
      <w:pPr>
        <w:spacing w:after="120" w:before="0"/>
      </w:pPr>
      <w:r>
        <w:rPr>
          <w:sz w:val="20"/>
        </w:rPr>
        <w:t>Las siguientes variables han sido validadas como admisibles conforme a la normativa CNBV, siempre que no presenten correlación significativa con variables protegidas (|r| &gt; 0.40 requiere revisión):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Variable del modelo</w:t>
            </w:r>
          </w:p>
        </w:tc>
        <w:tc>
          <w:tcPr>
            <w:tcW w:type="dxa" w:w="1728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4032"/>
            <w:shd w:val="clear" w:color="auto" w:fill="003875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EXT_SOURCE_1, EXT_SOURCE_2, EXT_SOURCE_3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Historial crediticio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Scores externos de bureaus. Máxima capacidad predictiva. Regulatoriamente exigidos.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DAYS_BIRTH (edad)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Capacidad de pago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Correlación con estabilidad laboral. Validado sin discriminación por edad extrema.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DAYS_EMPLOYED (antigüedad laboral)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Capacidad de pago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Indicador directo de estabilidad de ingreso.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AMT_INCOME_TOTAL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Capacidad de pago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Ingreso comprobable. Variable fundamental CUB.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AMT_CREDIT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Exposición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Monto solicitado. Determina EAD.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AMT_ANNUITY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Capacidad de pago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Cuota mensual. Ratio cuota/ingreso regulatorio.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AMT_GOODS_PRICE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Colateral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Precio del bien financiado. Determina LTV.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FLAG_OWN_REALTY, FLAG_OWN_CAR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Capital / Garantía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Patrimonio del solicitante.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DAYS_ID_PUBLISH, DAYS_REGISTRATION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Comportamiento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18"/>
              </w:rPr>
              <w:t>Señales de estabilidad documental.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FLAG_WORK_PHONE, FLAG_PHONE, FLAG_EMAIL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Contactabilidad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Indicadores operativos de cobranza.</w:t>
            </w:r>
          </w:p>
        </w:tc>
      </w:tr>
    </w:tbl>
    <w:p/>
    <w:p>
      <w:pPr>
        <w:spacing w:before="280" w:after="120"/>
      </w:pPr>
      <w:r>
        <w:rPr>
          <w:b/>
          <w:color w:val="003875"/>
          <w:sz w:val="26"/>
        </w:rPr>
        <w:t>5. PROCESO DE AUDITORÍA DE EQUIDAD (FAIRNESS AUDIT)</w:t>
      </w:r>
    </w:p>
    <w:p>
      <w:pPr>
        <w:spacing w:after="120" w:before="0"/>
      </w:pPr>
      <w:r>
        <w:rPr>
          <w:sz w:val="20"/>
        </w:rPr>
        <w:t>Toda institución que opere un modelo de scoring basado en ML debe realizar una auditoría de equidad anual (o ante cada reentrenamiento del modelo):</w:t>
      </w:r>
    </w:p>
    <w:p>
      <w:pPr>
        <w:pStyle w:val="ListBullet"/>
        <w:spacing w:after="60"/>
        <w:ind w:left="432"/>
      </w:pPr>
      <w:r>
        <w:rPr>
          <w:sz w:val="20"/>
        </w:rPr>
        <w:t>Paso 1 — Detección de proxies: calcular correlación de Pearson entre cada variable del modelo y variables protegidas (género, edad extrema, región). Si |r| &gt; 0.40, documentar justificación o excluir la variable.</w:t>
      </w:r>
    </w:p>
    <w:p>
      <w:pPr>
        <w:pStyle w:val="ListBullet"/>
        <w:spacing w:after="60"/>
        <w:ind w:left="432"/>
      </w:pPr>
      <w:r>
        <w:rPr>
          <w:sz w:val="20"/>
        </w:rPr>
        <w:t>Paso 2 — Análisis de disparidad de aprobación: comparar tasa de aprobación entre grupos (hombres vs mujeres, jóvenes vs adultos). Diferencial aceptable: ≤ 5 pp.</w:t>
      </w:r>
    </w:p>
    <w:p>
      <w:pPr>
        <w:pStyle w:val="ListBullet"/>
        <w:spacing w:after="60"/>
        <w:ind w:left="432"/>
      </w:pPr>
      <w:r>
        <w:rPr>
          <w:sz w:val="20"/>
        </w:rPr>
        <w:t>Paso 3 — Calibración por grupo: verificar que la PD del modelo sea igualmente precisa para todos los grupos demográficos (error cuadrático medio por subgrupo).</w:t>
      </w:r>
    </w:p>
    <w:p>
      <w:pPr>
        <w:pStyle w:val="ListBullet"/>
        <w:spacing w:after="60"/>
        <w:ind w:left="432"/>
      </w:pPr>
      <w:r>
        <w:rPr>
          <w:sz w:val="20"/>
        </w:rPr>
        <w:t>Paso 4 — Documentación: registrar resultados del fairness audit en el expediente del modelo. Disponible para revisión CNBV en cualquier momento.</w:t>
      </w:r>
    </w:p>
    <w:p>
      <w:pPr>
        <w:pStyle w:val="ListBullet"/>
        <w:spacing w:after="60"/>
        <w:ind w:left="432"/>
      </w:pPr>
      <w:r>
        <w:rPr>
          <w:sz w:val="20"/>
        </w:rPr>
        <w:t>Paso 5 — Remediación: si se detecta disparidad &gt; 5 pp, rediseñar el modelo, ajustar umbrales o excluir las variables problemáticas antes de redeployar.</w:t>
      </w:r>
    </w:p>
    <w:p>
      <w:pPr>
        <w:spacing w:before="280" w:after="120"/>
      </w:pPr>
      <w:r>
        <w:rPr>
          <w:b/>
          <w:color w:val="003875"/>
          <w:sz w:val="26"/>
        </w:rPr>
        <w:t>6. REFERENCIAS NORMATIVAS</w:t>
      </w:r>
    </w:p>
    <w:p>
      <w:pPr>
        <w:spacing w:after="60"/>
      </w:pPr>
      <w:r>
        <w:rPr>
          <w:sz w:val="18"/>
        </w:rPr>
        <w:t>• Constitución Política de los Estados Unidos Mexicanos, Art. 1° (no discriminación).</w:t>
      </w:r>
    </w:p>
    <w:p>
      <w:pPr>
        <w:spacing w:after="60"/>
      </w:pPr>
      <w:r>
        <w:rPr>
          <w:sz w:val="18"/>
        </w:rPr>
        <w:t>• Ley Federal para Prevenir y Eliminar la Discriminación (LFPED), DOF 11 junio 2003.</w:t>
      </w:r>
    </w:p>
    <w:p>
      <w:pPr>
        <w:spacing w:after="60"/>
      </w:pPr>
      <w:r>
        <w:rPr>
          <w:sz w:val="18"/>
        </w:rPr>
        <w:t>• Ley para Regular las Instituciones de Tecnología Financiera (Ley Fintech), DOF 9 marzo 2018, Art. 76.</w:t>
      </w:r>
    </w:p>
    <w:p>
      <w:pPr>
        <w:spacing w:after="60"/>
      </w:pPr>
      <w:r>
        <w:rPr>
          <w:sz w:val="18"/>
        </w:rPr>
        <w:t>• Ley Federal de Protección de Datos Personales en Posesión de los Particulares (LFPDPPP), DOF 5 julio 2010.</w:t>
      </w:r>
    </w:p>
    <w:p>
      <w:pPr>
        <w:spacing w:after="60"/>
      </w:pPr>
      <w:r>
        <w:rPr>
          <w:sz w:val="18"/>
        </w:rPr>
        <w:t>• CNBV, Circular Única de Bancos, Título Decimoquinto: Gobierno Corporativo y Gestión de Riesgos.</w:t>
      </w:r>
    </w:p>
    <w:p>
      <w:pPr>
        <w:spacing w:after="60"/>
      </w:pPr>
      <w:r>
        <w:rPr>
          <w:sz w:val="18"/>
        </w:rPr>
        <w:t>• Principios de IA Responsable para el sector bancario, Comité de Basilea (BCBS, 2022).</w:t>
      </w:r>
    </w:p>
    <w:p>
      <w:pPr>
        <w:spacing w:after="60"/>
      </w:pPr>
      <w:r>
        <w:rPr>
          <w:sz w:val="18"/>
        </w:rPr>
        <w:t>• Guía de Implementación de IA Ética en Servicios Financieros, OCDE (2023).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