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Estrategia de Cobranza Temprana (8-30 días)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Objetivo</w:t>
      </w:r>
    </w:p>
    <w:p>
      <w:r>
        <w:t>Recuperar el pago vencido y mantener la relación con el cliente</w:t>
      </w:r>
    </w:p>
    <w:p>
      <w:r>
        <w:t>antes de que la mora se vuelva crónica.</w:t>
      </w:r>
    </w:p>
    <w:p>
      <w:pPr>
        <w:pStyle w:val="Heading2"/>
      </w:pPr>
      <w:r>
        <w:t>Acciones Días 8-15</w:t>
      </w:r>
    </w:p>
    <w:p>
      <w:pPr>
        <w:pStyle w:val="ListBullet"/>
      </w:pPr>
      <w:r>
        <w:t>1. Llamada de gestión directa — identificar causa del no pago:</w:t>
      </w:r>
    </w:p>
    <w:p>
      <w:pPr>
        <w:pStyle w:val="ListBullet"/>
      </w:pPr>
      <w:r>
        <w:t>- Problema temporal de liquidez: ofrecer plan de pago</w:t>
      </w:r>
    </w:p>
    <w:p>
      <w:pPr>
        <w:pStyle w:val="ListBullet"/>
      </w:pPr>
      <w:r>
        <w:t>- Desacuerdo con el monto: escalar a revisión de cuenta</w:t>
      </w:r>
    </w:p>
    <w:p>
      <w:pPr>
        <w:pStyle w:val="ListBullet"/>
      </w:pPr>
      <w:r>
        <w:t>- Pérdida de empleo: protocolo de reestructura</w:t>
      </w:r>
    </w:p>
    <w:p>
      <w:pPr>
        <w:pStyle w:val="ListBullet"/>
      </w:pPr>
      <w:r>
        <w:t>- No contesta: intentar 3 veces en horarios distintos</w:t>
      </w:r>
    </w:p>
    <w:p>
      <w:pPr>
        <w:pStyle w:val="ListBullet"/>
      </w:pPr>
      <w:r>
        <w:t>2. Contacto con referencia personal si no hay respuesta</w:t>
      </w:r>
    </w:p>
    <w:p>
      <w:r>
        <w:t>Solo para confirmar que el cliente está localizable.</w:t>
      </w:r>
    </w:p>
    <w:p>
      <w:r>
        <w:t>NO revelar información del crédito. Cumplimiento CONDUSEF Art. 17.</w:t>
      </w:r>
    </w:p>
    <w:p>
      <w:pPr>
        <w:pStyle w:val="Heading2"/>
      </w:pPr>
      <w:r>
        <w:t>Acciones Días 16-30</w:t>
      </w:r>
    </w:p>
    <w:p>
      <w:pPr>
        <w:pStyle w:val="ListBullet"/>
      </w:pPr>
      <w:r>
        <w:t>3. Carta formal de notificación de adeudo</w:t>
      </w:r>
    </w:p>
    <w:p>
      <w:r>
        <w:t>Enviada por correo electrónico y mensajería certificada.</w:t>
      </w:r>
    </w:p>
    <w:p>
      <w:r>
        <w:t>Detalle del monto vencido más intereses moratorios.</w:t>
      </w:r>
    </w:p>
    <w:p>
      <w:r>
        <w:t>Fecha límite de 5 días hábiles para regularizar.</w:t>
      </w:r>
    </w:p>
    <w:p>
      <w:pPr>
        <w:pStyle w:val="ListBullet"/>
      </w:pPr>
      <w:r>
        <w:t>4. Oferta de quita de intereses moratorios</w:t>
      </w:r>
    </w:p>
    <w:p>
      <w:r>
        <w:t>Si el cliente paga el capital vencido en 48 horas:</w:t>
      </w:r>
    </w:p>
    <w:p>
      <w:r>
        <w:t>condonación del 100% de intereses moratorios generados.</w:t>
      </w:r>
    </w:p>
    <w:p>
      <w:r>
        <w:t>Válido solo en este período de 8 a 30 días.</w:t>
      </w:r>
    </w:p>
    <w:p>
      <w:pPr>
        <w:pStyle w:val="Heading2"/>
      </w:pPr>
      <w:r>
        <w:t>KPI de Éxito</w:t>
      </w:r>
    </w:p>
    <w:p>
      <w:pPr>
        <w:pStyle w:val="ListBullet"/>
      </w:pPr>
      <w:r>
        <w:t>- Recuperación en más del 70% de casos en este período</w:t>
      </w:r>
    </w:p>
    <w:p>
      <w:pPr>
        <w:pStyle w:val="ListBullet"/>
      </w:pPr>
      <w:r>
        <w:t>- Escalamiento a cobranza media si no hay pago al día 30</w:t>
      </w:r>
    </w:p>
    <w:p/>
    <w:p>
      <w:pPr>
        <w:jc w:val="center"/>
      </w:pPr>
      <w:r>
        <w:t>Documento: 02_estrategia_temprana.docx | Versión: 1.0 | Mayo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