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Estrategia de Cobranza Media (31-90 días)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Objetivo</w:t>
      </w:r>
    </w:p>
    <w:p>
      <w:r>
        <w:t>Recuperar la cartera vencida mediante acuerdos de reestructura</w:t>
      </w:r>
    </w:p>
    <w:p>
      <w:r>
        <w:t>antes de llegar a cartera irrecuperable.</w:t>
      </w:r>
    </w:p>
    <w:p>
      <w:r>
        <w:t>Clasificación CNBV: Cartera vencida C1-C2. Provisión 25-75%.</w:t>
      </w:r>
    </w:p>
    <w:p>
      <w:pPr>
        <w:pStyle w:val="Heading2"/>
      </w:pPr>
      <w:r>
        <w:t>Acciones Días 31-60</w:t>
      </w:r>
    </w:p>
    <w:p>
      <w:pPr>
        <w:pStyle w:val="ListBullet"/>
      </w:pPr>
      <w:r>
        <w:t>1. Gestión intensiva: mínimo 5 intentos de contacto por semana</w:t>
      </w:r>
    </w:p>
    <w:p>
      <w:r>
        <w:t>Llamadas en horarios variados: mañana, tarde y noche.</w:t>
      </w:r>
    </w:p>
    <w:p>
      <w:r>
        <w:t>WhatsApp si el cliente tiene registrado este canal.</w:t>
      </w:r>
    </w:p>
    <w:p>
      <w:r>
        <w:t>Visita domiciliaria si no hay respuesta telefónica.</w:t>
      </w:r>
    </w:p>
    <w:p>
      <w:pPr>
        <w:pStyle w:val="ListBullet"/>
      </w:pPr>
      <w:r>
        <w:t>2. Propuesta de reestructura formal:</w:t>
      </w:r>
    </w:p>
    <w:p>
      <w:r>
        <w:t>Opción A: Pago al corriente con condonación del 50% de intereses moratorios.</w:t>
      </w:r>
    </w:p>
    <w:p>
      <w:r>
        <w:t>Opción B: Plan de pagos con 30% de enganche y resto en 3-6 cuotas.</w:t>
      </w:r>
    </w:p>
    <w:p>
      <w:r>
        <w:t>Opción C: Refinanciamiento absorbiendo deuda actual (requiere evaluación).</w:t>
      </w:r>
    </w:p>
    <w:p>
      <w:pPr>
        <w:pStyle w:val="Heading2"/>
      </w:pPr>
      <w:r>
        <w:t>Acciones Días 61-90</w:t>
      </w:r>
    </w:p>
    <w:p>
      <w:pPr>
        <w:pStyle w:val="ListBullet"/>
      </w:pPr>
      <w:r>
        <w:t>3. Última llamada de conciliación antes de proceso legal</w:t>
      </w:r>
    </w:p>
    <w:p>
      <w:r>
        <w:t>Presentar consecuencias concretas del proceso legal.</w:t>
      </w:r>
    </w:p>
    <w:p>
      <w:r>
        <w:t>Ofrecer la mejor condición disponible (quita máxima).</w:t>
      </w:r>
    </w:p>
    <w:p>
      <w:r>
        <w:t>Documentar la llamada para el expediente.</w:t>
      </w:r>
    </w:p>
    <w:p>
      <w:pPr>
        <w:pStyle w:val="Heading2"/>
      </w:pPr>
      <w:r>
        <w:t>KPI de Éxito</w:t>
      </w:r>
    </w:p>
    <w:p>
      <w:pPr>
        <w:pStyle w:val="ListBullet"/>
      </w:pPr>
      <w:r>
        <w:t>- Acuerdo de pago en más del 45% de los casos</w:t>
      </w:r>
    </w:p>
    <w:p>
      <w:pPr>
        <w:pStyle w:val="ListBullet"/>
      </w:pPr>
      <w:r>
        <w:t>- Toda gestión debe quedar documentada en el sistema</w:t>
      </w:r>
    </w:p>
    <w:p/>
    <w:p>
      <w:pPr>
        <w:jc w:val="center"/>
      </w:pPr>
      <w:r>
        <w:t>Documento: 03_estrategia_media.docx | Versión: 1.0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