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Estrategia de Cobranza Tardía (91+ días)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Objetivo</w:t>
      </w:r>
    </w:p>
    <w:p>
      <w:r>
        <w:t>Maximizar la recuperación antes del castigo contable.</w:t>
      </w:r>
    </w:p>
    <w:p>
      <w:r>
        <w:t>La recuperación estadística en este segmento es menor al 30%.</w:t>
      </w:r>
    </w:p>
    <w:p>
      <w:r>
        <w:t>Clasificación CNBV: Cartera vencida C3. Provisión 100%.</w:t>
      </w:r>
    </w:p>
    <w:p>
      <w:pPr>
        <w:pStyle w:val="Heading2"/>
      </w:pPr>
      <w:r>
        <w:t>Opciones Disponibles</w:t>
      </w:r>
    </w:p>
    <w:p>
      <w:pPr>
        <w:pStyle w:val="ListBullet"/>
      </w:pPr>
      <w:r>
        <w:t>1. Oferta de quita de capital (descuento en el principal)</w:t>
      </w:r>
    </w:p>
    <w:p>
      <w:r>
        <w:t>Descuento del 20-40% del saldo total.</w:t>
      </w:r>
    </w:p>
    <w:p>
      <w:r>
        <w:t>Pago único en menos de 15 días hábiles.</w:t>
      </w:r>
    </w:p>
    <w:p>
      <w:r>
        <w:t>Requiere autorización del Comité de Cartera.</w:t>
      </w:r>
    </w:p>
    <w:p>
      <w:pPr>
        <w:pStyle w:val="ListBullet"/>
      </w:pPr>
      <w:r>
        <w:t>2. Dación en pago</w:t>
      </w:r>
    </w:p>
    <w:p>
      <w:r>
        <w:t>El cliente entrega un bien a valor de mercado.</w:t>
      </w:r>
    </w:p>
    <w:p>
      <w:r>
        <w:t>Requiere avalúo y aprobación jurídica.</w:t>
      </w:r>
    </w:p>
    <w:p>
      <w:pPr>
        <w:pStyle w:val="ListBullet"/>
      </w:pPr>
      <w:r>
        <w:t>3. Cesión de deuda a despacho externo</w:t>
      </w:r>
    </w:p>
    <w:p>
      <w:r>
        <w:t>Para cuentas sin respuesta después de 90 días de gestión.</w:t>
      </w:r>
    </w:p>
    <w:p>
      <w:pPr>
        <w:pStyle w:val="ListBullet"/>
      </w:pPr>
      <w:r>
        <w:t>4. Proceso legal</w:t>
      </w:r>
    </w:p>
    <w:p>
      <w:r>
        <w:t>Última opción después de agotar las anteriores.</w:t>
      </w:r>
    </w:p>
    <w:p>
      <w:r>
        <w:t>Solo para montos que justifiquen el costo legal.</w:t>
      </w:r>
    </w:p>
    <w:p>
      <w:pPr>
        <w:pStyle w:val="Heading2"/>
      </w:pPr>
      <w:r>
        <w:t>KPI de Éxito</w:t>
      </w:r>
    </w:p>
    <w:p>
      <w:pPr>
        <w:pStyle w:val="ListBullet"/>
      </w:pPr>
      <w:r>
        <w:t>- Recuperación mayor al 25% del saldo es considerada exitosa</w:t>
      </w:r>
    </w:p>
    <w:p>
      <w:pPr>
        <w:pStyle w:val="ListBullet"/>
      </w:pPr>
      <w:r>
        <w:t>- Documentar exhaustivamente para expediente legal si aplica</w:t>
      </w:r>
    </w:p>
    <w:p/>
    <w:p>
      <w:pPr>
        <w:jc w:val="center"/>
      </w:pPr>
      <w:r>
        <w:t>Documento: 04_estrategia_tardia.docx | Versión: 1.0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