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Peer</w:t>
      </w:r>
      <w:r>
        <w:t xml:space="preserve"> </w:t>
      </w:r>
      <w:r>
        <w:t xml:space="preserve">Review</w:t>
      </w:r>
      <w:r>
        <w:t xml:space="preserve"> </w:t>
      </w:r>
      <w:r>
        <w:t xml:space="preserve">Template</w:t>
      </w:r>
    </w:p>
    <w:p>
      <w:pPr>
        <w:pStyle w:val="Author"/>
      </w:pPr>
      <w:r>
        <w:t xml:space="preserve">Marinos</w:t>
      </w:r>
      <w:r>
        <w:t xml:space="preserve"> </w:t>
      </w:r>
      <w:r>
        <w:t xml:space="preserve">Ioannides</w:t>
      </w:r>
    </w:p>
    <w:p>
      <w:pPr>
        <w:pStyle w:val="Date"/>
      </w:pPr>
      <w:r>
        <w:t xml:space="preserve">05/10/2021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template-introduction"/>
      <w:r>
        <w:t xml:space="preserve">Template Introduction</w:t>
      </w:r>
      <w:bookmarkEnd w:id="20"/>
    </w:p>
    <w:p>
      <w:pPr>
        <w:pStyle w:val="FirstParagraph"/>
      </w:pPr>
      <w:r>
        <w:t xml:space="preserve">This template is designed to aid peer reviewers in the writing and construction of their reports. It is</w:t>
      </w:r>
      <w:r>
        <w:t xml:space="preserve"> </w:t>
      </w:r>
      <w:r>
        <w:rPr>
          <w:i/>
        </w:rPr>
        <w:t xml:space="preserve">not</w:t>
      </w:r>
      <w:r>
        <w:t xml:space="preserve"> </w:t>
      </w:r>
      <w:r>
        <w:t xml:space="preserve">designed for model creators to cater their design to the demands of this document.</w:t>
      </w:r>
    </w:p>
    <w:p>
      <w:pPr>
        <w:pStyle w:val="BodyText"/>
      </w:pPr>
      <w:r>
        <w:t xml:space="preserve">For guidance on how to use R Markdown, please read this</w:t>
      </w:r>
      <w:r>
        <w:t xml:space="preserve"> </w:t>
      </w:r>
      <w:hyperlink r:id="rId21">
        <w:r>
          <w:rPr>
            <w:rStyle w:val="Hyperlink"/>
          </w:rPr>
          <w:t xml:space="preserve">very useful book</w:t>
        </w:r>
      </w:hyperlink>
      <w:r>
        <w:t xml:space="preserve"> </w:t>
      </w:r>
      <w:r>
        <w:t xml:space="preserve">which covers all the tools required and provides an excellent starting point for anybody using R Markdown. Guidance on how to code in R can be found</w:t>
      </w:r>
      <w:r>
        <w:t xml:space="preserve"> </w:t>
      </w:r>
      <w:hyperlink r:id="rId22">
        <w:r>
          <w:rPr>
            <w:rStyle w:val="Hyperlink"/>
          </w:rPr>
          <w:t xml:space="preserve">on the Learning Hub</w:t>
        </w:r>
      </w:hyperlink>
      <w:r>
        <w:t xml:space="preserve"> </w:t>
      </w:r>
      <w:r>
        <w:t xml:space="preserve">courtesy of the ONS team.</w:t>
      </w:r>
    </w:p>
    <w:p>
      <w:pPr>
        <w:pStyle w:val="BodyText"/>
      </w:pPr>
      <w:r>
        <w:t xml:space="preserve">This template does not replace the need for competent and forensic peer review and can be added to by peer reviewers should they feel the need to. Indeed, if you notice inconsistencies, errors, absences or simply have questions about the template do not hesitate to email the template manager, Marinos Ioannides, at</w:t>
      </w:r>
      <w:r>
        <w:t xml:space="preserve"> </w:t>
      </w:r>
      <w:hyperlink r:id="rId23">
        <w:r>
          <w:rPr>
            <w:rStyle w:val="Hyperlink"/>
          </w:rPr>
          <w:t xml:space="preserve">marinos.ioannides@ons.gov.uk</w:t>
        </w:r>
      </w:hyperlink>
      <w:r>
        <w:t xml:space="preserve">.</w:t>
      </w:r>
    </w:p>
    <w:p>
      <w:pPr>
        <w:pStyle w:val="BodyText"/>
      </w:pPr>
      <w:r>
        <w:t xml:space="preserve">Feel free to delete this section in the final submission to the modelling team.</w:t>
      </w:r>
    </w:p>
    <w:p>
      <w:pPr>
        <w:pStyle w:val="Heading1"/>
      </w:pPr>
      <w:bookmarkStart w:id="24" w:name="peer-review-introduction"/>
      <w:r>
        <w:t xml:space="preserve">1	Peer Review Introduction</w:t>
      </w:r>
      <w:bookmarkEnd w:id="24"/>
    </w:p>
    <w:p>
      <w:pPr>
        <w:pStyle w:val="FirstParagraph"/>
      </w:pPr>
      <w:r>
        <w:t xml:space="preserve">This peer review structure follows a Governance, Documentation, Functionality structure. This structure presents the systemic and structural issues first and foremost within the review, then the errors or absences within the documentation and concludes with the specific findings within the model. This structure emphasizes the systemic factors which are almost always involved in the most severe model errors and shortcomings and aim to highlight factors whose symptoms can be identified within models but whose root cause might otherwise go unnoticed.</w:t>
      </w:r>
    </w:p>
    <w:p>
      <w:pPr>
        <w:pStyle w:val="BodyText"/>
      </w:pPr>
      <w:r>
        <w:t xml:space="preserve">This report assumes the reader has a basic understanding of the structure and function of the model.</w:t>
      </w:r>
    </w:p>
    <w:p>
      <w:pPr>
        <w:pStyle w:val="Heading1"/>
      </w:pPr>
      <w:bookmarkStart w:id="25" w:name="model-governance-overview"/>
      <w:r>
        <w:t xml:space="preserve">2	Model Governance Overview</w:t>
      </w:r>
      <w:bookmarkEnd w:id="25"/>
    </w:p>
    <w:p>
      <w:pPr>
        <w:pStyle w:val="FirstParagraph"/>
      </w:pPr>
      <w:r>
        <w:t xml:space="preserve">There are three key roles which should be filled by named, senior individuals according to modeling best practice, according to the Macpherson review. They are the Senior Responsible Owner (SRO), the Analytical Assurer (AA) and Commissioner.</w:t>
      </w:r>
      <w:r>
        <w:t xml:space="preserve"> </w:t>
      </w:r>
      <w:r>
        <w:t xml:space="preserve">In this model Dave Fakename is the model SRO, there is no named AA, and there is no named commissioner.</w:t>
      </w:r>
    </w:p>
    <w:p>
      <w:pPr>
        <w:pStyle w:val="BodyText"/>
      </w:pPr>
      <w:r>
        <w:t xml:space="preserve">The lack of a named commisisoner presents concerns to the peer review team. There should be a well documented and continous back and forth between the commissioner and the SRO to relay important discussions. Without such a named individual, it is difficult to see how the requirements of model users will be understood and satisfied by the modelling team.</w:t>
      </w:r>
    </w:p>
    <w:p>
      <w:pPr>
        <w:pStyle w:val="BodyText"/>
      </w:pPr>
      <w:r>
        <w:t xml:space="preserve">The absence of the analytical assurer is problematic. The analytical assurer exists to synthesise and review the assurance work of QA teams and previous peer review. Without such an individual it is easy for concerns raised by peer review to be forgotten or ignored. Their absence within this model and its governance structure is concerning to the peer review team.</w:t>
      </w:r>
    </w:p>
    <w:p>
      <w:pPr>
        <w:pStyle w:val="BodyText"/>
      </w:pPr>
      <w:r>
        <w:t xml:space="preserve">The presence of named individuals comprises one part of model governance. How these individuals interact and govern the model is what ensures that the model is well managed or otherwise.</w:t>
      </w:r>
    </w:p>
    <w:p>
      <w:pPr>
        <w:pStyle w:val="Heading2"/>
      </w:pPr>
      <w:bookmarkStart w:id="26" w:name="commissioner-governance"/>
      <w:r>
        <w:t xml:space="preserve">2.1	Commissioner Governance</w:t>
      </w:r>
      <w:bookmarkEnd w:id="26"/>
    </w:p>
    <w:p>
      <w:pPr>
        <w:pStyle w:val="FirstParagraph"/>
      </w:pPr>
      <w:r>
        <w:t xml:space="preserve">The commissioner’s role involves clearly explaining what the team should create, why, and what limitations, assumptions and caveats are acceptable.</w:t>
      </w:r>
    </w:p>
    <w:p>
      <w:pPr>
        <w:pStyle w:val="Heading2"/>
      </w:pPr>
      <w:bookmarkStart w:id="27" w:name="sro-governance-dave-fakename"/>
      <w:r>
        <w:t xml:space="preserve">2.2	SRO Governance (Dave Fakename)</w:t>
      </w:r>
      <w:bookmarkEnd w:id="27"/>
    </w:p>
    <w:p>
      <w:pPr>
        <w:pStyle w:val="Heading2"/>
      </w:pPr>
      <w:bookmarkStart w:id="28" w:name="analytical-assurer-governance"/>
      <w:r>
        <w:t xml:space="preserve">2.3	Analytical Assurer Governance</w:t>
      </w:r>
      <w:bookmarkEnd w:id="28"/>
    </w:p>
    <w:p>
      <w:pPr>
        <w:pStyle w:val="Heading2"/>
      </w:pPr>
      <w:bookmarkStart w:id="29" w:name="governance-summary"/>
      <w:r>
        <w:t xml:space="preserve">2.4	Governance Summary</w:t>
      </w:r>
      <w:bookmarkEnd w:id="29"/>
    </w:p>
    <w:p>
      <w:pPr>
        <w:pStyle w:val="Heading1"/>
      </w:pPr>
      <w:bookmarkStart w:id="30" w:name="documentation-overview"/>
      <w:r>
        <w:t xml:space="preserve">3	Documentation Overview</w:t>
      </w:r>
      <w:bookmarkEnd w:id="30"/>
    </w:p>
    <w:p>
      <w:pPr>
        <w:pStyle w:val="Heading2"/>
      </w:pPr>
      <w:bookmarkStart w:id="31" w:name="assumptions-log"/>
      <w:r>
        <w:t xml:space="preserve">3.1	Assumptions Log</w:t>
      </w:r>
      <w:bookmarkEnd w:id="31"/>
    </w:p>
    <w:p>
      <w:pPr>
        <w:pStyle w:val="Heading2"/>
      </w:pPr>
      <w:bookmarkStart w:id="32" w:name="input-quality-review"/>
      <w:r>
        <w:t xml:space="preserve">3.2	Input Quality Review</w:t>
      </w:r>
      <w:bookmarkEnd w:id="32"/>
    </w:p>
    <w:p>
      <w:pPr>
        <w:pStyle w:val="Heading2"/>
      </w:pPr>
      <w:bookmarkStart w:id="33" w:name="commissioning-document"/>
      <w:r>
        <w:t xml:space="preserve">3.3	Commissioning Document</w:t>
      </w:r>
      <w:bookmarkEnd w:id="33"/>
    </w:p>
    <w:p>
      <w:pPr>
        <w:pStyle w:val="Heading2"/>
      </w:pPr>
      <w:bookmarkStart w:id="34" w:name="sensitivity-analysis"/>
      <w:r>
        <w:t xml:space="preserve">3.4	Sensitivity Analysis</w:t>
      </w:r>
      <w:bookmarkEnd w:id="34"/>
    </w:p>
    <w:p>
      <w:pPr>
        <w:pStyle w:val="Heading2"/>
      </w:pPr>
      <w:bookmarkStart w:id="35" w:name="user-report"/>
      <w:r>
        <w:t xml:space="preserve">3.5	User Report</w:t>
      </w:r>
      <w:bookmarkEnd w:id="35"/>
    </w:p>
    <w:p>
      <w:pPr>
        <w:pStyle w:val="Heading2"/>
      </w:pPr>
      <w:bookmarkStart w:id="36" w:name="documentation-summary"/>
      <w:r>
        <w:t xml:space="preserve">3.6	Documentation Summary</w:t>
      </w:r>
      <w:bookmarkEnd w:id="36"/>
    </w:p>
    <w:p>
      <w:pPr>
        <w:pStyle w:val="Heading1"/>
      </w:pPr>
      <w:bookmarkStart w:id="37" w:name="model-overview"/>
      <w:r>
        <w:t xml:space="preserve">4	Model Overview</w:t>
      </w:r>
      <w:bookmarkEnd w:id="37"/>
    </w:p>
    <w:p>
      <w:pPr>
        <w:pStyle w:val="Heading2"/>
      </w:pPr>
      <w:bookmarkStart w:id="38" w:name="model-rationale"/>
      <w:r>
        <w:t xml:space="preserve">4.1	Model Rationale</w:t>
      </w:r>
      <w:bookmarkEnd w:id="38"/>
    </w:p>
    <w:p>
      <w:pPr>
        <w:pStyle w:val="Heading2"/>
      </w:pPr>
      <w:bookmarkStart w:id="39" w:name="section"/>
      <w:r>
        <w:t xml:space="preserve">4.2	</w:t>
      </w:r>
      <w:bookmarkEnd w:id="39"/>
    </w:p>
    <w:sectPr w:rsidR="00BB6972" w:rsidSect="00E227D8">
      <w:pgSz w:w="12240" w:h="15840"/>
      <w:pgMar w:top="1440" w:right="1440" w:bottom="1440" w:left="1440" w:header="720" w:footer="72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0CD2DE"/>
    <w:multiLevelType w:val="multilevel"/>
    <w:tmpl w:val="1DB4C21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2C1AE401"/>
    <w:multiLevelType w:val="multilevel"/>
    <w:tmpl w:val="8CF4EB7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5FBE"/>
    <w:rPr>
      <w:rFonts w:ascii="Arial" w:hAnsi="Arial"/>
      <w:sz w:val="22"/>
    </w:rPr>
  </w:style>
  <w:style w:type="paragraph" w:styleId="Heading1">
    <w:name w:val="heading 1"/>
    <w:basedOn w:val="Normal"/>
    <w:next w:val="BodyText"/>
    <w:uiPriority w:val="9"/>
    <w:qFormat/>
    <w:rsid w:val="0087748D"/>
    <w:pPr>
      <w:keepNext/>
      <w:keepLines/>
      <w:spacing w:before="480" w:after="0"/>
      <w:outlineLvl w:val="0"/>
    </w:pPr>
    <w:rPr>
      <w:rFonts w:eastAsiaTheme="majorEastAsia" w:cstheme="majorBidi"/>
      <w:b/>
      <w:bCs/>
      <w:color w:val="345A8A" w:themeColor="accent1" w:themeShade="B5"/>
      <w:sz w:val="32"/>
      <w:szCs w:val="32"/>
    </w:rPr>
  </w:style>
  <w:style w:type="paragraph" w:styleId="Heading2">
    <w:name w:val="heading 2"/>
    <w:basedOn w:val="Normal"/>
    <w:next w:val="BodyText"/>
    <w:uiPriority w:val="9"/>
    <w:unhideWhenUsed/>
    <w:qFormat/>
    <w:rsid w:val="00EF5FD9"/>
    <w:pPr>
      <w:keepNext/>
      <w:keepLines/>
      <w:spacing w:before="200" w:after="0"/>
      <w:outlineLvl w:val="1"/>
    </w:pPr>
    <w:rPr>
      <w:rFonts w:eastAsiaTheme="majorEastAsia" w:cstheme="majorBidi"/>
      <w:b/>
      <w:bCs/>
      <w:sz w:val="28"/>
      <w:szCs w:val="32"/>
    </w:rPr>
  </w:style>
  <w:style w:type="paragraph" w:styleId="Heading3">
    <w:name w:val="heading 3"/>
    <w:basedOn w:val="Normal"/>
    <w:next w:val="BodyText"/>
    <w:uiPriority w:val="9"/>
    <w:unhideWhenUsed/>
    <w:qFormat/>
    <w:rsid w:val="00EF5FD9"/>
    <w:pPr>
      <w:keepNext/>
      <w:keepLines/>
      <w:pageBreakBefore/>
      <w:spacing w:before="320" w:after="120"/>
      <w:outlineLvl w:val="2"/>
    </w:pPr>
    <w:rPr>
      <w:rFonts w:eastAsiaTheme="majorEastAsia" w:cstheme="majorBidi"/>
      <w:b/>
      <w:bCs/>
      <w:sz w:val="28"/>
      <w:szCs w:val="28"/>
    </w:rPr>
  </w:style>
  <w:style w:type="paragraph" w:styleId="Heading4">
    <w:name w:val="heading 4"/>
    <w:basedOn w:val="Normal"/>
    <w:next w:val="BodyText"/>
    <w:uiPriority w:val="9"/>
    <w:unhideWhenUsed/>
    <w:qFormat/>
    <w:rsid w:val="00EF5FD9"/>
    <w:pPr>
      <w:keepNext/>
      <w:keepLines/>
      <w:spacing w:before="200" w:after="0"/>
      <w:outlineLvl w:val="3"/>
    </w:pPr>
    <w:rPr>
      <w:rFonts w:eastAsiaTheme="majorEastAsia" w:cstheme="majorBidi"/>
      <w:b/>
      <w:bCs/>
    </w:rPr>
  </w:style>
  <w:style w:type="paragraph" w:styleId="Heading5">
    <w:name w:val="heading 5"/>
    <w:basedOn w:val="Normal"/>
    <w:next w:val="BodyText"/>
    <w:uiPriority w:val="9"/>
    <w:unhideWhenUsed/>
    <w:qFormat/>
    <w:rsid w:val="00EF5FD9"/>
    <w:pPr>
      <w:keepNext/>
      <w:keepLines/>
      <w:spacing w:before="200" w:after="0"/>
      <w:outlineLvl w:val="4"/>
    </w:pPr>
    <w:rPr>
      <w:rFonts w:eastAsiaTheme="majorEastAsia" w:cstheme="majorBidi"/>
      <w:i/>
      <w:iCs/>
    </w:rPr>
  </w:style>
  <w:style w:type="paragraph" w:styleId="Heading6">
    <w:name w:val="heading 6"/>
    <w:basedOn w:val="Normal"/>
    <w:next w:val="BodyText"/>
    <w:uiPriority w:val="9"/>
    <w:unhideWhenUsed/>
    <w:qFormat/>
    <w:rsid w:val="00EF5FD9"/>
    <w:pPr>
      <w:keepNext/>
      <w:keepLines/>
      <w:spacing w:before="200" w:after="0"/>
      <w:outlineLvl w:val="5"/>
    </w:pPr>
    <w:rPr>
      <w:rFonts w:eastAsiaTheme="majorEastAsia"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87748D"/>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204093"/>
    <w:pPr>
      <w:keepNext/>
      <w:keepLines/>
      <w:spacing w:before="480" w:after="240"/>
      <w:jc w:val="center"/>
    </w:pPr>
    <w:rPr>
      <w:rFonts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6132FA"/>
    <w:pPr>
      <w:keepNext/>
      <w:keepLines/>
      <w:jc w:val="center"/>
    </w:pPr>
    <w:rPr>
      <w:rFonts w:ascii="Arial" w:hAnsi="Arial"/>
    </w:rPr>
  </w:style>
  <w:style w:type="paragraph" w:styleId="Date">
    <w:name w:val="Date"/>
    <w:next w:val="BodyText"/>
    <w:qFormat/>
    <w:rsid w:val="00EF5FD9"/>
    <w:pPr>
      <w:keepNext/>
      <w:keepLines/>
      <w:jc w:val="center"/>
    </w:pPr>
    <w:rPr>
      <w:rFonts w:ascii="Arial" w:hAnsi="Arial"/>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EF5FD9"/>
    <w:pPr>
      <w:spacing w:before="240" w:line="259" w:lineRule="auto"/>
      <w:outlineLvl w:val="9"/>
    </w:pPr>
    <w:rPr>
      <w:b w:val="0"/>
      <w:bCs w:val="0"/>
      <w:color w:val="auto"/>
      <w:sz w:val="28"/>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C10382"/>
    <w:pPr>
      <w:spacing w:after="100"/>
    </w:pPr>
  </w:style>
  <w:style w:type="paragraph" w:styleId="TOC2">
    <w:name w:val="toc 2"/>
    <w:basedOn w:val="Normal"/>
    <w:next w:val="Normal"/>
    <w:autoRedefine/>
    <w:uiPriority w:val="39"/>
    <w:unhideWhenUsed/>
    <w:rsid w:val="00C1038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bookdown.org/yihui/rmarkdown/" TargetMode="External" /><Relationship Type="http://schemas.openxmlformats.org/officeDocument/2006/relationships/hyperlink" Id="rId22" Target="https://learninghub.ons.gov.uk/course/view.php?id=538" TargetMode="External" /><Relationship Type="http://schemas.openxmlformats.org/officeDocument/2006/relationships/hyperlink" Id="rId23" Target="mailto:marinos.ioannides@ons.gov.uk" TargetMode="External" /></Relationships>
</file>

<file path=word/_rels/footnotes.xml.rels><?xml version="1.0" encoding="UTF-8"?>
<Relationships xmlns="http://schemas.openxmlformats.org/package/2006/relationships"><Relationship Type="http://schemas.openxmlformats.org/officeDocument/2006/relationships/hyperlink" Id="rId21" Target="https://bookdown.org/yihui/rmarkdown/" TargetMode="External" /><Relationship Type="http://schemas.openxmlformats.org/officeDocument/2006/relationships/hyperlink" Id="rId22" Target="https://learninghub.ons.gov.uk/course/view.php?id=538" TargetMode="External" /><Relationship Type="http://schemas.openxmlformats.org/officeDocument/2006/relationships/hyperlink" Id="rId23" Target="mailto:marinos.ioannides@ons.gov.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Template Title</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Review Template</dc:title>
  <dc:creator>Marinos Ioannides</dc:creator>
  <cp:keywords/>
  <dcterms:created xsi:type="dcterms:W3CDTF">2021-10-08T16:51:25Z</dcterms:created>
  <dcterms:modified xsi:type="dcterms:W3CDTF">2021-10-08T16:51:25Z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05/10/2021</vt:lpwstr>
  </property>
  <property fmtid="{D5CDD505-2E9C-101B-9397-08002B2CF9AE}" pid="3" name="output">
    <vt:lpwstr/>
  </property>
</Properties>
</file>