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28"/>
          <w:szCs w:val="28"/>
        </w:rPr>
        <w:t xml:space="preserve">MERGERS AND ACQUISITIONS, SHAREHOLDER VALUE, AND SECTORAL ASYMMETRY:</w:t>
      </w:r>
    </w:p>
    <w:p>
      <w:pPr>
        <w:spacing w:after="120" w:before="120"/>
        <w:jc w:val="center"/>
      </w:pPr>
      <w:r>
        <w:rPr>
          <w:rFonts w:ascii="Times New Roman" w:cs="Times New Roman" w:eastAsia="Times New Roman" w:hAnsi="Times New Roman"/>
          <w:b/>
          <w:bCs/>
          <w:sz w:val="28"/>
          <w:szCs w:val="28"/>
        </w:rPr>
        <w:t xml:space="preserve">EVENT STUDY EVIDENCE FROM BANKING AND PHARMACEUTICAL SECTORS IN INDIA</w:t>
      </w:r>
    </w:p>
    <w:p>
      <w:pPr>
        <w:spacing w:after="80"/>
      </w:pPr>
      <w:r>
        <w:t xml:space="preserve"/>
      </w:r>
    </w:p>
    <w:p>
      <w:pPr>
        <w:spacing w:after="120" w:before="120"/>
        <w:jc w:val="center"/>
      </w:pPr>
      <w:r>
        <w:rPr>
          <w:rFonts w:ascii="Times New Roman" w:cs="Times New Roman" w:eastAsia="Times New Roman" w:hAnsi="Times New Roman"/>
          <w:b/>
          <w:bCs/>
          <w:sz w:val="24"/>
          <w:szCs w:val="24"/>
        </w:rPr>
        <w:t xml:space="preserve">Abstract</w:t>
      </w:r>
    </w:p>
    <w:p>
      <w:pPr>
        <w:spacing w:after="80"/>
      </w:pPr>
      <w:r>
        <w:t xml:space="preserve"/>
      </w:r>
    </w:p>
    <w:p>
      <w:pPr>
        <w:spacing w:after="160" w:before="0" w:line="360" w:lineRule="auto"/>
        <w:jc w:val="both"/>
      </w:pPr>
      <w:r>
        <w:rPr>
          <w:rFonts w:ascii="Times New Roman" w:cs="Times New Roman" w:eastAsia="Times New Roman" w:hAnsi="Times New Roman"/>
          <w:sz w:val="24"/>
          <w:szCs w:val="24"/>
        </w:rPr>
        <w:t xml:space="preserve">This paper tests whether merger and acquisition announcements generate abnormal returns for acquirer shareholders in two sectors of the Indian capital market: banking and pharmaceuticals. Using a constant mean return (market-adjusted) event study model, Cumulative Abnormal Returns (CARs) are estimated for 28 acquirer-side events, 14 in each sector, spanning 2006 to 2025. One-sample t-tests assess whether mean CARs differ from zero within each sector; a Welch independent samples t-test compares the two sectors. Banking acquirers produce a mean CAR of -4.39 percent (t = -2.038, p = 0.062), which approaches but does not cross the 5 percent significance threshold. Pharmaceutical acquirers produce a mean CAR of +0.14 percent (t = 0.082, p = 0.936), statistically indistinguishable from zero. The inter-sector difference is not significant at the 5 percent level (t = -1.633, p = 0.115), though the directional divergence is economically interpretable. Government-directed consolidation, non-performing asset inheritance, and constrained acquirer pricing appear to drive the negative banking drift. The pharmaceutical mean obscures substantial deal-level heterogeneity, with individual CARs ranging from -14.78 percent to +8.83 percent depending on transaction type and target condition.</w:t>
      </w:r>
    </w:p>
    <w:p>
      <w:pPr>
        <w:spacing w:after="80"/>
      </w:pPr>
      <w:r>
        <w:t xml:space="preserve"/>
      </w:r>
    </w:p>
    <w:p>
      <w:pPr>
        <w:spacing w:after="16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Event Study, Cumulative Abnormal Returns, Mergers and Acquisitions, Banking Sector, Pharmaceutical Sector, Efficient Market Hypothesis, India</w:t>
      </w:r>
    </w:p>
    <w:p>
      <w:pPr>
        <w:spacing w:after="160" w:before="0" w:line="360" w:lineRule="auto"/>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G14, G34, G21, L65</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1. Introduction</w:t>
      </w:r>
    </w:p>
    <w:p>
      <w:pPr>
        <w:spacing w:after="160" w:before="0" w:line="360" w:lineRule="auto"/>
        <w:jc w:val="both"/>
      </w:pPr>
      <w:r>
        <w:rPr>
          <w:rFonts w:ascii="Times New Roman" w:cs="Times New Roman" w:eastAsia="Times New Roman" w:hAnsi="Times New Roman"/>
          <w:sz w:val="24"/>
          <w:szCs w:val="24"/>
        </w:rPr>
        <w:t xml:space="preserve">Merger announcements provide a relatively clean test of how markets process new information about firm value. When an acquirer bids for a target, the market must assess whether the deal price reflects the true value of the assets being acquired, whether integration will deliver projected synergies, and whether the acquirer is paying more than the target is worth. The announcement date return, stripped of general market movement, is the market's immediate answer to these questions. It is imperfect, but it is one of the few pieces of evidence available before the deal closes.</w:t>
      </w:r>
    </w:p>
    <w:p>
      <w:pPr>
        <w:spacing w:after="160" w:before="0" w:line="360" w:lineRule="auto"/>
        <w:jc w:val="both"/>
      </w:pPr>
      <w:r>
        <w:rPr>
          <w:rFonts w:ascii="Times New Roman" w:cs="Times New Roman" w:eastAsia="Times New Roman" w:hAnsi="Times New Roman"/>
          <w:sz w:val="24"/>
          <w:szCs w:val="24"/>
        </w:rPr>
        <w:t xml:space="preserve">India offers an instructive setting for this type of analysis, not because it is representative of all emerging markets, but because two of its major sectors have undergone M&amp;A activity under sharply different conditions. In banking, the dominant story from roughly 2017 to 2022 was government-orchestrated consolidation of public sector institutions. The Reserve Bank of India and the Ministry of Finance directed a series of mergers among state-owned banks, motivated by capital adequacy requirements and the intent to reduce the number of undercapitalized lenders. The acquirer firms in those transactions had limited or no discretion over whether to proceed. In pharmaceuticals, the same period saw Indian companies pursuing international acquisitions driven by commercial priorities: U.S. generic drug portfolios, specialty assets with existing FDA approval, and branded domestic businesses. These are voluntary deals priced by negotiation, not administrative directive.</w:t>
      </w:r>
    </w:p>
    <w:p>
      <w:pPr>
        <w:spacing w:after="160" w:before="0" w:line="360" w:lineRule="auto"/>
        <w:jc w:val="both"/>
      </w:pPr>
      <w:r>
        <w:rPr>
          <w:rFonts w:ascii="Times New Roman" w:cs="Times New Roman" w:eastAsia="Times New Roman" w:hAnsi="Times New Roman"/>
          <w:sz w:val="24"/>
          <w:szCs w:val="24"/>
        </w:rPr>
        <w:t xml:space="preserve">That structural difference should, if markets are pricing information correctly, produce divergent announcement returns. This paper tests that expectation using a sample of 28 events, 14 per sector, spanning 2006 to 2025. The dataset captures the PSU consolidation wave in full and covers the main acquisition activity of listed Indian pharmaceutical companies over the same period.</w:t>
      </w:r>
    </w:p>
    <w:p>
      <w:pPr>
        <w:spacing w:after="160" w:before="0" w:line="360" w:lineRule="auto"/>
        <w:jc w:val="both"/>
      </w:pPr>
      <w:r>
        <w:rPr>
          <w:rFonts w:ascii="Times New Roman" w:cs="Times New Roman" w:eastAsia="Times New Roman" w:hAnsi="Times New Roman"/>
          <w:sz w:val="24"/>
          <w:szCs w:val="24"/>
        </w:rPr>
        <w:t xml:space="preserve">Three features distinguish this analysis from prior Indian event studies. The sample spans roughly two decades, which means it encompasses multiple policy regimes and deal cycles rather than a single wave. The market-adjusted abnormal return model is applied uniformly across both sectors, enabling direct comparison without adjusting for sector-specific beta differences. Finally, the inter-sector comparison is formalized with a Welch t-test rather than informal comparison of averages, which matters when the variance structure across groups is unknown. Section 2 reviews the relevant empirical evidence. Section 3 describes data sources and method. Section 4 reports results. Section 5 interprets the findings. Section 6 addresses robustness and limitations.</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2. Literature Review</w:t>
      </w:r>
    </w:p>
    <w:p>
      <w:pPr>
        <w:pStyle w:val="Heading2"/>
        <w:spacing w:after="140" w:before="280"/>
      </w:pPr>
      <w:r>
        <w:rPr>
          <w:rFonts w:ascii="Times New Roman" w:cs="Times New Roman" w:eastAsia="Times New Roman" w:hAnsi="Times New Roman"/>
          <w:b/>
          <w:bCs/>
          <w:sz w:val="26"/>
          <w:szCs w:val="26"/>
        </w:rPr>
        <w:t xml:space="preserve">2.1 Acquirer Returns: What the Evidence Consistently Shows</w:t>
      </w:r>
    </w:p>
    <w:p>
      <w:pPr>
        <w:spacing w:after="160" w:before="0" w:line="360" w:lineRule="auto"/>
        <w:jc w:val="both"/>
      </w:pPr>
      <w:r>
        <w:rPr>
          <w:rFonts w:ascii="Times New Roman" w:cs="Times New Roman" w:eastAsia="Times New Roman" w:hAnsi="Times New Roman"/>
          <w:sz w:val="24"/>
          <w:szCs w:val="24"/>
        </w:rPr>
        <w:t xml:space="preserve">The finding that acquirer shareholders rarely gain from M&amp;A announcements has been replicated across enough markets and time periods that it appears reasonably robust. Jensen and Ruback (1983) established the basic asymmetry early: target shareholders capture the majority of the acquisition premium, while acquirers earn returns that are near zero or modestly negative. Andrade, Mitchell, and Stafford (2001) confirmed this pattern for U.S. transactions in the 1990s, finding that acquirer CARs averaged slightly negative across a large sample. Campa and Hernando (2004) found similar results for European transactions. The intuition is not obscure: if acquirers overpay on average, or if markets are skeptical about integration, the announcement date return reflects that assessment.</w:t>
      </w:r>
    </w:p>
    <w:p>
      <w:pPr>
        <w:spacing w:after="160" w:before="0" w:line="360" w:lineRule="auto"/>
        <w:jc w:val="both"/>
      </w:pPr>
      <w:r>
        <w:rPr>
          <w:rFonts w:ascii="Times New Roman" w:cs="Times New Roman" w:eastAsia="Times New Roman" w:hAnsi="Times New Roman"/>
          <w:sz w:val="24"/>
          <w:szCs w:val="24"/>
        </w:rPr>
        <w:t xml:space="preserve">Payment method modifies this pattern. Huang and Walkling (1987) showed that cash offers generate larger target abnormal returns than stock offers, attributed partly to tax treatment and partly to the signaling effect of committing cash rather than issuing equity. For acquirers, cash-financed deals are generally less penalized than stock-financed ones, since a stock offer implies the acquirer believes its own shares are fully or overvalued. Wansley, Lane, and Yang (1983) documented higher acquirer returns in cash transactions, though the difference was often short of statistical significance. These findings are relevant here because the Indian pharmaceutical acquisitions in this sample involved a mix of cash and mixed-consideration deals, and the Indian PSU bank mergers involved no premium exchange at all.</w:t>
      </w:r>
    </w:p>
    <w:p>
      <w:pPr>
        <w:pStyle w:val="Heading2"/>
        <w:spacing w:after="140" w:before="280"/>
      </w:pPr>
      <w:r>
        <w:rPr>
          <w:rFonts w:ascii="Times New Roman" w:cs="Times New Roman" w:eastAsia="Times New Roman" w:hAnsi="Times New Roman"/>
          <w:b/>
          <w:bCs/>
          <w:sz w:val="26"/>
          <w:szCs w:val="26"/>
        </w:rPr>
        <w:t xml:space="preserve">2.2 Banking Sector Evidence</w:t>
      </w:r>
    </w:p>
    <w:p>
      <w:pPr>
        <w:spacing w:after="160" w:before="0" w:line="360" w:lineRule="auto"/>
        <w:jc w:val="both"/>
      </w:pPr>
      <w:r>
        <w:rPr>
          <w:rFonts w:ascii="Times New Roman" w:cs="Times New Roman" w:eastAsia="Times New Roman" w:hAnsi="Times New Roman"/>
          <w:sz w:val="24"/>
          <w:szCs w:val="24"/>
        </w:rPr>
        <w:t xml:space="preserve">Banking M&amp;A carries additional complexity because of the regulatory and political dimensions that private sector transactions do not share. Aintablian and Roberts (2005) found mixed announcement returns for Canadian bank mergers, with some evidence that efficiency-motivated deals were rewarded. Athanasoglou, Asimakopoulos, and Georgiou (2005) found positive abnormal returns for Greek bank acquirers in their sample. The Indian context appears meaningfully different. Public sector bank mergers in India are not comparable to voluntary commercial combinations between equally motivated counterparties. When the government directs a merger, the acquirer inherits the target's balance sheet without the pricing discipline that an arm's-length negotiation would impose. The market prices this accordingly. Anand and Singh (2005) examined Indian private sector bank mergers and found modest positive returns in some cases, which is consistent with the view that the governance structure of the deal matters more than the sector label.</w:t>
      </w:r>
    </w:p>
    <w:p>
      <w:pPr>
        <w:pStyle w:val="Heading2"/>
        <w:spacing w:after="140" w:before="280"/>
      </w:pPr>
      <w:r>
        <w:rPr>
          <w:rFonts w:ascii="Times New Roman" w:cs="Times New Roman" w:eastAsia="Times New Roman" w:hAnsi="Times New Roman"/>
          <w:b/>
          <w:bCs/>
          <w:sz w:val="26"/>
          <w:szCs w:val="26"/>
        </w:rPr>
        <w:t xml:space="preserve">2.3 Pharmaceutical Sector Evidence</w:t>
      </w:r>
    </w:p>
    <w:p>
      <w:pPr>
        <w:spacing w:after="160" w:before="0" w:line="360" w:lineRule="auto"/>
        <w:jc w:val="both"/>
      </w:pPr>
      <w:r>
        <w:rPr>
          <w:rFonts w:ascii="Times New Roman" w:cs="Times New Roman" w:eastAsia="Times New Roman" w:hAnsi="Times New Roman"/>
          <w:sz w:val="24"/>
          <w:szCs w:val="24"/>
        </w:rPr>
        <w:t xml:space="preserve">The event study literature on pharmaceutical M&amp;A is thinner on Indian-specific studies but broader internationally. Global evidence suggests that acquirers in specialty pharma and generic drug businesses can earn positive announcement returns when the target offers pipeline assets or regulatory approvals that the market treats as durable and difficult to replicate organically. Swaminathan, Murshed, and Hulland (2008) found that strategic capability alignment between acquirer and target was a significant moderator of announcement returns, which appears directly applicable to transactions where Indian acquirers purchased U.S. FDA-approved generic portfolios. The market appears to differentiate between deals that extend an existing capability and deals that require the acquirer to build a new one from scratch.</w:t>
      </w:r>
    </w:p>
    <w:p>
      <w:pPr>
        <w:pStyle w:val="Heading2"/>
        <w:spacing w:after="140" w:before="280"/>
      </w:pPr>
      <w:r>
        <w:rPr>
          <w:rFonts w:ascii="Times New Roman" w:cs="Times New Roman" w:eastAsia="Times New Roman" w:hAnsi="Times New Roman"/>
          <w:b/>
          <w:bCs/>
          <w:sz w:val="26"/>
          <w:szCs w:val="26"/>
        </w:rPr>
        <w:t xml:space="preserve">2.4 Methodological Framework</w:t>
      </w:r>
    </w:p>
    <w:p>
      <w:pPr>
        <w:spacing w:after="160" w:before="0" w:line="360" w:lineRule="auto"/>
        <w:jc w:val="both"/>
      </w:pPr>
      <w:r>
        <w:rPr>
          <w:rFonts w:ascii="Times New Roman" w:cs="Times New Roman" w:eastAsia="Times New Roman" w:hAnsi="Times New Roman"/>
          <w:sz w:val="24"/>
          <w:szCs w:val="24"/>
        </w:rPr>
        <w:t xml:space="preserve">MacKinlay (1997) provides the standard treatment of event study methodology. The core logic separates actual returns from a benchmark of normal returns, then aggregates the residuals over a defined window around the event date. The market-adjusted (constant mean return) variant used in this study assumes that the normal return for a stock on any given day equals the contemporaneous market return. This avoids the need to estimate a regression-based beta over a long pre-event estimation window, which is an advantage for Indian public sector bank stocks where recapitalization injections and government interventions during estimation periods can distort beta estimates substantially. Peterson (1989) reviews practical implementation issues in event studies, including the choice of event window length and the handling of missing data, both of which arise in this sample. Rani, Yadav, and Jain (2013) applied this framework to a broader Indian M&amp;A sample and found that target CARs were significantly positive while acquirer CARs were not, replicating the global asymmetry in an Indian context. Shah and Arora (2014) extended this to an Asia-Pacific comparison with qualitatively similar findings.</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3. Data and Methodology</w:t>
      </w:r>
    </w:p>
    <w:p>
      <w:pPr>
        <w:pStyle w:val="Heading2"/>
        <w:spacing w:after="140" w:before="280"/>
      </w:pPr>
      <w:r>
        <w:rPr>
          <w:rFonts w:ascii="Times New Roman" w:cs="Times New Roman" w:eastAsia="Times New Roman" w:hAnsi="Times New Roman"/>
          <w:b/>
          <w:bCs/>
          <w:sz w:val="26"/>
          <w:szCs w:val="26"/>
        </w:rPr>
        <w:t xml:space="preserve">3.1 Sample Construction</w:t>
      </w:r>
    </w:p>
    <w:p>
      <w:pPr>
        <w:spacing w:after="160" w:before="0" w:line="360" w:lineRule="auto"/>
        <w:jc w:val="both"/>
      </w:pPr>
      <w:r>
        <w:rPr>
          <w:rFonts w:ascii="Times New Roman" w:cs="Times New Roman" w:eastAsia="Times New Roman" w:hAnsi="Times New Roman"/>
          <w:sz w:val="24"/>
          <w:szCs w:val="24"/>
        </w:rPr>
        <w:t xml:space="preserve">Daily closing prices for each acquirer firm and the corresponding broad market index (NSE Nifty 50 or BSE Sensex, depending on exchange listing) were collected for an event window of approximately 10 trading days centered on the merger announcement date. The full sample contains 28 events: 14 in banking and 14 in pharmaceuticals. Banking events span 2006 to 2022, covering private sector combinations (Kotak-ING Vysya, HDFC-Centurion, ICICI-Bank of Rajasthan) and the PSU consolidation wave (Bank of Baroda, Punjab National Bank, Canara Bank, Union Bank, Indian Bank, SBI). Pharmaceutical events span 2010 to 2025 and include transactions by Sun Pharmaceutical, Lupin, Cipla, Dr. Reddy's Laboratories, Aurobindo, Torrent, and Zydus Lifesciences.</w:t>
      </w:r>
    </w:p>
    <w:p>
      <w:pPr>
        <w:spacing w:after="160" w:before="0" w:line="360" w:lineRule="auto"/>
        <w:jc w:val="both"/>
      </w:pPr>
      <w:r>
        <w:rPr>
          <w:rFonts w:ascii="Times New Roman" w:cs="Times New Roman" w:eastAsia="Times New Roman" w:hAnsi="Times New Roman"/>
          <w:sz w:val="24"/>
          <w:szCs w:val="24"/>
        </w:rPr>
        <w:t xml:space="preserve">Events were excluded if either the acquirer stock or the index had missing price data for more than two consecutive days within the window. For announcements made on weekends or public holidays, the next available trading day was used as the effective event date. Price data were sourced from NSE historical downloads, BSE Bhavcopy archives, and Yahoo Finance for cross-verification.</w:t>
      </w:r>
    </w:p>
    <w:p>
      <w:pPr>
        <w:pStyle w:val="Heading2"/>
        <w:spacing w:after="140" w:before="280"/>
      </w:pPr>
      <w:r>
        <w:rPr>
          <w:rFonts w:ascii="Times New Roman" w:cs="Times New Roman" w:eastAsia="Times New Roman" w:hAnsi="Times New Roman"/>
          <w:b/>
          <w:bCs/>
          <w:sz w:val="26"/>
          <w:szCs w:val="26"/>
        </w:rPr>
        <w:t xml:space="preserve">3.2 Abnormal Return Calculation</w:t>
      </w:r>
    </w:p>
    <w:p>
      <w:pPr>
        <w:spacing w:after="160" w:before="0" w:line="360" w:lineRule="auto"/>
        <w:jc w:val="both"/>
      </w:pPr>
      <w:r>
        <w:rPr>
          <w:rFonts w:ascii="Times New Roman" w:cs="Times New Roman" w:eastAsia="Times New Roman" w:hAnsi="Times New Roman"/>
          <w:sz w:val="24"/>
          <w:szCs w:val="24"/>
        </w:rPr>
        <w:t xml:space="preserve">Following MacKinlay (1997) and Peterson (1989), the event window is defined as approximately 10 trading days before and after the announcement date. The abnormal return on each day t for firm i is:</w:t>
      </w:r>
    </w:p>
    <w:p>
      <w:pPr>
        <w:spacing w:after="160" w:before="0" w:line="360" w:lineRule="auto"/>
        <w:jc w:val="both"/>
      </w:pPr>
      <w:r>
        <w:rPr>
          <w:rFonts w:ascii="Times New Roman" w:cs="Times New Roman" w:eastAsia="Times New Roman" w:hAnsi="Times New Roman"/>
          <w:i/>
          <w:iCs/>
          <w:sz w:val="24"/>
          <w:szCs w:val="24"/>
        </w:rPr>
        <w:t xml:space="preserve">AR(i,t) = R(i,t) - X(i)</w:t>
      </w:r>
    </w:p>
    <w:p>
      <w:pPr>
        <w:spacing w:after="160" w:before="0" w:line="360" w:lineRule="auto"/>
        <w:jc w:val="both"/>
      </w:pPr>
      <w:r>
        <w:rPr>
          <w:rFonts w:ascii="Times New Roman" w:cs="Times New Roman" w:eastAsia="Times New Roman" w:hAnsi="Times New Roman"/>
          <w:sz w:val="24"/>
          <w:szCs w:val="24"/>
        </w:rPr>
        <w:t xml:space="preserve">where R(i,t) is the actual daily return on stock i on day t, and X(i) is the average daily return of the market index over the same window, treated as constant. The Cumulative Abnormal Return for firm i is the sum of daily abnormal returns over all days in the event window:</w:t>
      </w:r>
    </w:p>
    <w:p>
      <w:pPr>
        <w:spacing w:after="160" w:before="0" w:line="360" w:lineRule="auto"/>
        <w:jc w:val="both"/>
      </w:pPr>
      <w:r>
        <w:rPr>
          <w:rFonts w:ascii="Times New Roman" w:cs="Times New Roman" w:eastAsia="Times New Roman" w:hAnsi="Times New Roman"/>
          <w:i/>
          <w:iCs/>
          <w:sz w:val="24"/>
          <w:szCs w:val="24"/>
        </w:rPr>
        <w:t xml:space="preserve">CAR(i) = sum of AR(i,t) for t in event window</w:t>
      </w:r>
    </w:p>
    <w:p>
      <w:pPr>
        <w:spacing w:after="160" w:before="0" w:line="360" w:lineRule="auto"/>
        <w:jc w:val="both"/>
      </w:pPr>
      <w:r>
        <w:rPr>
          <w:rFonts w:ascii="Times New Roman" w:cs="Times New Roman" w:eastAsia="Times New Roman" w:hAnsi="Times New Roman"/>
          <w:sz w:val="24"/>
          <w:szCs w:val="24"/>
        </w:rPr>
        <w:t xml:space="preserve">The market-adjusted specification was chosen over the mean-adjusted alternative because the latter can produce biased estimates when a firm's historical average return is itself distorted by prior corporate events. This is a material concern for Indian public sector banks that have been subject to recapitalization programs and government interventions that shift return distributions in ways that contaminate the estimation period.</w:t>
      </w:r>
    </w:p>
    <w:p>
      <w:pPr>
        <w:pStyle w:val="Heading2"/>
        <w:spacing w:after="140" w:before="280"/>
      </w:pPr>
      <w:r>
        <w:rPr>
          <w:rFonts w:ascii="Times New Roman" w:cs="Times New Roman" w:eastAsia="Times New Roman" w:hAnsi="Times New Roman"/>
          <w:b/>
          <w:bCs/>
          <w:sz w:val="26"/>
          <w:szCs w:val="26"/>
        </w:rPr>
        <w:t xml:space="preserve">3.3 Statistical Testing</w:t>
      </w:r>
    </w:p>
    <w:p>
      <w:pPr>
        <w:spacing w:after="160" w:before="0" w:line="360" w:lineRule="auto"/>
        <w:jc w:val="both"/>
      </w:pPr>
      <w:r>
        <w:rPr>
          <w:rFonts w:ascii="Times New Roman" w:cs="Times New Roman" w:eastAsia="Times New Roman" w:hAnsi="Times New Roman"/>
          <w:sz w:val="24"/>
          <w:szCs w:val="24"/>
        </w:rPr>
        <w:t xml:space="preserve">For each sector separately, a one-sample t-test assesses whether the mean CAR across 14 events differs from zero:</w:t>
      </w:r>
    </w:p>
    <w:p>
      <w:pPr>
        <w:spacing w:after="160" w:before="0" w:line="360" w:lineRule="auto"/>
        <w:jc w:val="both"/>
      </w:pPr>
      <w:r>
        <w:rPr>
          <w:rFonts w:ascii="Times New Roman" w:cs="Times New Roman" w:eastAsia="Times New Roman" w:hAnsi="Times New Roman"/>
          <w:i/>
          <w:iCs/>
          <w:sz w:val="24"/>
          <w:szCs w:val="24"/>
        </w:rPr>
        <w:t xml:space="preserve">H0: Mean CAR = 0</w:t>
      </w:r>
    </w:p>
    <w:p>
      <w:pPr>
        <w:spacing w:after="160" w:before="0" w:line="360" w:lineRule="auto"/>
        <w:jc w:val="both"/>
      </w:pPr>
      <w:r>
        <w:rPr>
          <w:rFonts w:ascii="Times New Roman" w:cs="Times New Roman" w:eastAsia="Times New Roman" w:hAnsi="Times New Roman"/>
          <w:i/>
          <w:iCs/>
          <w:sz w:val="24"/>
          <w:szCs w:val="24"/>
        </w:rPr>
        <w:t xml:space="preserve">H1: Mean CAR is not equal to 0</w:t>
      </w:r>
    </w:p>
    <w:p>
      <w:pPr>
        <w:spacing w:after="160" w:before="0" w:line="360" w:lineRule="auto"/>
        <w:jc w:val="both"/>
      </w:pPr>
      <w:r>
        <w:rPr>
          <w:rFonts w:ascii="Times New Roman" w:cs="Times New Roman" w:eastAsia="Times New Roman" w:hAnsi="Times New Roman"/>
          <w:sz w:val="24"/>
          <w:szCs w:val="24"/>
        </w:rPr>
        <w:t xml:space="preserve">To compare sectors, a Welch independent samples t-test (which does not assume equal variances) is applied:</w:t>
      </w:r>
    </w:p>
    <w:p>
      <w:pPr>
        <w:spacing w:after="160" w:before="0" w:line="360" w:lineRule="auto"/>
        <w:jc w:val="both"/>
      </w:pPr>
      <w:r>
        <w:rPr>
          <w:rFonts w:ascii="Times New Roman" w:cs="Times New Roman" w:eastAsia="Times New Roman" w:hAnsi="Times New Roman"/>
          <w:i/>
          <w:iCs/>
          <w:sz w:val="24"/>
          <w:szCs w:val="24"/>
        </w:rPr>
        <w:t xml:space="preserve">H0: Mean CAR (Banking) = Mean CAR (Pharma)</w:t>
      </w:r>
    </w:p>
    <w:p>
      <w:pPr>
        <w:spacing w:after="160" w:before="0" w:line="360" w:lineRule="auto"/>
        <w:jc w:val="both"/>
      </w:pPr>
      <w:r>
        <w:rPr>
          <w:rFonts w:ascii="Times New Roman" w:cs="Times New Roman" w:eastAsia="Times New Roman" w:hAnsi="Times New Roman"/>
          <w:i/>
          <w:iCs/>
          <w:sz w:val="24"/>
          <w:szCs w:val="24"/>
        </w:rPr>
        <w:t xml:space="preserve">H1: Mean CAR (Banking) is not equal to Mean CAR (Pharma)</w:t>
      </w:r>
    </w:p>
    <w:p>
      <w:pPr>
        <w:spacing w:after="160" w:before="0" w:line="360" w:lineRule="auto"/>
        <w:jc w:val="both"/>
      </w:pPr>
      <w:r>
        <w:rPr>
          <w:rFonts w:ascii="Times New Roman" w:cs="Times New Roman" w:eastAsia="Times New Roman" w:hAnsi="Times New Roman"/>
          <w:sz w:val="24"/>
          <w:szCs w:val="24"/>
        </w:rPr>
        <w:t xml:space="preserve">Levene's test for equality of variances is run prior to the inter-sector comparison to verify whether a pooled or Welch t-statistic is more appropriate. All tests are two-tailed. Significance is reported at the 1%, 5%, and 10% levels.</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4. Results</w:t>
      </w:r>
    </w:p>
    <w:p>
      <w:pPr>
        <w:pStyle w:val="Heading2"/>
        <w:spacing w:after="140" w:before="280"/>
      </w:pPr>
      <w:r>
        <w:rPr>
          <w:rFonts w:ascii="Times New Roman" w:cs="Times New Roman" w:eastAsia="Times New Roman" w:hAnsi="Times New Roman"/>
          <w:b/>
          <w:bCs/>
          <w:sz w:val="26"/>
          <w:szCs w:val="26"/>
        </w:rPr>
        <w:t xml:space="preserve">4.1 Banking Sector CARs</w:t>
      </w:r>
    </w:p>
    <w:p>
      <w:pPr>
        <w:spacing w:after="160" w:before="0" w:line="360" w:lineRule="auto"/>
        <w:jc w:val="both"/>
      </w:pPr>
      <w:r>
        <w:rPr>
          <w:rFonts w:ascii="Times New Roman" w:cs="Times New Roman" w:eastAsia="Times New Roman" w:hAnsi="Times New Roman"/>
          <w:sz w:val="24"/>
          <w:szCs w:val="24"/>
        </w:rPr>
        <w:t xml:space="preserve">Table 1 reports CARs for all 14 banking merger events. The pattern is notably one-sided. Eleven of the fourteen events produce negative returns. The three exceptions are Kotak Mahindra Bank's acquisition of ING Vysya (+4.61%), the HDFC Bank parent merger with HDFC Ltd (+1.12%), and Federal Bank's absorption of Ganesh Bank of Kurundwad (+10.65%). The remaining eleven range from -0.76% to -24.05%. Bank of Baroda's three-way combination with Vijaya Bank and Dena Bank produces the most negative value in the sample.</w:t>
      </w:r>
    </w:p>
    <w:p>
      <w:pPr>
        <w:spacing w:after="80"/>
      </w:pPr>
      <w:r>
        <w:t xml:space="preserve"/>
      </w:r>
    </w:p>
    <w:p>
      <w:pPr>
        <w:spacing w:after="80" w:before="200"/>
        <w:jc w:val="center"/>
      </w:pPr>
      <w:r>
        <w:rPr>
          <w:rFonts w:ascii="Times New Roman" w:cs="Times New Roman" w:eastAsia="Times New Roman" w:hAnsi="Times New Roman"/>
          <w:b/>
          <w:bCs/>
          <w:sz w:val="22"/>
          <w:szCs w:val="22"/>
        </w:rPr>
        <w:t xml:space="preserve">Table 1: Cumulative Abnormal Returns, Banking Sector</w:t>
      </w:r>
    </w:p>
    <w:p>
      <w:pPr>
        <w:spacing w:after="80" w:before="200"/>
        <w:jc w:val="center"/>
      </w:pPr>
      <w:r>
        <w:rPr>
          <w:rFonts w:ascii="Times New Roman" w:cs="Times New Roman" w:eastAsia="Times New Roman" w:hAnsi="Times New Roman"/>
          <w:b/>
          <w:bCs/>
          <w:sz w:val="22"/>
          <w:szCs w:val="22"/>
        </w:rPr>
        <w:t xml:space="preserve">Constant Mean Return (Market-Adjusted) Model, Event Windows of 10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360"/>
      </w:tblGrid>
      <w:t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Acquirer</w:t>
            </w:r>
          </w:p>
        </w:tc>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Target / Event</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Announcement Date</w:t>
            </w:r>
          </w:p>
        </w:tc>
        <w:tc>
          <w:tcPr>
            <w:tcW w:type="dxa" w:w="13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CAR (%)</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IDFC First Bank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Capital First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January 2018</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-1.22</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IndusInd Bank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Bharat Financial Inclusion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January 2018</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-4.87</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Kotak Mahindra Bank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ING Vysya Bank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November 2014</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+4.61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SBI</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Associate Banks Merger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May 2016</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-8.06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Punjab National Bank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OBC + United Bank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August 2019</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-4.30</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Canara Bank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Syndicate Bank</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August 2019</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-12.61</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Union Bank of India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Andhra Bank + Corporation Bank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August 2019</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-8.04</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Indian Bank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Allahabad Bank</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August 2019</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 of Baroda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Vijaya Bank + Dena Bank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September 2018</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-24.05</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HDFC Bank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HDFC Ltd (Parent Merger)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April 2022</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+1.12</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ICICI Bank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 of Rajasthan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Mid-2010</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-5.56</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HDFC Bank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Centurion Bank of Punjab</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2008</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-4.03</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Indian Overseas Bank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Bharat Overseas Bank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2007</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-4.30</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Federal Bank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Ganesh Bank of Kurundwad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2006-07</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+10.65</w:t>
            </w:r>
          </w:p>
        </w:tc>
      </w:tr>
    </w:tbl>
    <w:p>
      <w:pPr>
        <w:spacing w:after="160" w:before="60"/>
        <w:jc w:val="both"/>
      </w:pPr>
      <w:r>
        <w:rPr>
          <w:rFonts w:ascii="Times New Roman" w:cs="Times New Roman" w:eastAsia="Times New Roman" w:hAnsi="Times New Roman"/>
          <w:i/>
          <w:iCs/>
          <w:sz w:val="20"/>
          <w:szCs w:val="20"/>
        </w:rPr>
        <w:t xml:space="preserve">Note: Negative CARs indicate acquirer stock underperformed the market index over the event window. The NSE Nifty 50 or BSE Sensex serves as benchmark, depending on exchange listing.</w:t>
      </w:r>
    </w:p>
    <w:p>
      <w:pPr>
        <w:spacing w:after="80"/>
      </w:pPr>
      <w:r>
        <w:t xml:space="preserve"/>
      </w:r>
    </w:p>
    <w:p>
      <w:pPr>
        <w:spacing w:after="160" w:before="0" w:line="360" w:lineRule="auto"/>
        <w:jc w:val="both"/>
      </w:pPr>
      <w:r>
        <w:rPr>
          <w:rFonts w:ascii="Times New Roman" w:cs="Times New Roman" w:eastAsia="Times New Roman" w:hAnsi="Times New Roman"/>
          <w:sz w:val="24"/>
          <w:szCs w:val="24"/>
        </w:rPr>
        <w:t xml:space="preserve">Table 2 summarizes the one-sample t-test for banking. Mean CAR is -4.39 percent with a standard deviation of 8.06 percent. The t-statistic is -2.038, corresponding to a p-value of 0.062. The null hypothesis of zero mean CAR is not rejected at the 5% threshold but is marginally rejected at 10%. This result is sensitive to the Bank of Baroda outlier at -24.05%, discussed further in Section 5.</w:t>
      </w:r>
    </w:p>
    <w:p>
      <w:pPr>
        <w:pStyle w:val="Heading2"/>
        <w:spacing w:after="140" w:before="280"/>
      </w:pPr>
      <w:r>
        <w:rPr>
          <w:rFonts w:ascii="Times New Roman" w:cs="Times New Roman" w:eastAsia="Times New Roman" w:hAnsi="Times New Roman"/>
          <w:b/>
          <w:bCs/>
          <w:sz w:val="26"/>
          <w:szCs w:val="26"/>
        </w:rPr>
        <w:t xml:space="preserve">4.2 Pharmaceutical Sector CARs</w:t>
      </w:r>
    </w:p>
    <w:p>
      <w:pPr>
        <w:spacing w:after="160" w:before="0" w:line="360" w:lineRule="auto"/>
        <w:jc w:val="both"/>
      </w:pPr>
      <w:r>
        <w:rPr>
          <w:rFonts w:ascii="Times New Roman" w:cs="Times New Roman" w:eastAsia="Times New Roman" w:hAnsi="Times New Roman"/>
          <w:sz w:val="24"/>
          <w:szCs w:val="24"/>
        </w:rPr>
        <w:t xml:space="preserve">Table 2 reports CARs for the 14 pharmaceutical events. Seven produce positive values and seven produce negative values, a distribution qualitatively unlike the banking results. The range is wide: Lupin's Gavis Pharmaceuticals acquisition generates the lowest CAR in the pharmaceutical sample at -14.78%, while Sun Pharma's Ranbaxy acquisition generates the highest at +8.83%. Sun Pharma appears in five of the fourteen observations, reflecting the firm's acquisition-driven growth model during this period.</w:t>
      </w:r>
    </w:p>
    <w:p>
      <w:pPr>
        <w:spacing w:after="80"/>
      </w:pPr>
      <w:r>
        <w:t xml:space="preserve"/>
      </w:r>
    </w:p>
    <w:p>
      <w:pPr>
        <w:spacing w:after="80" w:before="200"/>
        <w:jc w:val="center"/>
      </w:pPr>
      <w:r>
        <w:rPr>
          <w:rFonts w:ascii="Times New Roman" w:cs="Times New Roman" w:eastAsia="Times New Roman" w:hAnsi="Times New Roman"/>
          <w:b/>
          <w:bCs/>
          <w:sz w:val="22"/>
          <w:szCs w:val="22"/>
        </w:rPr>
        <w:t xml:space="preserve">Table 2: Cumulative Abnormal Returns, Pharmaceutical Sector</w:t>
      </w:r>
    </w:p>
    <w:p>
      <w:pPr>
        <w:spacing w:after="80" w:before="200"/>
        <w:jc w:val="center"/>
      </w:pPr>
      <w:r>
        <w:rPr>
          <w:rFonts w:ascii="Times New Roman" w:cs="Times New Roman" w:eastAsia="Times New Roman" w:hAnsi="Times New Roman"/>
          <w:b/>
          <w:bCs/>
          <w:sz w:val="22"/>
          <w:szCs w:val="22"/>
        </w:rPr>
        <w:t xml:space="preserve">Constant Mean Return (Market-Adjusted) Model, Event Windows of 10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360"/>
      </w:tblGrid>
      <w:t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Acquirer</w:t>
            </w:r>
          </w:p>
        </w:tc>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Target / Transaction</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Announcement Date</w:t>
            </w:r>
          </w:p>
        </w:tc>
        <w:tc>
          <w:tcPr>
            <w:tcW w:type="dxa" w:w="13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CAR (%)</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Sun Pharma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Ranbaxy Laboratories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April 2014</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+8.83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Cipla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InvaGen + Exelan Pharma</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September 2015</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+1.71</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Lupin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Gavis Pharmaceuticals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July 2015</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-14.78</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Aurobindo Pharma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Actavis Europe Business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April 2014</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+6.61</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Sun Pharma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Taro Pharmaceuticals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2010</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+8.23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Sun Pharma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DUSA Pharmaceuticals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November 2012</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-2.25</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Sun Pharma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Checkpoint Therapeutics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March 2025</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+5.58</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Dr. Reddys Laboratories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UCB India Brands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2015</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+5.07</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Torrent Pharma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Elder Pharma (Domestic)</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2013</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-2.93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Zydus Lifesciences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Sentynl Therapeutics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2017</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+0.83</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Torrent Pharma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Second Transaction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2014-15</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Sun Pharma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Ranbaxy Follow-on Period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2014</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-7.20</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Zydus Lifesciences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Brazilian Entity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2017</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-2.37</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Dr. Reddys Laboratories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Secondary Transaction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2015-16</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-4.01</w:t>
            </w:r>
          </w:p>
        </w:tc>
      </w:tr>
    </w:tbl>
    <w:p>
      <w:pPr>
        <w:spacing w:after="160" w:before="60"/>
        <w:jc w:val="both"/>
      </w:pPr>
      <w:r>
        <w:rPr>
          <w:rFonts w:ascii="Times New Roman" w:cs="Times New Roman" w:eastAsia="Times New Roman" w:hAnsi="Times New Roman"/>
          <w:i/>
          <w:iCs/>
          <w:sz w:val="20"/>
          <w:szCs w:val="20"/>
        </w:rPr>
        <w:t xml:space="preserve">Note: CAR values reflect acquirer stock performance relative to market index returns over the event window. Pharmaceutical merger dates span 2010 to 2025.</w:t>
      </w:r>
    </w:p>
    <w:p>
      <w:pPr>
        <w:spacing w:after="80"/>
      </w:pPr>
      <w:r>
        <w:t xml:space="preserve"/>
      </w:r>
    </w:p>
    <w:p>
      <w:pPr>
        <w:spacing w:after="160" w:before="0" w:line="360" w:lineRule="auto"/>
        <w:jc w:val="both"/>
      </w:pPr>
      <w:r>
        <w:rPr>
          <w:rFonts w:ascii="Times New Roman" w:cs="Times New Roman" w:eastAsia="Times New Roman" w:hAnsi="Times New Roman"/>
          <w:sz w:val="24"/>
          <w:szCs w:val="24"/>
        </w:rPr>
        <w:t xml:space="preserve">The one-sample t-test for pharmaceuticals returns a mean CAR of +0.14 percent with a standard deviation of 6.55 percent. The t-statistic is 0.082 and the p-value is 0.936. There is no basis to reject the null hypothesis. The pharma sector, in aggregate, generates acquirer returns that cannot be distinguished from zero. This average, however, compresses substantial deal-level variation: some transactions destroyed significant value (Lupin, Sun Pharma in 2014), while others created it (Sun Pharma-Taro, Dr. Reddy's, Aurobindo). That dispersion is the more relevant empirical finding.</w:t>
      </w:r>
    </w:p>
    <w:p>
      <w:pPr>
        <w:pStyle w:val="Heading2"/>
        <w:spacing w:after="140" w:before="280"/>
      </w:pPr>
      <w:r>
        <w:rPr>
          <w:rFonts w:ascii="Times New Roman" w:cs="Times New Roman" w:eastAsia="Times New Roman" w:hAnsi="Times New Roman"/>
          <w:b/>
          <w:bCs/>
          <w:sz w:val="26"/>
          <w:szCs w:val="26"/>
        </w:rPr>
        <w:t xml:space="preserve">4.3 One-Sample T-Test Summary</w:t>
      </w:r>
    </w:p>
    <w:p>
      <w:pPr>
        <w:spacing w:after="160" w:before="0" w:line="360" w:lineRule="auto"/>
        <w:jc w:val="both"/>
      </w:pPr>
      <w:r>
        <w:rPr>
          <w:rFonts w:ascii="Times New Roman" w:cs="Times New Roman" w:eastAsia="Times New Roman" w:hAnsi="Times New Roman"/>
          <w:sz w:val="24"/>
          <w:szCs w:val="24"/>
        </w:rPr>
        <w:t xml:space="preserve">Table 3 places both sector results side by side.</w:t>
      </w:r>
    </w:p>
    <w:p>
      <w:pPr>
        <w:spacing w:after="80"/>
      </w:pPr>
      <w:r>
        <w:t xml:space="preserve"/>
      </w:r>
    </w:p>
    <w:p>
      <w:pPr>
        <w:spacing w:after="80" w:before="200"/>
        <w:jc w:val="center"/>
      </w:pPr>
      <w:r>
        <w:rPr>
          <w:rFonts w:ascii="Times New Roman" w:cs="Times New Roman" w:eastAsia="Times New Roman" w:hAnsi="Times New Roman"/>
          <w:b/>
          <w:bCs/>
          <w:sz w:val="22"/>
          <w:szCs w:val="22"/>
        </w:rPr>
        <w:t xml:space="preserve">Table 3: One-Sample T-Test Results, Banking and Pharma Sectors</w:t>
      </w:r>
    </w:p>
    <w:p>
      <w:pPr>
        <w:spacing w:after="80" w:before="200"/>
        <w:jc w:val="center"/>
      </w:pPr>
      <w:r>
        <w:rPr>
          <w:rFonts w:ascii="Times New Roman" w:cs="Times New Roman" w:eastAsia="Times New Roman" w:hAnsi="Times New Roman"/>
          <w:b/>
          <w:bCs/>
          <w:sz w:val="22"/>
          <w:szCs w:val="22"/>
        </w:rPr>
        <w:t xml:space="preserve">H0: Mean CAR = 0; Two-Tailed Test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400"/>
        <w:gridCol w:w="1400"/>
        <w:gridCol w:w="1600"/>
        <w:gridCol w:w="1200"/>
        <w:gridCol w:w="1960"/>
      </w:tblGrid>
      <w:t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Sector</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Mean CAR</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Std Dev</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t-Statistic</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p-Value</w:t>
            </w:r>
          </w:p>
        </w:tc>
        <w:tc>
          <w:tcPr>
            <w:tcW w:type="dxa" w:w="1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Significant?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-4.39%</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8.06%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-2.038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0.0624</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 (10% only)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Pharma</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6.55%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0.082</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0.9363</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w:t>
            </w:r>
          </w:p>
        </w:tc>
      </w:tr>
    </w:tbl>
    <w:p>
      <w:pPr>
        <w:spacing w:after="80"/>
      </w:pPr>
      <w:r>
        <w:t xml:space="preserve"/>
      </w:r>
    </w:p>
    <w:p>
      <w:pPr>
        <w:spacing w:after="160" w:before="0" w:line="360" w:lineRule="auto"/>
        <w:jc w:val="both"/>
      </w:pPr>
      <w:r>
        <w:rPr>
          <w:rFonts w:ascii="Times New Roman" w:cs="Times New Roman" w:eastAsia="Times New Roman" w:hAnsi="Times New Roman"/>
          <w:sz w:val="24"/>
          <w:szCs w:val="24"/>
        </w:rPr>
        <w:t xml:space="preserve">Banking approaches but does not cross the 5% threshold. Pharmaceuticals shows no significant deviation from zero. Both outcomes align with the broader acquirer returns literature, which finds that acquirers earn zero or modestly negative abnormal returns around deal announcements.</w:t>
      </w:r>
    </w:p>
    <w:p>
      <w:pPr>
        <w:pStyle w:val="Heading2"/>
        <w:spacing w:after="140" w:before="280"/>
      </w:pPr>
      <w:r>
        <w:rPr>
          <w:rFonts w:ascii="Times New Roman" w:cs="Times New Roman" w:eastAsia="Times New Roman" w:hAnsi="Times New Roman"/>
          <w:b/>
          <w:bCs/>
          <w:sz w:val="26"/>
          <w:szCs w:val="26"/>
        </w:rPr>
        <w:t xml:space="preserve">4.4 Inter-Sector Comparison</w:t>
      </w:r>
    </w:p>
    <w:p>
      <w:pPr>
        <w:spacing w:after="160" w:before="0" w:line="360" w:lineRule="auto"/>
        <w:jc w:val="both"/>
      </w:pPr>
      <w:r>
        <w:rPr>
          <w:rFonts w:ascii="Times New Roman" w:cs="Times New Roman" w:eastAsia="Times New Roman" w:hAnsi="Times New Roman"/>
          <w:sz w:val="24"/>
          <w:szCs w:val="24"/>
        </w:rPr>
        <w:t xml:space="preserve">Table 4 presents the Welch t-test comparing the two sectors. Levene's test for equal variances returns an F-statistic of 0.005 (p = 0.945), confirming that the two samples have statistically equal variances despite their different means. This result initially appears counterintuitive given the banking sample's visible outliers, but reflects the fact that both samples contain observations that inflate variance in roughly proportional ways.</w:t>
      </w:r>
    </w:p>
    <w:p>
      <w:pPr>
        <w:spacing w:after="80"/>
      </w:pPr>
      <w:r>
        <w:t xml:space="preserve"/>
      </w:r>
    </w:p>
    <w:p>
      <w:pPr>
        <w:spacing w:after="80" w:before="200"/>
        <w:jc w:val="center"/>
      </w:pPr>
      <w:r>
        <w:rPr>
          <w:rFonts w:ascii="Times New Roman" w:cs="Times New Roman" w:eastAsia="Times New Roman" w:hAnsi="Times New Roman"/>
          <w:b/>
          <w:bCs/>
          <w:sz w:val="22"/>
          <w:szCs w:val="22"/>
        </w:rPr>
        <w:t xml:space="preserve">Table 4: Sector Comparison, Independent Samples Testing</w:t>
      </w:r>
    </w:p>
    <w:p>
      <w:pPr>
        <w:spacing w:after="80" w:before="200"/>
        <w:jc w:val="center"/>
      </w:pPr>
      <w:r>
        <w:rPr>
          <w:rFonts w:ascii="Times New Roman" w:cs="Times New Roman" w:eastAsia="Times New Roman" w:hAnsi="Times New Roman"/>
          <w:b/>
          <w:bCs/>
          <w:sz w:val="22"/>
          <w:szCs w:val="22"/>
        </w:rPr>
        <w:t xml:space="preserve">Banking CAR versus Pharma CAR; H0: Mean(Banking) = Mean(Pharma)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560"/>
      </w:tblGrid>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Statistic</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c>
          <w:tcPr>
            <w:tcW w:type="dxa" w:w="3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Welch t-test (Banking vs Pharma)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t-statistic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-1.633</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 mean more negative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p-value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0.1150</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Not significant at 5%; marginal at 12%</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Levene Test (Equal Variances)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F-statistic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0.005</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Variances statistically equal (p = 0.945)</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 % positive CARs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21.4% (3/14)</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 of 14 events generated positive returns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Pharma % positive CARs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50.0% (7/14)</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 of 14 events generated positive returns</w:t>
            </w:r>
          </w:p>
        </w:tc>
      </w:tr>
    </w:tbl>
    <w:p>
      <w:pPr>
        <w:spacing w:after="80"/>
      </w:pPr>
      <w:r>
        <w:t xml:space="preserve"/>
      </w:r>
    </w:p>
    <w:p>
      <w:pPr>
        <w:spacing w:after="160" w:before="0" w:line="360" w:lineRule="auto"/>
        <w:jc w:val="both"/>
      </w:pPr>
      <w:r>
        <w:rPr>
          <w:rFonts w:ascii="Times New Roman" w:cs="Times New Roman" w:eastAsia="Times New Roman" w:hAnsi="Times New Roman"/>
          <w:sz w:val="24"/>
          <w:szCs w:val="24"/>
        </w:rPr>
        <w:t xml:space="preserve">The Welch t-statistic of -1.633 (p = 0.115) does not reach conventional significance. The null hypothesis of equal sector means cannot be rejected. The directionality is, however, consistent and economically interpretable: banking CARs average -4.39% while pharma CARs average +0.14%, and the proportion of positive events differs markedly (21.4% versus 50.0%). The failure to achieve significance with 14 observations per group is partly a statistical power issue addressed in Section 5.</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5. Analysis and Discussion</w:t>
      </w:r>
    </w:p>
    <w:p>
      <w:pPr>
        <w:pStyle w:val="Heading2"/>
        <w:spacing w:after="140" w:before="280"/>
      </w:pPr>
      <w:r>
        <w:rPr>
          <w:rFonts w:ascii="Times New Roman" w:cs="Times New Roman" w:eastAsia="Times New Roman" w:hAnsi="Times New Roman"/>
          <w:b/>
          <w:bCs/>
          <w:sz w:val="26"/>
          <w:szCs w:val="26"/>
        </w:rPr>
        <w:t xml:space="preserve">5.1 Why Banking CARs Are Negative</w:t>
      </w:r>
    </w:p>
    <w:p>
      <w:pPr>
        <w:spacing w:after="160" w:before="0" w:line="360" w:lineRule="auto"/>
        <w:jc w:val="both"/>
      </w:pPr>
      <w:r>
        <w:rPr>
          <w:rFonts w:ascii="Times New Roman" w:cs="Times New Roman" w:eastAsia="Times New Roman" w:hAnsi="Times New Roman"/>
          <w:sz w:val="24"/>
          <w:szCs w:val="24"/>
        </w:rPr>
        <w:t xml:space="preserve">The dominant structural feature of the Indian banking merger data is government direction. Most of the events in this sample are not transactions where an acquirer identified an undervalued target, negotiated a price, and received shareholder approval for a commercially motivated deal. The PSU consolidation wave of 2017 to 2020, which accounts for a substantial portion of the negative CARs in the banking sample, was announced by the Finance Ministry as part of a program to reduce the number of undercapitalized state-owned lenders and create institutions of sufficient scale to meet Basel III capital requirements. The acquirer had no exit option.</w:t>
      </w:r>
    </w:p>
    <w:p>
      <w:pPr>
        <w:spacing w:after="160" w:before="0" w:line="360" w:lineRule="auto"/>
        <w:jc w:val="both"/>
      </w:pPr>
      <w:r>
        <w:rPr>
          <w:rFonts w:ascii="Times New Roman" w:cs="Times New Roman" w:eastAsia="Times New Roman" w:hAnsi="Times New Roman"/>
          <w:sz w:val="24"/>
          <w:szCs w:val="24"/>
        </w:rPr>
        <w:t xml:space="preserve">This structure explains three predictable market responses. First, the acquirer inherits the target's non-performing assets without the pricing adjustment that an arm's-length transaction would produce. In the 2018 to 2019 PSU mergers, acquired banks carried stressed loan books that investors correctly priced as an asset quality dilution for the acquirer. Second, integration in state-owned enterprises moves slowly because of union constraints, political sensitivities around branch rationalization, and the difficulty of harmonizing wage structures across legacy organizations. Markets appear to have priced this operational drag. Third, and perhaps most important, the acquirer has no pricing power in a government-directed transaction. A private acquirer can walk away from an overpriced target. A public sector bank cannot.</w:t>
      </w:r>
    </w:p>
    <w:p>
      <w:pPr>
        <w:spacing w:after="160" w:before="0" w:line="360" w:lineRule="auto"/>
        <w:jc w:val="both"/>
      </w:pPr>
      <w:r>
        <w:rPr>
          <w:rFonts w:ascii="Times New Roman" w:cs="Times New Roman" w:eastAsia="Times New Roman" w:hAnsi="Times New Roman"/>
          <w:sz w:val="24"/>
          <w:szCs w:val="24"/>
        </w:rPr>
        <w:t xml:space="preserve">The exceptions in the banking sample are worth examining directly. Kotak Mahindra Bank's acquisition of ING Vysya in 2014 generated a positive CAR of +4.61%. This was a voluntary, commercially structured deal where the acquirer was purchasing a geographically complementary retail franchise with a clean asset book and no significant NPA exposure. The market had reason to value the combination. Federal Bank's absorption of Ganesh Bank of Kurundwad produced the highest banking CAR at +10.65%, plausibly because the target was small relative to Federal and the transaction was a straightforward regional consolidation without the balance sheet complications of the PSU deals. HDFC Bank's merger with its parent HDFC Ltd in 2022 generated a modest positive return of +1.12%, which reflects the market's recognition that simplifying the group structure would eventually improve capital allocation, tempered by execution uncertainty at the scale of that transaction.</w:t>
      </w:r>
    </w:p>
    <w:p>
      <w:pPr>
        <w:pStyle w:val="Heading2"/>
        <w:spacing w:after="140" w:before="280"/>
      </w:pPr>
      <w:r>
        <w:rPr>
          <w:rFonts w:ascii="Times New Roman" w:cs="Times New Roman" w:eastAsia="Times New Roman" w:hAnsi="Times New Roman"/>
          <w:b/>
          <w:bCs/>
          <w:sz w:val="26"/>
          <w:szCs w:val="26"/>
        </w:rPr>
        <w:t xml:space="preserve">5.2 Why Pharma CARs Are Near Zero</w:t>
      </w:r>
    </w:p>
    <w:p>
      <w:pPr>
        <w:spacing w:after="160" w:before="0" w:line="360" w:lineRule="auto"/>
        <w:jc w:val="both"/>
      </w:pPr>
      <w:r>
        <w:rPr>
          <w:rFonts w:ascii="Times New Roman" w:cs="Times New Roman" w:eastAsia="Times New Roman" w:hAnsi="Times New Roman"/>
          <w:sz w:val="24"/>
          <w:szCs w:val="24"/>
        </w:rPr>
        <w:t xml:space="preserve">The pharmaceutical sample is not a homogeneous group of transactions. No single acquisition logic dominates, and the near-zero mean is an arithmetic outcome of roughly equal numbers of value-creating and value-destroying deals rather than a signal that pharmaceutical M&amp;A is neutral.</w:t>
      </w:r>
    </w:p>
    <w:p>
      <w:pPr>
        <w:spacing w:after="160" w:before="0" w:line="360" w:lineRule="auto"/>
        <w:jc w:val="both"/>
      </w:pPr>
      <w:r>
        <w:rPr>
          <w:rFonts w:ascii="Times New Roman" w:cs="Times New Roman" w:eastAsia="Times New Roman" w:hAnsi="Times New Roman"/>
          <w:sz w:val="24"/>
          <w:szCs w:val="24"/>
        </w:rPr>
        <w:t xml:space="preserve">Sun Pharma's acquisition of Ranbaxy Laboratories in 2014 (+8.83%) illustrates one end of the spectrum. Ranbaxy was a distressed asset with severe U.S. FDA compliance problems that had eroded its market value. Sun was, in effect, acquiring a complex portfolio at a discount with the confidence that its own operational track record with the FDA could rehabilitate the business. The market agreed with that assessment at announcement. By contrast, Lupin's acquisition of Gavis Pharmaceuticals (-14.78%) illustrates the other end. Gavis was a U.S.-based controlled substance generic manufacturer. The acquisition was large relative to Lupin's balance sheet, the U.S. generic pricing environment was already deteriorating in mid-2015, and the cross-border integration required navigating a regulatory environment where Lupin had limited prior experience at that scale. The market's negative reaction appears to reflect each of these factors.</w:t>
      </w:r>
    </w:p>
    <w:p>
      <w:pPr>
        <w:spacing w:after="160" w:before="0" w:line="360" w:lineRule="auto"/>
        <w:jc w:val="both"/>
      </w:pPr>
      <w:r>
        <w:rPr>
          <w:rFonts w:ascii="Times New Roman" w:cs="Times New Roman" w:eastAsia="Times New Roman" w:hAnsi="Times New Roman"/>
          <w:sz w:val="24"/>
          <w:szCs w:val="24"/>
        </w:rPr>
        <w:t xml:space="preserve">Aurobindo Pharma's Actavis Europe deal in 2014 (+6.61%) and Dr. Reddy's UCB India acquisition (+5.07%) both generated positive CARs, likely because each deal extended an existing capability in a geography where the acquirer already had operational presence. Torrent's Elder Pharma domestic transaction (-2.93%) and Zydus's Brazilian entity acquisition (-2.37%) produced modest negative returns, which may reflect market uncertainty about integration timelines rather than fundamental doubts about strategic rationale.</w:t>
      </w:r>
    </w:p>
    <w:p>
      <w:pPr>
        <w:spacing w:after="160" w:before="0" w:line="360" w:lineRule="auto"/>
        <w:jc w:val="both"/>
      </w:pPr>
      <w:r>
        <w:rPr>
          <w:rFonts w:ascii="Times New Roman" w:cs="Times New Roman" w:eastAsia="Times New Roman" w:hAnsi="Times New Roman"/>
          <w:sz w:val="24"/>
          <w:szCs w:val="24"/>
        </w:rPr>
        <w:t xml:space="preserve">Sun Pharma's Checkpoint Therapeutics acquisition in March 2025 (+5.58%) is the most recent event in the sample. The positive return appears to reflect improved market confidence in Sun's U.S. specialty operations relative to the earlier DUSA transaction in 2012 (-2.25%), where investor skepticism about Sun's ability to build a specialty U.S. presence was more pronounced. The sequential comparison is instructive: the same acquirer, similar asset class, different returns, separated by more than a decade of capability building.</w:t>
      </w:r>
    </w:p>
    <w:p>
      <w:pPr>
        <w:pStyle w:val="Heading2"/>
        <w:spacing w:after="140" w:before="280"/>
      </w:pPr>
      <w:r>
        <w:rPr>
          <w:rFonts w:ascii="Times New Roman" w:cs="Times New Roman" w:eastAsia="Times New Roman" w:hAnsi="Times New Roman"/>
          <w:b/>
          <w:bCs/>
          <w:sz w:val="26"/>
          <w:szCs w:val="26"/>
        </w:rPr>
        <w:t xml:space="preserve">5.3 Statistical Power and the Inter-Sector Test</w:t>
      </w:r>
    </w:p>
    <w:p>
      <w:pPr>
        <w:spacing w:after="160" w:before="0" w:line="360" w:lineRule="auto"/>
        <w:jc w:val="both"/>
      </w:pPr>
      <w:r>
        <w:rPr>
          <w:rFonts w:ascii="Times New Roman" w:cs="Times New Roman" w:eastAsia="Times New Roman" w:hAnsi="Times New Roman"/>
          <w:sz w:val="24"/>
          <w:szCs w:val="24"/>
        </w:rPr>
        <w:t xml:space="preserve">The failure to reject equal sector means at the 5% level (p = 0.115) is partly a sample size problem. With 14 observations per group, the Welch t-test has limited power to detect an effect of the magnitude observed here. A power calculation based on the observed means (-4.39% versus +0.14%) and standard deviations (8.06% and 6.55%) suggests that approximately 35 to 40 observations per group would be required to achieve 80% power at the 5% level. The current design does not reach that threshold, and the relatively small number of large listed-company mergers in each sector constrains expansion.</w:t>
      </w:r>
    </w:p>
    <w:p>
      <w:pPr>
        <w:spacing w:after="160" w:before="0" w:line="360" w:lineRule="auto"/>
        <w:jc w:val="both"/>
      </w:pPr>
      <w:r>
        <w:rPr>
          <w:rFonts w:ascii="Times New Roman" w:cs="Times New Roman" w:eastAsia="Times New Roman" w:hAnsi="Times New Roman"/>
          <w:sz w:val="24"/>
          <w:szCs w:val="24"/>
        </w:rPr>
        <w:t xml:space="preserve">That said, if you are managing a portfolio that includes Indian banking stocks, the historical pattern is not trivial. A mean difference of approximately 4.5 percentage points, with banking consistently negative and pharmaceuticals near zero, represents a meaningful divergence in shareholder experience across the announcement cycle. The PSU consolidation wave produced repeated, predictable negative shocks to acquirer shareholders. The pharmaceutical data, by contrast, required deal-by-deal assessment rather than sector-wide positioning.</w:t>
      </w:r>
    </w:p>
    <w:p>
      <w:pPr>
        <w:spacing w:after="160" w:before="0" w:line="360" w:lineRule="auto"/>
        <w:jc w:val="both"/>
      </w:pPr>
      <w:r>
        <w:rPr>
          <w:rFonts w:ascii="Times New Roman" w:cs="Times New Roman" w:eastAsia="Times New Roman" w:hAnsi="Times New Roman"/>
          <w:sz w:val="24"/>
          <w:szCs w:val="24"/>
        </w:rPr>
        <w:t xml:space="preserve">The Levene test result (F = 0.005, p = 0.945) deserves brief attention. Equal variances across the two sectors suggest that banking is not simply uniformly negative with low dispersion. The three positive outliers in banking (Federal Bank, Kotak Mahindra, HDFC Bank) and the extreme negative (Bank of Baroda) collectively produce a variance that matches the pharmaceutical group's variance. This means that mixing private sector banking deals with PSU consolidation events in a single sample, as this study does, is not methodologically neutral. It inflates the banking variance while depressing the mean. Separating the two sub-groups would sharpen the negative estimate for PSU deals and possibly reveal a near-zero or positive mean for private sector banking transactions, though sample size constraints make that sub-analysis unreliable here.</w:t>
      </w:r>
    </w:p>
    <w:p>
      <w:pPr>
        <w:pStyle w:val="Heading2"/>
        <w:spacing w:after="140" w:before="280"/>
      </w:pPr>
      <w:r>
        <w:rPr>
          <w:rFonts w:ascii="Times New Roman" w:cs="Times New Roman" w:eastAsia="Times New Roman" w:hAnsi="Times New Roman"/>
          <w:b/>
          <w:bCs/>
          <w:sz w:val="26"/>
          <w:szCs w:val="26"/>
        </w:rPr>
        <w:t xml:space="preserve">5.4 Market Efficiency Considerations</w:t>
      </w:r>
    </w:p>
    <w:p>
      <w:pPr>
        <w:spacing w:after="160" w:before="0" w:line="360" w:lineRule="auto"/>
        <w:jc w:val="both"/>
      </w:pPr>
      <w:r>
        <w:rPr>
          <w:rFonts w:ascii="Times New Roman" w:cs="Times New Roman" w:eastAsia="Times New Roman" w:hAnsi="Times New Roman"/>
          <w:sz w:val="24"/>
          <w:szCs w:val="24"/>
        </w:rPr>
        <w:t xml:space="preserve">Event study methodology rests on the assumption that markets process publicly available information efficiently. Under semi-strong form efficiency, announcement date CARs capture the market's complete reassessment of the acquirer's value given the new information. The results presented here are broadly consistent with that assumption, though not decisive evidence for it.</w:t>
      </w:r>
    </w:p>
    <w:p>
      <w:pPr>
        <w:spacing w:after="160" w:before="0" w:line="360" w:lineRule="auto"/>
        <w:jc w:val="both"/>
      </w:pPr>
      <w:r>
        <w:rPr>
          <w:rFonts w:ascii="Times New Roman" w:cs="Times New Roman" w:eastAsia="Times New Roman" w:hAnsi="Times New Roman"/>
          <w:sz w:val="24"/>
          <w:szCs w:val="24"/>
        </w:rPr>
        <w:t xml:space="preserve">For government-directed banking mergers, the negative announcement CARs are not evidence of market failure. They appear to reflect rational assessment of NPA inheritance, integration costs, and loss of management discretion. The Bank of Baroda and SBI events show minimal pre-announcement price movement followed by persistent post-announcement decline, which is consistent with the hypothesis that these transactions were unexpected by the market and quickly reassessed downward once announced. There is no obvious pattern suggesting that the market was slow to incorporate information.</w:t>
      </w:r>
    </w:p>
    <w:p>
      <w:pPr>
        <w:spacing w:after="160" w:before="0" w:line="360" w:lineRule="auto"/>
        <w:jc w:val="both"/>
      </w:pPr>
      <w:r>
        <w:rPr>
          <w:rFonts w:ascii="Times New Roman" w:cs="Times New Roman" w:eastAsia="Times New Roman" w:hAnsi="Times New Roman"/>
          <w:sz w:val="24"/>
          <w:szCs w:val="24"/>
        </w:rPr>
        <w:t xml:space="preserve">For pharmaceuticals, the Sun Pharma-Ranbaxy announcement shows mixed pre-announcement returns followed by a positive drift, which may reflect partial early information or the resolution of uncertainty that preceded the official date. Lupin's Gavis announcement, by contrast, shows a declining pre-event trend and a sharp post-announcement drop. In neither case does the pattern clearly indicate either information leakage or sluggish price adjustment. The evidence here is suggestive rather than conclusive, which is the appropriate characterization given the small sample.</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6. Robustness Checks and Limitations</w:t>
      </w:r>
    </w:p>
    <w:p>
      <w:pPr>
        <w:pStyle w:val="Heading2"/>
        <w:spacing w:after="140" w:before="280"/>
      </w:pPr>
      <w:r>
        <w:rPr>
          <w:rFonts w:ascii="Times New Roman" w:cs="Times New Roman" w:eastAsia="Times New Roman" w:hAnsi="Times New Roman"/>
          <w:b/>
          <w:bCs/>
          <w:sz w:val="26"/>
          <w:szCs w:val="26"/>
        </w:rPr>
        <w:t xml:space="preserve">6.1 Event Window Sensitivity</w:t>
      </w:r>
    </w:p>
    <w:p>
      <w:pPr>
        <w:spacing w:after="160" w:before="0" w:line="360" w:lineRule="auto"/>
        <w:jc w:val="both"/>
      </w:pPr>
      <w:r>
        <w:rPr>
          <w:rFonts w:ascii="Times New Roman" w:cs="Times New Roman" w:eastAsia="Times New Roman" w:hAnsi="Times New Roman"/>
          <w:sz w:val="24"/>
          <w:szCs w:val="24"/>
        </w:rPr>
        <w:t xml:space="preserve">A standard concern in event studies is sensitivity to window length. Longer windows capture more of the market's information processing but introduce noise from unrelated macroeconomic or firm-specific events. Shorter windows are cleaner but may miss delayed reactions, particularly in thinly traded securities or transactions requiring extended regulatory approval. The 10-trading-day windows used here are consistent with common practice in the event study literature. Shah and Arora (2014) tested windows of 2, 5, 7, and 10 days for an Asia-Pacific sample and found broadly stable acquirer return patterns across specifications, though target CARs grew with window length. For acquirers, longer windows tend to add noise, which supports the 10-day choice as a practical balance.</w:t>
      </w:r>
    </w:p>
    <w:p>
      <w:pPr>
        <w:pStyle w:val="Heading2"/>
        <w:spacing w:after="140" w:before="280"/>
      </w:pPr>
      <w:r>
        <w:rPr>
          <w:rFonts w:ascii="Times New Roman" w:cs="Times New Roman" w:eastAsia="Times New Roman" w:hAnsi="Times New Roman"/>
          <w:b/>
          <w:bCs/>
          <w:sz w:val="26"/>
          <w:szCs w:val="26"/>
        </w:rPr>
        <w:t xml:space="preserve">6.2 Model Specification</w:t>
      </w:r>
    </w:p>
    <w:p>
      <w:pPr>
        <w:spacing w:after="160" w:before="0" w:line="360" w:lineRule="auto"/>
        <w:jc w:val="both"/>
      </w:pPr>
      <w:r>
        <w:rPr>
          <w:rFonts w:ascii="Times New Roman" w:cs="Times New Roman" w:eastAsia="Times New Roman" w:hAnsi="Times New Roman"/>
          <w:sz w:val="24"/>
          <w:szCs w:val="24"/>
        </w:rPr>
        <w:t xml:space="preserve">The market-adjusted model treats the contemporaneous market return as the sole benchmark. A market model with a pre-estimated beta would adjust for stock-specific systematic risk and, in principle, reduce noise in the CAR estimates. The practical difficulty for Indian public sector bank stocks is that a reliable 250-day estimation window is difficult to construct: recapitalization events, government policy announcements, and Basel III-related capital injections introduce structural breaks that contaminate beta estimates. The market-adjusted model avoids this dependency. For pharmaceutical stocks, whose betas are more stable over time, the market model would likely produce similar results. The choice to use a uniform model across both sectors is a deliberate methodological decision to enable direct comparison rather than introduce specification differences.</w:t>
      </w:r>
    </w:p>
    <w:p>
      <w:pPr>
        <w:pStyle w:val="Heading2"/>
        <w:spacing w:after="140" w:before="280"/>
      </w:pPr>
      <w:r>
        <w:rPr>
          <w:rFonts w:ascii="Times New Roman" w:cs="Times New Roman" w:eastAsia="Times New Roman" w:hAnsi="Times New Roman"/>
          <w:b/>
          <w:bCs/>
          <w:sz w:val="26"/>
          <w:szCs w:val="26"/>
        </w:rPr>
        <w:t xml:space="preserve">6.3 Sample Limitations</w:t>
      </w:r>
    </w:p>
    <w:p>
      <w:pPr>
        <w:spacing w:after="160" w:before="0" w:line="360" w:lineRule="auto"/>
        <w:jc w:val="both"/>
      </w:pPr>
      <w:r>
        <w:rPr>
          <w:rFonts w:ascii="Times New Roman" w:cs="Times New Roman" w:eastAsia="Times New Roman" w:hAnsi="Times New Roman"/>
          <w:sz w:val="24"/>
          <w:szCs w:val="24"/>
        </w:rPr>
        <w:t xml:space="preserve">Fourteen events per sector is adequate for the comparisons conducted here but insufficient for strong population-level inferences about Indian M&amp;A. The banking sample mixes PSU and private sector transactions that this paper argues behave differently, which inflates variance and suppresses the estimated mean relative to what a PSU-only sample would show. Separating these sub-groups would require additional data collection. The pharmaceutical sample concentrates five of fourteen observations in a single acquirer (Sun Pharma), which introduces a firm-specific factor that this analysis cannot fully control for. Sun Pharma's risk appetite, FDA track record, and deal execution capability all influence its announcement returns in ways that may not generalize to other Indian pharmaceutical acquirers.</w:t>
      </w:r>
    </w:p>
    <w:p>
      <w:pPr>
        <w:spacing w:after="160" w:before="0" w:line="360" w:lineRule="auto"/>
        <w:jc w:val="both"/>
      </w:pPr>
      <w:r>
        <w:rPr>
          <w:rFonts w:ascii="Times New Roman" w:cs="Times New Roman" w:eastAsia="Times New Roman" w:hAnsi="Times New Roman"/>
          <w:sz w:val="24"/>
          <w:szCs w:val="24"/>
        </w:rPr>
        <w:t xml:space="preserve">Variables known to moderate acquirer returns, including payment method (cash versus stock versus mixed), relative target size, and cross-border versus domestic deal type, are not controlled for in this analysis. Their omission means the observed sector differences cannot be cleanly attributed to governance structure versus asset quality versus deal type. A regression-based approach with these controls would allow finer attribution, but the sample size does not support reliable multivariate estimation. That is a limitation to be addressed with a larger dataset rather than resolved through model complexity with the current observations.</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7. Conclusion</w:t>
      </w:r>
    </w:p>
    <w:p>
      <w:pPr>
        <w:spacing w:after="160" w:before="0" w:line="360" w:lineRule="auto"/>
        <w:jc w:val="both"/>
      </w:pPr>
      <w:r>
        <w:rPr>
          <w:rFonts w:ascii="Times New Roman" w:cs="Times New Roman" w:eastAsia="Times New Roman" w:hAnsi="Times New Roman"/>
          <w:sz w:val="24"/>
          <w:szCs w:val="24"/>
        </w:rPr>
        <w:t xml:space="preserve">Banking acquirers in this sample lose value around merger announcements on average; pharmaceutical acquirers break approximately even. The statistical evidence supports the directional claim for banking at the 10% level and confirms that pharmaceutical acquirer returns center on zero, but the inter-sector difference does not reach the 5% threshold given the current sample size of 14 events per group.</w:t>
      </w:r>
    </w:p>
    <w:p>
      <w:pPr>
        <w:spacing w:after="160" w:before="0" w:line="360" w:lineRule="auto"/>
        <w:jc w:val="both"/>
      </w:pPr>
      <w:r>
        <w:rPr>
          <w:rFonts w:ascii="Times New Roman" w:cs="Times New Roman" w:eastAsia="Times New Roman" w:hAnsi="Times New Roman"/>
          <w:sz w:val="24"/>
          <w:szCs w:val="24"/>
        </w:rPr>
        <w:t xml:space="preserve">The banking pattern appears traceable to the governance structure of the transactions. Government-directed PSU mergers deprive the acquirer of pricing power and impose NPA inheritance and integration costs that the market prices negatively at announcement. Private sector banking deals, where the acquirer retains commercial discretion, produce different outcomes: Kotak-ING Vysya and HDFC-HDFC Ltd both generated positive CARs, suggesting the sector label is less predictive than the deal type.</w:t>
      </w:r>
    </w:p>
    <w:p>
      <w:pPr>
        <w:spacing w:after="160" w:before="0" w:line="360" w:lineRule="auto"/>
        <w:jc w:val="both"/>
      </w:pPr>
      <w:r>
        <w:rPr>
          <w:rFonts w:ascii="Times New Roman" w:cs="Times New Roman" w:eastAsia="Times New Roman" w:hAnsi="Times New Roman"/>
          <w:sz w:val="24"/>
          <w:szCs w:val="24"/>
        </w:rPr>
        <w:t xml:space="preserve">The pharmaceutical result requires more careful interpretation. The near-zero mean is not evidence that deals are value-neutral; it is the product of an equal number of value-creating and value-destroying transactions. The standard deviation of 6.55% and a range from -14.78% to +8.83% indicate that deal-specific factors drive outcomes in ways the sector mean cannot represent. Acquirer identity, target condition at announcement, and the strategic fit between buyer capabilities and acquired assets all appear to matter more than the pharmaceutical sector classification itself.</w:t>
      </w:r>
    </w:p>
    <w:p>
      <w:pPr>
        <w:spacing w:after="160" w:before="0" w:line="360" w:lineRule="auto"/>
        <w:jc w:val="both"/>
      </w:pPr>
      <w:r>
        <w:rPr>
          <w:rFonts w:ascii="Times New Roman" w:cs="Times New Roman" w:eastAsia="Times New Roman" w:hAnsi="Times New Roman"/>
          <w:sz w:val="24"/>
          <w:szCs w:val="24"/>
        </w:rPr>
        <w:t xml:space="preserve">For portfolio managers holding Indian banking stocks, the historical pattern suggests that PSU merger announcements represent a reliable negative signal. For pharmaceutical holdings, no equivalent sector-wide signal exists; individual deal assessment is necessary. For researchers extending this line of inquiry, the priority should be expanding the sample to separate PSU and private sector banking transactions, controlling for payment method and target size, and testing whether post-announcement return drift confirms or contradicts the announcement-date assessments documented here.</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References</w:t>
      </w:r>
    </w:p>
    <w:p>
      <w:pPr>
        <w:spacing w:after="160" w:before="0" w:line="360" w:lineRule="auto"/>
        <w:jc w:val="both"/>
      </w:pPr>
      <w:r>
        <w:rPr>
          <w:rFonts w:ascii="Times New Roman" w:cs="Times New Roman" w:eastAsia="Times New Roman" w:hAnsi="Times New Roman"/>
          <w:sz w:val="24"/>
          <w:szCs w:val="24"/>
        </w:rPr>
        <w:t xml:space="preserve">Aintablian, S. and Roberts, G. S. (2005). Market response to announcement of mergers of Canadian financial institutions. Multinational Finance Journal, 9(1), 73-100.</w:t>
      </w:r>
    </w:p>
    <w:p>
      <w:pPr>
        <w:spacing w:after="160" w:before="0" w:line="360" w:lineRule="auto"/>
        <w:jc w:val="both"/>
      </w:pPr>
      <w:r>
        <w:rPr>
          <w:rFonts w:ascii="Times New Roman" w:cs="Times New Roman" w:eastAsia="Times New Roman" w:hAnsi="Times New Roman"/>
          <w:sz w:val="24"/>
          <w:szCs w:val="24"/>
        </w:rPr>
        <w:t xml:space="preserve">Anand, M. and Singh, J. (2005). Impact of merger announcements on shareholders wealth: Evidence from Indian private sector banks. Vikalpa, 33(1), 35-54.</w:t>
      </w:r>
    </w:p>
    <w:p>
      <w:pPr>
        <w:spacing w:after="160" w:before="0" w:line="360" w:lineRule="auto"/>
        <w:jc w:val="both"/>
      </w:pPr>
      <w:r>
        <w:rPr>
          <w:rFonts w:ascii="Times New Roman" w:cs="Times New Roman" w:eastAsia="Times New Roman" w:hAnsi="Times New Roman"/>
          <w:sz w:val="24"/>
          <w:szCs w:val="24"/>
        </w:rPr>
        <w:t xml:space="preserve">Andrade, G., Mitchell, M. and Stafford, E. (2001). New evidence and perspectives on mergers. Journal of Economic Perspectives, 15(2), 103-120.</w:t>
      </w:r>
    </w:p>
    <w:p>
      <w:pPr>
        <w:spacing w:after="160" w:before="0" w:line="360" w:lineRule="auto"/>
        <w:jc w:val="both"/>
      </w:pPr>
      <w:r>
        <w:rPr>
          <w:rFonts w:ascii="Times New Roman" w:cs="Times New Roman" w:eastAsia="Times New Roman" w:hAnsi="Times New Roman"/>
          <w:sz w:val="24"/>
          <w:szCs w:val="24"/>
        </w:rPr>
        <w:t xml:space="preserve">Athanasoglou, P. P., Asimakopoulos, I. G. and Georgiou, E. A. (2005). The effect of merger and acquisition announcement on Greek bank stock returns. Economic Bulletin, 24, 27-44.</w:t>
      </w:r>
    </w:p>
    <w:p>
      <w:pPr>
        <w:spacing w:after="160" w:before="0" w:line="360" w:lineRule="auto"/>
        <w:jc w:val="both"/>
      </w:pPr>
      <w:r>
        <w:rPr>
          <w:rFonts w:ascii="Times New Roman" w:cs="Times New Roman" w:eastAsia="Times New Roman" w:hAnsi="Times New Roman"/>
          <w:sz w:val="24"/>
          <w:szCs w:val="24"/>
        </w:rPr>
        <w:t xml:space="preserve">Campa, J. M. and Hernando, I. (2004). Shareholder value creation in European M&amp;A. European Financial Management, 10(1), 47-81.</w:t>
      </w:r>
    </w:p>
    <w:p>
      <w:pPr>
        <w:spacing w:after="160" w:before="0" w:line="360" w:lineRule="auto"/>
        <w:jc w:val="both"/>
      </w:pPr>
      <w:r>
        <w:rPr>
          <w:rFonts w:ascii="Times New Roman" w:cs="Times New Roman" w:eastAsia="Times New Roman" w:hAnsi="Times New Roman"/>
          <w:sz w:val="24"/>
          <w:szCs w:val="24"/>
        </w:rPr>
        <w:t xml:space="preserve">Duso, T., Gugler, K. and Yurtoglu, B. B. (2010). Is the event study methodology useful for merger analysis? A comparison of stock market and accounting data. International Review of Law and Economics, 30(2), 186-192.</w:t>
      </w:r>
    </w:p>
    <w:p>
      <w:pPr>
        <w:spacing w:after="160" w:before="0" w:line="360" w:lineRule="auto"/>
        <w:jc w:val="both"/>
      </w:pPr>
      <w:r>
        <w:rPr>
          <w:rFonts w:ascii="Times New Roman" w:cs="Times New Roman" w:eastAsia="Times New Roman" w:hAnsi="Times New Roman"/>
          <w:sz w:val="24"/>
          <w:szCs w:val="24"/>
        </w:rPr>
        <w:t xml:space="preserve">Huang, Y. S. and Walkling, R. A. (1987). Target abnormal returns associated with acquisition announcements. Journal of Financial Economics, 19(2), 329-349.</w:t>
      </w:r>
    </w:p>
    <w:p>
      <w:pPr>
        <w:spacing w:after="160" w:before="0" w:line="360" w:lineRule="auto"/>
        <w:jc w:val="both"/>
      </w:pPr>
      <w:r>
        <w:rPr>
          <w:rFonts w:ascii="Times New Roman" w:cs="Times New Roman" w:eastAsia="Times New Roman" w:hAnsi="Times New Roman"/>
          <w:sz w:val="24"/>
          <w:szCs w:val="24"/>
        </w:rPr>
        <w:t xml:space="preserve">Jensen, M. C. and Ruback, R. S. (1983). The market for corporate control: The scientific evidence. Journal of Financial Economics, 11, 5-50.</w:t>
      </w:r>
    </w:p>
    <w:p>
      <w:pPr>
        <w:spacing w:after="160" w:before="0" w:line="360" w:lineRule="auto"/>
        <w:jc w:val="both"/>
      </w:pPr>
      <w:r>
        <w:rPr>
          <w:rFonts w:ascii="Times New Roman" w:cs="Times New Roman" w:eastAsia="Times New Roman" w:hAnsi="Times New Roman"/>
          <w:sz w:val="24"/>
          <w:szCs w:val="24"/>
        </w:rPr>
        <w:t xml:space="preserve">MacKinlay, A. C. (1997). Event studies in economics and finance. Journal of Economic Literature, 35(1), 13-39.</w:t>
      </w:r>
    </w:p>
    <w:p>
      <w:pPr>
        <w:spacing w:after="160" w:before="0" w:line="360" w:lineRule="auto"/>
        <w:jc w:val="both"/>
      </w:pPr>
      <w:r>
        <w:rPr>
          <w:rFonts w:ascii="Times New Roman" w:cs="Times New Roman" w:eastAsia="Times New Roman" w:hAnsi="Times New Roman"/>
          <w:sz w:val="24"/>
          <w:szCs w:val="24"/>
        </w:rPr>
        <w:t xml:space="preserve">Peterson, P. P. (1989). Event studies: A review of issues and methodology. Quarterly Journal of Business and Economics, 28(3), 36-66.</w:t>
      </w:r>
    </w:p>
    <w:p>
      <w:pPr>
        <w:spacing w:after="160" w:before="0" w:line="360" w:lineRule="auto"/>
        <w:jc w:val="both"/>
      </w:pPr>
      <w:r>
        <w:rPr>
          <w:rFonts w:ascii="Times New Roman" w:cs="Times New Roman" w:eastAsia="Times New Roman" w:hAnsi="Times New Roman"/>
          <w:sz w:val="24"/>
          <w:szCs w:val="24"/>
        </w:rPr>
        <w:t xml:space="preserve">Rani, N., Yadav, S. S. and Jain, P. (2013). Market response to the announcement of mergers and acquisitions: An empirical study from India. Journal of Business Perspective, 17(1), 1-16.</w:t>
      </w:r>
    </w:p>
    <w:p>
      <w:pPr>
        <w:spacing w:after="160" w:before="0" w:line="360" w:lineRule="auto"/>
        <w:jc w:val="both"/>
      </w:pPr>
      <w:r>
        <w:rPr>
          <w:rFonts w:ascii="Times New Roman" w:cs="Times New Roman" w:eastAsia="Times New Roman" w:hAnsi="Times New Roman"/>
          <w:sz w:val="24"/>
          <w:szCs w:val="24"/>
        </w:rPr>
        <w:t xml:space="preserve">Reserve Bank of India. (2020). Annual report on bank consolidation. RBI Publications, Mumbai.</w:t>
      </w:r>
    </w:p>
    <w:p>
      <w:pPr>
        <w:spacing w:after="160" w:before="0" w:line="360" w:lineRule="auto"/>
        <w:jc w:val="both"/>
      </w:pPr>
      <w:r>
        <w:rPr>
          <w:rFonts w:ascii="Times New Roman" w:cs="Times New Roman" w:eastAsia="Times New Roman" w:hAnsi="Times New Roman"/>
          <w:sz w:val="24"/>
          <w:szCs w:val="24"/>
        </w:rPr>
        <w:t xml:space="preserve">Shah, P. and Arora, P. (2014). M&amp;A announcements and their effect on return to shareholders: An event study. Accounting and Finance Research, 3(2), 170-183.</w:t>
      </w:r>
    </w:p>
    <w:p>
      <w:pPr>
        <w:spacing w:after="160" w:before="0" w:line="360" w:lineRule="auto"/>
        <w:jc w:val="both"/>
      </w:pPr>
      <w:r>
        <w:rPr>
          <w:rFonts w:ascii="Times New Roman" w:cs="Times New Roman" w:eastAsia="Times New Roman" w:hAnsi="Times New Roman"/>
          <w:sz w:val="24"/>
          <w:szCs w:val="24"/>
        </w:rPr>
        <w:t xml:space="preserve">Swaminathan, V., Murshed, F. and Hulland, J. (2008). Value creation following merger and acquisition announcements: The role of strategic emphasis alignment. Journal of Marketing Research, 45(1), 33-47.</w:t>
      </w:r>
    </w:p>
    <w:p>
      <w:pPr>
        <w:spacing w:after="160" w:before="0" w:line="360" w:lineRule="auto"/>
        <w:jc w:val="both"/>
      </w:pPr>
      <w:r>
        <w:rPr>
          <w:rFonts w:ascii="Times New Roman" w:cs="Times New Roman" w:eastAsia="Times New Roman" w:hAnsi="Times New Roman"/>
          <w:sz w:val="24"/>
          <w:szCs w:val="24"/>
        </w:rPr>
        <w:t xml:space="preserve">Wansley, J. W., Lane, W. R. and Yang, H. C. (1983). Abnormal returns to acquired firms by type of acquisition and method of payment. Financial Management, 12(3), 16-22.</w:t>
      </w:r>
    </w:p>
    <w:p>
      <w:pPr>
        <w:spacing w:after="80"/>
      </w:pPr>
      <w:r>
        <w:t xml:space="preserve"/>
      </w:r>
    </w:p>
    <w:p>
      <w:pPr>
        <w:pStyle w:val="Heading1"/>
        <w:spacing w:after="180" w:before="360"/>
      </w:pPr>
      <w:r>
        <w:rPr>
          <w:rFonts w:ascii="Times New Roman" w:cs="Times New Roman" w:eastAsia="Times New Roman" w:hAnsi="Times New Roman"/>
          <w:b/>
          <w:bCs/>
          <w:sz w:val="28"/>
          <w:szCs w:val="28"/>
        </w:rPr>
        <w:t xml:space="preserve">Appendix: Pre- and Post-Announcement Abnormal Return Patterns</w:t>
      </w:r>
    </w:p>
    <w:p>
      <w:pPr>
        <w:spacing w:after="160" w:before="0" w:line="360" w:lineRule="auto"/>
        <w:jc w:val="both"/>
      </w:pPr>
      <w:r>
        <w:rPr>
          <w:rFonts w:ascii="Times New Roman" w:cs="Times New Roman" w:eastAsia="Times New Roman" w:hAnsi="Times New Roman"/>
          <w:sz w:val="24"/>
          <w:szCs w:val="24"/>
        </w:rPr>
        <w:t xml:space="preserve">Table 5 summarizes the directional pattern of daily abnormal returns before and after the announcement date for selected events in both sectors. This qualitative review complements the formal CAR analysis by indicating whether markets began pricing the deal prior to official announcement, which would suggest information leakage, or whether price adjustment was concentrated after announcement, consistent with semi-strong form efficiency.</w:t>
      </w:r>
    </w:p>
    <w:p>
      <w:pPr>
        <w:spacing w:after="80"/>
      </w:pPr>
      <w:r>
        <w:t xml:space="preserve"/>
      </w:r>
    </w:p>
    <w:p>
      <w:pPr>
        <w:spacing w:after="80" w:before="200"/>
        <w:jc w:val="center"/>
      </w:pPr>
      <w:r>
        <w:rPr>
          <w:rFonts w:ascii="Times New Roman" w:cs="Times New Roman" w:eastAsia="Times New Roman" w:hAnsi="Times New Roman"/>
          <w:b/>
          <w:bCs/>
          <w:sz w:val="22"/>
          <w:szCs w:val="22"/>
        </w:rPr>
        <w:t xml:space="preserve">Table 5: Pre- and Post-Announcement Abnormal Return Patterns (Selected Events)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00"/>
        <w:gridCol w:w="1700"/>
        <w:gridCol w:w="1200"/>
      </w:tblGrid>
      <w:t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Merger Event</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Sector</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Pre-Event AR Trend</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Post-Event AR Trend</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Sun Pharma + Ranbaxy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Pharma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Mixed, mild positive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Positive drift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+8.83%</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Lupin + Gavis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Pharma</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Declining</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Sharp negative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-14.78%</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SBI Associate Merger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Slight positive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Persistent negative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-8.06%</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 of Baroda 3-way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Neutral</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Steep negative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-24.05%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Kotak + ING Vysya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Positive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Positive drift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+4.61%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HDFC Bank + HDFC Ltd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Banking</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Near zero</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Flat positive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+1.12%</w:t>
            </w:r>
          </w:p>
        </w:tc>
      </w:tr>
    </w:tbl>
    <w:p>
      <w:pPr>
        <w:spacing w:after="160" w:before="60"/>
        <w:jc w:val="both"/>
      </w:pPr>
      <w:r>
        <w:rPr>
          <w:rFonts w:ascii="Times New Roman" w:cs="Times New Roman" w:eastAsia="Times New Roman" w:hAnsi="Times New Roman"/>
          <w:i/>
          <w:iCs/>
          <w:sz w:val="20"/>
          <w:szCs w:val="20"/>
        </w:rPr>
        <w:t xml:space="preserve">Note: Pre- and post-event patterns are based on directional inspection of daily abnormal returns within the event window. Patterns described as 'declining' or 'positive drift' reflect the dominant trend rather than statistically tested slopes.</w:t>
      </w:r>
    </w:p>
    <w:p>
      <w:pPr>
        <w:spacing w:after="80"/>
      </w:pPr>
      <w:r>
        <w:t xml:space="preserve"/>
      </w:r>
    </w:p>
    <w:p>
      <w:pPr>
        <w:spacing w:after="160" w:before="0" w:line="360" w:lineRule="auto"/>
        <w:jc w:val="both"/>
      </w:pPr>
      <w:r>
        <w:rPr>
          <w:rFonts w:ascii="Times New Roman" w:cs="Times New Roman" w:eastAsia="Times New Roman" w:hAnsi="Times New Roman"/>
          <w:sz w:val="24"/>
          <w:szCs w:val="24"/>
        </w:rPr>
        <w:t xml:space="preserve">The Bank of Baroda and SBI events show persistent post-announcement decline with little pre-announcement signal, consistent with the hypothesis that government-directed mergers were not anticipated and were rationally reassessed downward once announced. The Sun Pharma-Ranbaxy event shows a mixed pre-announcement period followed by a positive drift, which may reflect early partial information or the favorable resolution of uncertainty that preceded the official announcement date. Neither pattern provides definitive evidence on the form of market efficiency operative in each case, but the contrast between the two sectors remains directionally stable across this supplementary inspection.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2026-04-07T16:49:34.007Z</dcterms:created>
  <dcterms:modified xsi:type="dcterms:W3CDTF">2026-04-07T16:49:34.008Z</dcterms:modified>
</cp:coreProperties>
</file>

<file path=docProps/custom.xml><?xml version="1.0" encoding="utf-8"?>
<Properties xmlns="http://schemas.openxmlformats.org/officeDocument/2006/custom-properties" xmlns:vt="http://schemas.openxmlformats.org/officeDocument/2006/docPropsVTypes"/>
</file>