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185C50"/>
          <w:sz w:val="34"/>
          <w:szCs w:val="34"/>
        </w:rPr>
        <w:t xml:space="preserve">NEXOFARMA · Visión del sistema</w:t>
      </w:r>
    </w:p>
    <w:p>
      <w:r>
        <w:t xml:space="preserve">Documento independiente · Versión 1.0 · 18 de octubre de 2026</w:t>
      </w:r>
    </w:p>
    <w:p>
      <w:r>
        <w:t xml:space="preserve">Parte del expediente integral RUP del prototipo. Validación y firmas del negocio pendientes.</w:t>
      </w:r>
    </w:p>
    <w:p>
      <w:pPr>
        <w:pStyle w:val="Heading1"/>
        <w:keepNext/>
      </w:pPr>
      <w:r>
        <w:t xml:space="preserve">3. VS — Visión del sistema</w:t>
      </w:r>
    </w:p>
    <w:p>
      <w:pPr>
        <w:pStyle w:val="Heading2"/>
        <w:keepNext/>
      </w:pPr>
      <w:r>
        <w:t xml:space="preserve">3.1 Declaración de posicionamiento</w:t>
      </w:r>
    </w:p>
    <w:p>
      <w:pPr>
        <w:spacing w:after="120" w:line="270"/>
      </w:pPr>
      <w:r>
        <w:t xml:space="preserve">Para una cadena que necesita controlar sucursales y atender pedidos coordinados, NexoFarma es una aplicación web centralizada que relaciona inventario, operaciones monetarias, patrimonio y entrega. A diferencia de registros locales desconectados, utiliza un modelo común con transacciones, permisos y auditoría. La experiencia pública y la administrativa comparten servicios de negocio, sin otorgar al cliente acceso a costos, salarios o lotes privados.</w:t>
      </w:r>
    </w:p>
    <w:p>
      <w:pPr>
        <w:pStyle w:val="Heading2"/>
        <w:keepNext/>
      </w:pPr>
      <w:r>
        <w:t xml:space="preserve">3.2 Capacidades y estado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Capacidad</w:t>
            </w:r>
          </w:p>
        </w:tc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Límite relevante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Sucursales y stands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Implementado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No evalúa comercialmente la ubicación física.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Inventario, FEFO y reservas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Implementado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La exactitud física depende de recepción y conteos.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Ventas, traslados y pedidos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Implementado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Se requiere conectividad con el servicio.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Caja, planilla y activos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Implementado / parcial contable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Registro operativo; depreciación estimada y sin balance completo.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Call center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Implementado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ETA por distancia/velocidad configurada, no por tráfico.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Portal y seguimiento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Implementado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Seguimiento con código privado; no cuenta de cliente sincronizada.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Correo e inscripciones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Implementado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Envío depende de worker, SMTP y URL pública accesible.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Promociones, eventos y CMS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Implementado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Contenido y cupos requieren administración responsable.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Excel e impresión PDF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Implementado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Listados completos en cliente; para gran volumen se propone procesamiento en servidor.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Escalabilidad nacional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Propuesto / por validar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No hay benchmark ni pruebas de carga representativas.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Despliegue web público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Pendiente de entorno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Supabase en nube no implica frontend/API publicados.</w:t>
            </w:r>
          </w:p>
        </w:tc>
      </w:tr>
    </w:tbl>
    <w:p>
      <w:pPr>
        <w:spacing w:after="120" w:line="270"/>
      </w:pPr>
    </w:p>
    <w:p>
      <w:pPr>
        <w:pStyle w:val="Heading2"/>
        <w:keepNext/>
      </w:pPr>
      <w:r>
        <w:t xml:space="preserve">3.3 Contexto de interacción</w:t>
      </w:r>
    </w:p>
    <w:p>
      <w:pPr>
        <w:spacing w:after="120" w:line="270"/>
      </w:pPr>
      <w:r>
        <w:t xml:space="preserve">El navegador consume la API Express; los controladores validan y delegan a modelos y RPC. Supabase Auth administra identidad; el perfil de aplicación determina rol y sucursal. PostgreSQL aplica RLS y reglas transaccionales. Storage separa imágenes públicas de documentos privados. Los trabajadores procesan expiración y correo. El SMTP es un sistema externo: aceptar un mensaje no prueba su entrega a la bandeja principal ni su lectura.</w:t>
      </w:r>
    </w:p>
    <w:p>
      <w:pPr>
        <w:jc w:val="center"/>
      </w:pPr>
      <w:r>
        <w:drawing>
          <wp:inline distT="0" distB="0" distL="0" distR="0">
            <wp:extent cx="581025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0"/>
      </w:pPr>
      <w:r>
        <w:t xml:space="preserve">Figura 1. Contexto lógico de la aplicación. Las funciones de negocio sensibles se ejecutan en transacciones de PostgreSQL.</w:t>
      </w:r>
    </w:p>
    <w:p>
      <w:pPr>
        <w:pStyle w:val="Heading2"/>
        <w:keepNext/>
      </w:pPr>
      <w:r>
        <w:t xml:space="preserve">3.4 Restricciones y decisiones</w:t>
      </w:r>
    </w:p>
    <w:p>
      <w:pPr>
        <w:spacing w:after="120" w:line="270"/>
      </w:pPr>
      <w:r>
        <w:t xml:space="preserve">• Importes en quetzales para la operación; el presupuesto estratégico se expresa en dólares estadounidenses. No se integra conversión de moneda.</w:t>
      </w:r>
    </w:p>
    <w:p>
      <w:pPr>
        <w:spacing w:after="120" w:line="270"/>
      </w:pPr>
      <w:r>
        <w:t xml:space="preserve">• Fechas de negocio en America/Guatemala; almacenamiento de instantes con zona horaria. No asumir la zona del equipo del usuario.</w:t>
      </w:r>
    </w:p>
    <w:p>
      <w:pPr>
        <w:spacing w:after="120" w:line="270"/>
      </w:pPr>
      <w:r>
        <w:t xml:space="preserve">• Máximo de 50 productos por pedido/operación según validaciones. Evitar prometer capacidad ilimitada.</w:t>
      </w:r>
    </w:p>
    <w:p>
      <w:pPr>
        <w:spacing w:after="120" w:line="270"/>
      </w:pPr>
      <w:r>
        <w:t xml:space="preserve">• Sin registro público de personal: el administrador crea cuentas. La compra pública no exige una cuenta de cliente.</w:t>
      </w:r>
    </w:p>
    <w:p>
      <w:pPr>
        <w:spacing w:after="120" w:line="270"/>
      </w:pPr>
      <w:r>
        <w:t xml:space="preserve">• Las referencias de tarjeta o transferencia son evidencia registrada por personal, no confirmación bancaria automatizada.</w:t>
      </w:r>
    </w:p>
    <w:p>
      <w:pPr>
        <w:spacing w:after="120" w:line="270"/>
      </w:pPr>
      <w:r>
        <w:t xml:space="preserve">• El backend conserva claves privilegiadas; nunca deben compilarse en el frontend.</w:t>
      </w:r>
    </w:p>
    <w:p>
      <w:pPr>
        <w:spacing w:after="120" w:line="270"/>
      </w:pPr>
      <w:r>
        <w:t xml:space="preserve">• El protocolo local utiliza localhost; en producción se requiere HTTPS, dominio y configuración de CORS.</w:t>
      </w:r>
    </w:p>
    <w:p>
      <w:pPr>
        <w:pStyle w:val="Heading2"/>
        <w:keepNext/>
      </w:pPr>
      <w:r>
        <w:t xml:space="preserve">3.5 Criterios de aceptación de la visión</w:t>
      </w:r>
    </w:p>
    <w:p>
      <w:pPr>
        <w:spacing w:after="120" w:line="270"/>
      </w:pPr>
      <w:r>
        <w:t xml:space="preserve">Una demostración aceptable debe completar una venta y reconstruir su efecto en stock y caja; trasladar medicamentos con recepción en destino; consultar un consolidado y un reporte por sucursal; registrar planilla y activos; cotizar un pedido desde el call center; impedir sobreventa con reservas; y demostrar que un actor sin permisos no accede ni modifica información ajena. La validación final debe ser firmada por negocio y por el responsable de pruebas.</w:t>
      </w:r>
    </w:p>
    <w:p>
      <w:pPr>
        <w:spacing w:after="120" w:line="270"/>
      </w:pPr>
      <w:r>
        <w:t xml:space="preserve">Fuente: inspección del repositorio NexoFarma y expediente integral RUP. La versión integrada incluye requisitos, casos de uso, factibilidad, modelo E-R, desarrollo en nube y referencias completas.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NexoFarma · Visión del sistema |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F36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779ff58aaff0ee9e3fcc09c965b10c6e7b17e1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NexoFarma — Visión del sistema</dc:title>
  <dc:creator>Equipo del proyecto NexoFarma</dc:creator>
  <cp:lastModifiedBy>Un-named</cp:lastModifiedBy>
  <cp:revision>1</cp:revision>
  <dcterms:created xsi:type="dcterms:W3CDTF">2026-10-18T19:53:24.103Z</dcterms:created>
  <dcterms:modified xsi:type="dcterms:W3CDTF">2026-10-18T19:53:24.103Z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