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color w:val="185C50"/>
          <w:sz w:val="34"/>
          <w:szCs w:val="34"/>
        </w:rPr>
        <w:t xml:space="preserve">NEXOFARMA · Arquitectura del negocio</w:t>
      </w:r>
    </w:p>
    <w:p>
      <w:r>
        <w:t xml:space="preserve">Documento independiente · Versión 1.0 · 18 de octubre de 2026</w:t>
      </w:r>
    </w:p>
    <w:p>
      <w:r>
        <w:t xml:space="preserve">Parte del expediente integral RUP del prototipo. Validación y firmas del negocio pendientes.</w:t>
      </w:r>
    </w:p>
    <w:p>
      <w:pPr>
        <w:pStyle w:val="Heading1"/>
        <w:keepNext/>
      </w:pPr>
      <w:r>
        <w:t xml:space="preserve">4. AN — Arquitectura del negocio</w:t>
      </w:r>
    </w:p>
    <w:p>
      <w:pPr>
        <w:pStyle w:val="Heading2"/>
        <w:keepNext/>
      </w:pPr>
      <w:r>
        <w:t xml:space="preserve">4.1 Organización y responsabilidades</w:t>
      </w:r>
    </w:p>
    <w:p>
      <w:pPr>
        <w:spacing w:after="120" w:line="270"/>
      </w:pPr>
      <w:r>
        <w:t xml:space="preserve">La dirección define políticas y expansión. Operaciones coordina gerentes y puntos de venta. Abastecimiento y bodega gestionan disponibilidad física. Finanzas controla movimientos, cierres, activos y planilla. El call center centraliza solicitudes remotas; cada sucursal confirma preparación y despacho. Auditoría revisa evidencias sin registrar operaciones. Tecnología administra el servicio y los accesos, sin sustituir aprobaciones comerciales.</w:t>
      </w:r>
    </w:p>
    <w:p>
      <w:pPr>
        <w:jc w:val="center"/>
      </w:pPr>
      <w:r>
        <w:drawing>
          <wp:inline distT="0" distB="0" distL="0" distR="0">
            <wp:extent cx="5810250" cy="385762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0"/>
      </w:pPr>
      <w:r>
        <w:t xml:space="preserve">Figura 2. Arquitectura de capacidades y cadena de valor del negocio; no constituye un organigrama contractual.</w:t>
      </w:r>
    </w:p>
    <w:p>
      <w:pPr>
        <w:pStyle w:val="Heading2"/>
        <w:keepNext/>
      </w:pPr>
      <w:r>
        <w:t xml:space="preserve">4.2 Procesos y resultados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  <w:tblHeader/>
        </w:trPr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Proceso</w:t>
            </w:r>
          </w:p>
        </w:tc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Entrada</w:t>
            </w:r>
          </w:p>
        </w:tc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PR-01 Abastecimiento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Necesidad, proveedor y compra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Recepción por lote y saldo de compra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Cantidad recibida ≤ cantidad ordenada; factura consistente.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PR-02 Custodia de inventario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Lotes y stock mínimo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Disponibilidad y alertas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Reservas, vencimiento, FEFO y conteos aprobados.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PR-03 Venta presencial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Productos y medio de pago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Venta y movimiento monetario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Total calculado en servidor; receta si corresponde.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PR-04 Traslado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Necesidad de reposición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Salida y recepción trazables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Destino autorizado y estado del traslado.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PR-05 Pedido remoto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Ubicación, productos y cliente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Pedido asignado y entrega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Cobertura, horario, reserva y ETA.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PR-06 Tesorería operativa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Cobros y egresos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Flujo, arqueo y diferencias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Contrapartidas y períodos sin superposición.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PR-07 Gestión de personal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Empleados y período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Planilla histórica pagada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No duplicar sucursal/período; permisos.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PR-08 Patrimonio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Bien y adquisición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Inventario de activos y valor estimado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Vida útil y residual; validación contable pendiente.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PR-09 Actividades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Evento, cupo y participantes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Confirmaciones y recordatorios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Cupo y token temporal.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PR-10 Auditoría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Operaciones y cambios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Hallazgos y seguimiento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Separación de funciones y evidencia conservada.</w:t>
            </w:r>
          </w:p>
        </w:tc>
      </w:tr>
    </w:tbl>
    <w:p>
      <w:pPr>
        <w:spacing w:after="120" w:line="270"/>
      </w:pPr>
    </w:p>
    <w:p>
      <w:pPr>
        <w:pStyle w:val="Heading2"/>
        <w:keepNext/>
      </w:pPr>
      <w:r>
        <w:t xml:space="preserve">4.3 Coordinación de un pedido remoto</w:t>
      </w:r>
    </w:p>
    <w:p>
      <w:pPr>
        <w:jc w:val="center"/>
      </w:pPr>
      <w:r>
        <w:drawing>
          <wp:inline distT="0" distB="0" distL="0" distR="0">
            <wp:extent cx="3000375" cy="523875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0"/>
      </w:pPr>
      <w:r>
        <w:t xml:space="preserve">Figura 3. Realización del proceso de atención remota con responsabilidades de cliente/operador, sistema, sucursal y auditoría.</w:t>
      </w:r>
    </w:p>
    <w:p>
      <w:pPr>
        <w:spacing w:after="120" w:line="270"/>
      </w:pPr>
      <w:r>
        <w:t xml:space="preserve">Si ninguna sucursal posee todos los productos y cobertura válida, el operador debe comunicar alternativas y ajustar la solicitud; el prototipo no divide automáticamente un pedido entre varias sucursales ni planifica una red logística de múltiples tramos. Los traslados permiten reposición, pero un traslado no equivale a una entrega final al cliente.</w:t>
      </w:r>
    </w:p>
    <w:p>
      <w:pPr>
        <w:pStyle w:val="Heading2"/>
        <w:keepNext/>
      </w:pPr>
      <w:r>
        <w:t xml:space="preserve">4.4 Matriz RACI propuesta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cantSplit/>
          <w:tblHeader/>
        </w:trPr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Dirección</w:t>
            </w:r>
          </w:p>
        </w:tc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Gerencia</w:t>
            </w:r>
          </w:p>
        </w:tc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Bodega</w:t>
            </w:r>
          </w:p>
        </w:tc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Caja / venta</w:t>
            </w:r>
          </w:p>
        </w:tc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Call center</w:t>
            </w:r>
          </w:p>
        </w:tc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Auditor</w:t>
            </w:r>
          </w:p>
        </w:tc>
        <w:tc>
          <w:tcPr>
            <w:shd w:fill="185C50" w:val="clear"/>
          </w:tcPr>
          <w:p>
            <w:pPr>
              <w:spacing w:after="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Aprobar expansión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A/R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Recibir medicamentos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A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R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Contar y solicitar baja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A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R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Aprobar ajuste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A/R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Registrar venta/cobro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A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R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Asignar pedido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A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R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Revisar cierre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A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R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Consultar auditoría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A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R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</w:t>
            </w:r>
          </w:p>
        </w:tc>
      </w:tr>
      <w:tr>
        <w:trPr>
          <w:cantSplit/>
          <w:tblHeader w:val="off"/>
        </w:trPr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Administrar cuentas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A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I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C</w:t>
            </w:r>
          </w:p>
        </w:tc>
        <w:tc>
          <w:p>
            <w:pPr>
              <w:spacing w:after="70"/>
            </w:pPr>
            <w:r>
              <w:rPr>
                <w:b w:val="false"/>
                <w:bCs w:val="false"/>
                <w:color w:val="243F36"/>
                <w:sz w:val="19"/>
                <w:szCs w:val="19"/>
              </w:rPr>
              <w:t xml:space="preserve">R</w:t>
            </w:r>
          </w:p>
        </w:tc>
      </w:tr>
    </w:tbl>
    <w:p>
      <w:pPr>
        <w:spacing w:after="120" w:line="270"/>
      </w:pPr>
    </w:p>
    <w:p>
      <w:pPr>
        <w:spacing w:after="120" w:line="270"/>
      </w:pPr>
      <w:r>
        <w:t xml:space="preserve">R = ejecuta; A = responsable último; C = consultado; I = informado. La matriz es organizacional propuesta. El rol ADMIN conserva facultades amplias por diseño del prototipo; se recomienda separar administración técnica, autorización financiera y revisión de auditoría antes de operación real.</w:t>
      </w:r>
    </w:p>
    <w:p>
      <w:pPr>
        <w:pStyle w:val="Heading2"/>
        <w:keepNext/>
      </w:pPr>
      <w:r>
        <w:t xml:space="preserve">4.5 Información y segregación de funciones</w:t>
      </w:r>
    </w:p>
    <w:p>
      <w:pPr>
        <w:spacing w:after="120" w:line="270"/>
      </w:pPr>
      <w:r>
        <w:t xml:space="preserve">La sucursal es el eje de alcance para inventario, caja, empleados y pedidos. Medicamentos y proveedores constituyen catálogos compartidos. La identificación del usuario se vincula a un perfil, y las autorizaciones específicas complementan los roles. Los cambios de precio, aprobaciones de stock, revisión de receta y confirmación de pagos deben ser trazables. No basta con ocultar un botón: las comprobaciones se mantienen en la API y PostgreSQL.</w:t>
      </w:r>
    </w:p>
    <w:p>
      <w:pPr>
        <w:spacing w:after="120" w:line="270"/>
      </w:pPr>
      <w:r>
        <w:t xml:space="preserve">Fuente: inspección del repositorio NexoFarma y expediente integral RUP. La versión integrada incluye requisitos, casos de uso, factibilidad, modelo E-R, desarrollo en nube y referencias completas.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NexoFarma · Arquitectura del negocio |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F36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6d2c78db617ec2c1cecfa3c563a101915494100.png"/><Relationship Id="rId9" Type="http://schemas.openxmlformats.org/officeDocument/2006/relationships/image" Target="media/ba99c30a1e196a73a2f5f298f93d0151f1920d6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NexoFarma — Arquitectura del negocio</dc:title>
  <dc:creator>Equipo del proyecto NexoFarma</dc:creator>
  <cp:lastModifiedBy>Un-named</cp:lastModifiedBy>
  <cp:revision>1</cp:revision>
  <dcterms:created xsi:type="dcterms:W3CDTF">2026-10-18T19:53:24.151Z</dcterms:created>
  <dcterms:modified xsi:type="dcterms:W3CDTF">2026-10-18T19:53:24.152Z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