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b/>
          <w:color w:val="2E74B5"/>
          <w:sz w:val="24"/>
        </w:rPr>
        <w:t>GAP SYSTEMS</w:t>
      </w:r>
    </w:p>
    <w:p>
      <w:pPr>
        <w:spacing w:after="160"/>
        <w:jc w:val="center"/>
      </w:pPr>
      <w:r>
        <w:rPr>
          <w:b/>
          <w:color w:val="17365D"/>
          <w:sz w:val="54"/>
        </w:rPr>
        <w:t>Guía de instalación y operación</w:t>
      </w:r>
    </w:p>
    <w:p>
      <w:pPr>
        <w:spacing w:after="560"/>
        <w:jc w:val="center"/>
      </w:pPr>
      <w:r>
        <w:rPr>
          <w:color w:val="2E74B5"/>
          <w:sz w:val="34"/>
        </w:rPr>
        <w:t>GAP Monitor Access Agent</w:t>
      </w:r>
    </w:p>
    <w:p>
      <w:pPr>
        <w:spacing w:before="100" w:after="160"/>
        <w:shd w:fill="E8EEF5"/>
        <w:pBdr>
          <w:left w:val="single" w:sz="14" w:color="2E74B5" w:space="5"/>
        </w:pBdr>
      </w:pPr>
      <w:r>
        <w:rPr>
          <w:b/>
          <w:color w:val="17365D"/>
        </w:rPr>
        <w:t xml:space="preserve">Objetivo  </w:t>
      </w:r>
      <w:r>
        <w:t>Instalar el agente en cajas Sic3000, configurarlo para leer las bases Access y mantenerlo ejecutándose automáticamente como servicio de Windows.</w:t>
      </w:r>
    </w:p>
    <w:p>
      <w:pPr>
        <w:spacing w:before="1800"/>
        <w:jc w:val="center"/>
      </w:pPr>
      <w:r>
        <w:rPr>
          <w:color w:val="666666"/>
          <w:sz w:val="20"/>
        </w:rPr>
        <w:t>Manual operativo • Versión 1.0 • Septiembre 2026</w:t>
      </w:r>
    </w:p>
    <w:p>
      <w:r>
        <w:br w:type="page"/>
      </w:r>
    </w:p>
    <w:p>
      <w:pPr>
        <w:pStyle w:val="Heading1"/>
      </w:pPr>
      <w:r>
        <w:t>1. Cómo funciona</w:t>
      </w:r>
    </w:p>
    <w:p>
      <w:r>
        <w:t>El agente trabaja en segundo plano. En cada ciclo consulta los puntos configurados, obtiene el último documento emitido y envía un heartbeat al backend de monitoreo.</w:t>
      </w:r>
    </w:p>
    <w:p>
      <w:pPr>
        <w:pStyle w:val="ListBullet"/>
      </w:pPr>
      <w:r>
        <w:t>Consulta primero NotaDiaria en la base local o principal.</w:t>
      </w:r>
    </w:p>
    <w:p>
      <w:pPr>
        <w:pStyle w:val="ListBullet"/>
      </w:pPr>
      <w:r>
        <w:t>Consulta también Nota en la base general o compartida.</w:t>
      </w:r>
    </w:p>
    <w:p>
      <w:pPr>
        <w:pStyle w:val="ListBullet"/>
      </w:pPr>
      <w:r>
        <w:t>Si existen datos en ambas, envía el documento con el mayor consecutivo.</w:t>
      </w:r>
    </w:p>
    <w:p>
      <w:pPr>
        <w:pStyle w:val="ListBullet"/>
      </w:pPr>
      <w:r>
        <w:t>La base con tabla Nota es crítica: si falla, envía AccessDisponible=false y el detalle para generar una alerta.</w:t>
      </w:r>
    </w:p>
    <w:p>
      <w:pPr>
        <w:pStyle w:val="ListBullet"/>
      </w:pPr>
      <w:r>
        <w:t>Un error de una fuente o punto no detiene los demás.</w:t>
      </w:r>
    </w:p>
    <w:p>
      <w:pPr>
        <w:spacing w:before="100" w:after="160"/>
        <w:shd w:fill="FFF2CC"/>
        <w:pBdr>
          <w:left w:val="single" w:sz="14" w:color="2E74B5" w:space="5"/>
        </w:pBdr>
      </w:pPr>
      <w:r>
        <w:rPr>
          <w:b/>
          <w:color w:val="17365D"/>
        </w:rPr>
        <w:t xml:space="preserve">Importante  </w:t>
      </w:r>
      <w:r>
        <w:t>El agente no modifica registros del MDB. Access puede necesitar crear un archivo temporal de bloqueo en la carpeta de la base.</w:t>
      </w:r>
    </w:p>
    <w:p>
      <w:pPr>
        <w:pStyle w:val="Heading1"/>
      </w:pPr>
      <w:r>
        <w:t>2. Requisitos</w:t>
      </w:r>
    </w:p>
    <w:p>
      <w:pPr>
        <w:pStyle w:val="ListBullet"/>
      </w:pPr>
      <w:r>
        <w:t>Windows de 64 o 32 bits con permisos de administrador para instalar el servicio.</w:t>
      </w:r>
    </w:p>
    <w:p>
      <w:pPr>
        <w:pStyle w:val="ListBullet"/>
      </w:pPr>
      <w:r>
        <w:t>Proveedor Microsoft ACE OLEDB o Jet compatible con 32 bits.</w:t>
      </w:r>
    </w:p>
    <w:p>
      <w:pPr>
        <w:pStyle w:val="ListBullet"/>
      </w:pPr>
      <w:r>
        <w:t>Acceso TCP al backend configurado, por ejemplo 186.4.132.139:5014.</w:t>
      </w:r>
    </w:p>
    <w:p>
      <w:pPr>
        <w:pStyle w:val="ListBullet"/>
      </w:pPr>
      <w:r>
        <w:t>Rutas correctas a los MDB y permisos de lectura/modificación en sus carpetas.</w:t>
      </w:r>
    </w:p>
    <w:p>
      <w:pPr>
        <w:pStyle w:val="ListBullet"/>
      </w:pPr>
      <w:r>
        <w:t>Cuenta dedicada MonitorAgentSvc con contraseña segura.</w:t>
      </w:r>
    </w:p>
    <w:p>
      <w:pPr>
        <w:pStyle w:val="ListBullet"/>
      </w:pPr>
      <w:r>
        <w:t>Si Nota está en red, usar ruta UNC (\SERVIDOR\Recurso), nunca una unidad mapeada como F:.</w:t>
      </w:r>
    </w:p>
    <w:p>
      <w:pPr>
        <w:pStyle w:val="Heading1"/>
      </w:pPr>
      <w:r>
        <w:t>3. Publicar y copiar el agente</w:t>
      </w:r>
    </w:p>
    <w:p>
      <w:r>
        <w:t>Desde la computadora de desarrollo, abrir PowerShell dentro del repositorio y publicar una versión autónoma x86:</w:t>
      </w:r>
    </w:p>
    <w:p>
      <w:pPr>
        <w:pStyle w:val="CodeBlock"/>
        <w:shd w:fill="F3F5F7"/>
        <w:pBdr>
          <w:left w:val="single" w:sz="14" w:color="2E74B5" w:space="5"/>
        </w:pBdr>
      </w:pPr>
      <w:r>
        <w:t>cd D:\ProyectGap\MonitorAccess\monitor_access_agent_ms</w:t>
        <w:br/>
        <w:br/>
        <w:t>dotnet publish .\src\monitor_access_agent_ms\monitor_access_agent_ms.csproj `</w:t>
        <w:br/>
        <w:t xml:space="preserve">  -c Release `</w:t>
        <w:br/>
        <w:t xml:space="preserve">  -r win-x86 `</w:t>
        <w:br/>
        <w:t xml:space="preserve">  --self-contained true `</w:t>
        <w:br/>
        <w:t xml:space="preserve">  -o D:\Publicaciones\MonitorAccessAgent</w:t>
      </w:r>
    </w:p>
    <w:p>
      <w:r>
        <w:t>Copiar toda la carpeta publicada en la caja:</w:t>
      </w:r>
    </w:p>
    <w:p>
      <w:pPr>
        <w:pStyle w:val="CodeBlock"/>
        <w:shd w:fill="F3F5F7"/>
        <w:pBdr>
          <w:left w:val="single" w:sz="14" w:color="2E74B5" w:space="5"/>
        </w:pBdr>
      </w:pPr>
      <w:r>
        <w:t>C:\Sic3000\Agente\MonitorAccessAgent</w:t>
      </w:r>
    </w:p>
    <w:p>
      <w:pPr>
        <w:spacing w:before="100" w:after="160"/>
        <w:shd w:fill="FCE4D6"/>
        <w:pBdr>
          <w:left w:val="single" w:sz="14" w:color="2E74B5" w:space="5"/>
        </w:pBdr>
      </w:pPr>
      <w:r>
        <w:rPr>
          <w:b/>
          <w:color w:val="17365D"/>
        </w:rPr>
        <w:t xml:space="preserve">No copiar solo el EXE  </w:t>
      </w:r>
      <w:r>
        <w:t>El agente necesita las DLL, archivos JSON y el .env que acompañan al ejecutable.</w:t>
      </w:r>
    </w:p>
    <w:p>
      <w:pPr>
        <w:pStyle w:val="Heading1"/>
      </w:pPr>
      <w:r>
        <w:t>4. Configurar el archivo .env</w:t>
      </w:r>
    </w:p>
    <w:p>
      <w:r>
        <w:t>El archivo .env debe estar junto a monitor_access_agent_ms.exe. Nunca incluir contraseñas reales en manuales, correos o capturas.</w:t>
      </w:r>
    </w:p>
    <w:p>
      <w:pPr>
        <w:pStyle w:val="CodeBlock"/>
        <w:shd w:fill="F3F5F7"/>
        <w:pBdr>
          <w:left w:val="single" w:sz="14" w:color="2E74B5" w:space="5"/>
        </w:pBdr>
      </w:pPr>
      <w:r>
        <w:t>Monitor__IntervaloMinutos=1</w:t>
        <w:br/>
        <w:t>Monitor__ApiUrl=http://SERVIDOR_API:PUERTO/balanceApiUrl/monitor/heartbeat</w:t>
        <w:br/>
        <w:t>Monitor__VersionAgente=1.0.0</w:t>
        <w:br/>
        <w:t>Monitor__HttpTimeoutSeconds=30</w:t>
        <w:br/>
        <w:br/>
        <w:t># Primera base: NotaDiaria</w:t>
        <w:br/>
        <w:t>Monitor__FuentesAccess__0__AccessPath=C:\Sic3000\GESA\Sic3000.mdb</w:t>
        <w:br/>
        <w:t>Monitor__FuentesAccess__0__AccessPassword=</w:t>
        <w:br/>
        <w:t>Monitor__FuentesAccess__0__Tabla=NotaDiaria</w:t>
        <w:br/>
        <w:br/>
        <w:t># Segunda base crítica: Nota</w:t>
        <w:br/>
        <w:t>Monitor__FuentesAccess__0__FallbackAccessPath=\\SERVIDOR\Series3000\Sic3000\GESA\Sic3000.mdb</w:t>
        <w:br/>
        <w:t>Monitor__FuentesAccess__0__FallbackAccessPassword=CAMBIAR</w:t>
        <w:br/>
        <w:t>Monitor__FuentesAccess__0__FallbackTabla=Nota</w:t>
        <w:br/>
        <w:br/>
        <w:t># Punto</w:t>
        <w:br/>
        <w:t>Monitor__FuentesAccess__0__Puntos__0__CodigoPunto=ATU-CAJA 002-001</w:t>
        <w:br/>
        <w:t>Monitor__FuentesAccess__0__Puntos__0__IdEmisor=CAMBIAR</w:t>
        <w:br/>
        <w:t>Monitor__FuentesAccess__0__Puntos__0__Serie=002001</w:t>
        <w:br/>
        <w:t>Monitor__FuentesAccess__0__Puntos__0__Caja=001</w:t>
        <w:br/>
        <w:t>Monitor__FuentesAccess__0__Puntos__0__ApiKey=</w:t>
      </w:r>
    </w:p>
    <w:p>
      <w:pPr>
        <w:pStyle w:val="Heading2"/>
      </w:pPr>
      <w:r>
        <w:t>Significado de los identificadores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100"/>
        <w:gridCol w:w="5360"/>
      </w:tblGrid>
      <w:tr>
        <w:tc>
          <w:tcPr>
            <w:tcW w:type="dxa" w:w="1900"/>
            <w:shd w:fill="E8EEF5"/>
            <w:vAlign w:val="center"/>
          </w:tcPr>
          <w:p>
            <w:pPr>
              <w:spacing w:after="40"/>
            </w:pPr>
            <w:r>
              <w:rPr>
                <w:b/>
                <w:sz w:val="18"/>
              </w:rPr>
              <w:t>Parámetro</w:t>
            </w:r>
          </w:p>
        </w:tc>
        <w:tc>
          <w:tcPr>
            <w:tcW w:type="dxa" w:w="2100"/>
            <w:shd w:fill="E8EEF5"/>
            <w:vAlign w:val="center"/>
          </w:tcPr>
          <w:p>
            <w:pPr>
              <w:spacing w:after="40"/>
            </w:pPr>
            <w:r>
              <w:rPr>
                <w:b/>
                <w:sz w:val="18"/>
              </w:rPr>
              <w:t>Ejemplo</w:t>
            </w:r>
          </w:p>
        </w:tc>
        <w:tc>
          <w:tcPr>
            <w:tcW w:type="dxa" w:w="5360"/>
            <w:shd w:fill="E8EEF5"/>
            <w:vAlign w:val="center"/>
          </w:tcPr>
          <w:p>
            <w:pPr>
              <w:spacing w:after="40"/>
            </w:pPr>
            <w:r>
              <w:rPr>
                <w:b/>
                <w:sz w:val="18"/>
              </w:rPr>
              <w:t>Uso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sz w:val="18"/>
              </w:rPr>
              <w:t>CodigoPunto</w:t>
            </w:r>
          </w:p>
        </w:tc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sz w:val="18"/>
              </w:rPr>
              <w:t>ATU-CAJA 002-001</w:t>
            </w:r>
          </w:p>
        </w:tc>
        <w:tc>
          <w:tcPr>
            <w:tcW w:type="dxa" w:w="5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Nombre visible del punto.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sz w:val="18"/>
              </w:rPr>
              <w:t>IdEmisor</w:t>
            </w:r>
          </w:p>
        </w:tc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5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ID de DOCUMENTO_ESTADO; empata con Serie en el backend.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sz w:val="18"/>
              </w:rPr>
              <w:t>Serie</w:t>
            </w:r>
          </w:p>
        </w:tc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sz w:val="18"/>
              </w:rPr>
              <w:t>002001</w:t>
            </w:r>
          </w:p>
        </w:tc>
        <w:tc>
          <w:tcPr>
            <w:tcW w:type="dxa" w:w="5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Serie tributaria de seis dígitos.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sz w:val="18"/>
              </w:rPr>
              <w:t>Caja</w:t>
            </w:r>
          </w:p>
        </w:tc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sz w:val="18"/>
              </w:rPr>
              <w:t>001</w:t>
            </w:r>
          </w:p>
        </w:tc>
        <w:tc>
          <w:tcPr>
            <w:tcW w:type="dxa" w:w="5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Prefijo de numfac dentro del MDB.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sz w:val="18"/>
              </w:rPr>
              <w:t>ApiKey</w:t>
            </w:r>
          </w:p>
        </w:tc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sz w:val="18"/>
              </w:rPr>
              <w:t>[secreto]</w:t>
            </w:r>
          </w:p>
        </w:tc>
        <w:tc>
          <w:tcPr>
            <w:tcW w:type="dxa" w:w="5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Clave del punto cuando el backend la exige.</w:t>
            </w:r>
          </w:p>
        </w:tc>
      </w:tr>
    </w:tbl>
    <w:p>
      <w:pPr>
        <w:pStyle w:val="Heading2"/>
      </w:pPr>
      <w:r>
        <w:t>Varios puntos o estaciones</w:t>
      </w:r>
    </w:p>
    <w:p>
      <w:r>
        <w:t>Para otro punto en el mismo par de bases, agregar Puntos__1. Para otra estación o par de MDB, agregar FuentesAccess__1. No reutilizar IdEmisor + Serie entre puntos distintos.</w:t>
      </w:r>
    </w:p>
    <w:p>
      <w:pPr>
        <w:pStyle w:val="Heading1"/>
      </w:pPr>
      <w:r>
        <w:t>5. Validar antes de instalar</w:t>
      </w:r>
    </w:p>
    <w:p>
      <w:pPr>
        <w:pStyle w:val="ListNumber"/>
      </w:pPr>
      <w:r>
        <w:t>Comprobar el puerto del backend.</w:t>
      </w:r>
    </w:p>
    <w:p>
      <w:pPr>
        <w:pStyle w:val="CodeBlock"/>
        <w:shd w:fill="F3F5F7"/>
        <w:pBdr>
          <w:left w:val="single" w:sz="14" w:color="2E74B5" w:space="5"/>
        </w:pBdr>
      </w:pPr>
      <w:r>
        <w:t>Test-NetConnection SERVIDOR_API -Port PUERTO</w:t>
      </w:r>
    </w:p>
    <w:p>
      <w:pPr>
        <w:pStyle w:val="ListNumber"/>
      </w:pPr>
      <w:r>
        <w:t>Comprobar las rutas de las bases.</w:t>
      </w:r>
    </w:p>
    <w:p>
      <w:pPr>
        <w:pStyle w:val="CodeBlock"/>
        <w:shd w:fill="F3F5F7"/>
        <w:pBdr>
          <w:left w:val="single" w:sz="14" w:color="2E74B5" w:space="5"/>
        </w:pBdr>
      </w:pPr>
      <w:r>
        <w:t>Test-Path -LiteralPath 'C:\Sic3000\GESA\Sic3000.mdb'</w:t>
        <w:br/>
        <w:t>Test-Path -LiteralPath '\\SERVIDOR\Series3000\Sic3000\GESA\Sic3000.mdb'</w:t>
      </w:r>
    </w:p>
    <w:p>
      <w:pPr>
        <w:pStyle w:val="ListNumber"/>
      </w:pPr>
      <w:r>
        <w:t>Ejecutar un solo ciclo desde la carpeta del agente.</w:t>
      </w:r>
    </w:p>
    <w:p>
      <w:pPr>
        <w:pStyle w:val="CodeBlock"/>
        <w:shd w:fill="F3F5F7"/>
        <w:pBdr>
          <w:left w:val="single" w:sz="14" w:color="2E74B5" w:space="5"/>
        </w:pBdr>
      </w:pPr>
      <w:r>
        <w:t>cd C:\Sic3000\Agente\MonitorAccessAgent</w:t>
        <w:br/>
        <w:t>.\monitor_access_agent_ms.exe --once</w:t>
      </w:r>
    </w:p>
    <w:p>
      <w:r>
        <w:t>Resultado esperado:</w:t>
      </w:r>
    </w:p>
    <w:p>
      <w:pPr>
        <w:pStyle w:val="CodeBlock"/>
        <w:shd w:fill="F3F5F7"/>
        <w:pBdr>
          <w:left w:val="single" w:sz="14" w:color="2E74B5" w:space="5"/>
        </w:pBdr>
      </w:pPr>
      <w:r>
        <w:t>Access disponible. Documento 0010065928, secuencial 65928.</w:t>
        <w:br/>
        <w:t>Heartbeat enviado correctamente.</w:t>
      </w:r>
    </w:p>
    <w:p>
      <w:pPr>
        <w:spacing w:before="100" w:after="160"/>
        <w:shd w:fill="FCE4D6"/>
        <w:pBdr>
          <w:left w:val="single" w:sz="14" w:color="2E74B5" w:space="5"/>
        </w:pBdr>
      </w:pPr>
      <w:r>
        <w:rPr>
          <w:b/>
          <w:color w:val="17365D"/>
        </w:rPr>
        <w:t xml:space="preserve">No continuar  </w:t>
      </w:r>
      <w:r>
        <w:t>Si aparece 'falló la base crítica Nota', corregir primero la ruta UNC, contraseña de Access o permisos de red.</w:t>
      </w:r>
    </w:p>
    <w:p>
      <w:pPr>
        <w:pStyle w:val="Heading1"/>
      </w:pPr>
      <w:r>
        <w:t>6. Cuenta dedicada para acceso de red</w:t>
      </w:r>
    </w:p>
    <w:p>
      <w:r>
        <w:t>La cuenta recomendada es MonitorAgentSvc. Debe tener una contraseña segura y, en redes sin dominio, existir con el mismo nombre y contraseña en la caja y en SERVIDOR.</w:t>
      </w:r>
    </w:p>
    <w:p>
      <w:pPr>
        <w:pStyle w:val="Heading2"/>
      </w:pPr>
      <w:r>
        <w:t>Crear o actualizar en la caja</w:t>
      </w:r>
    </w:p>
    <w:p>
      <w:pPr>
        <w:pStyle w:val="CodeBlock"/>
        <w:shd w:fill="F3F5F7"/>
        <w:pBdr>
          <w:left w:val="single" w:sz="14" w:color="2E74B5" w:space="5"/>
        </w:pBdr>
      </w:pPr>
      <w:r>
        <w:t>$password = Read-Host 'Contraseña para MonitorAgentSvc' -AsSecureString</w:t>
        <w:br/>
        <w:br/>
        <w:t>if (Get-LocalUser MonitorAgentSvc -ErrorAction SilentlyContinue) {</w:t>
        <w:br/>
        <w:t xml:space="preserve">  Set-LocalUser -Name MonitorAgentSvc -Password $password `</w:t>
        <w:br/>
        <w:t xml:space="preserve">    -PasswordNeverExpires $true -UserMayChangePassword $false</w:t>
        <w:br/>
        <w:t>} else {</w:t>
        <w:br/>
        <w:t xml:space="preserve">  New-LocalUser -Name MonitorAgentSvc -Password $password `</w:t>
        <w:br/>
        <w:t xml:space="preserve">    -Description 'Cuenta del servicio GAP Monitor Access' `</w:t>
        <w:br/>
        <w:t xml:space="preserve">    -PasswordNeverExpires -UserMayNotChangePassword</w:t>
        <w:br/>
        <w:t>}</w:t>
      </w:r>
    </w:p>
    <w:p>
      <w:pPr>
        <w:pStyle w:val="Heading2"/>
      </w:pPr>
      <w:r>
        <w:t>Permisos locales</w:t>
      </w:r>
    </w:p>
    <w:p>
      <w:pPr>
        <w:pStyle w:val="CodeBlock"/>
        <w:shd w:fill="F3F5F7"/>
        <w:pBdr>
          <w:left w:val="single" w:sz="14" w:color="2E74B5" w:space="5"/>
        </w:pBdr>
      </w:pPr>
      <w:r>
        <w:t>icacls 'C:\Sic3000\Agente\MonitorAccessAgent' /grant 'MonitorAgentSvc:(OI)(CI)RX'</w:t>
        <w:br/>
        <w:t>icacls 'C:\Sic3000\GESA' /grant 'MonitorAgentSvc:(OI)(CI)M'</w:t>
      </w:r>
    </w:p>
    <w:p>
      <w:pPr>
        <w:pStyle w:val="Heading2"/>
      </w:pPr>
      <w:r>
        <w:t>Permisos en SERVIDOR</w:t>
      </w:r>
    </w:p>
    <w:p>
      <w:pPr>
        <w:pStyle w:val="ListBullet"/>
      </w:pPr>
      <w:r>
        <w:t>Crear MonitorAgentSvc con la misma contraseña o usar una cuenta de dominio administrada.</w:t>
      </w:r>
    </w:p>
    <w:p>
      <w:pPr>
        <w:pStyle w:val="ListBullet"/>
      </w:pPr>
      <w:r>
        <w:t>Conceder permiso Cambiar en el recurso compartido y Modificar en la carpeta física.</w:t>
      </w:r>
    </w:p>
    <w:p>
      <w:pPr>
        <w:pStyle w:val="ListBullet"/>
      </w:pPr>
      <w:r>
        <w:t>No guardar ni compartir la contraseña en texto, BAT, .env, capturas o chats.</w:t>
      </w:r>
    </w:p>
    <w:p>
      <w:pPr>
        <w:pStyle w:val="Heading1"/>
      </w:pPr>
      <w:r>
        <w:t>7. Instalar el servicio</w:t>
      </w:r>
    </w:p>
    <w:p>
      <w:r>
        <w:t>Método recomendado: copiar el BAT actualizado y ejecutarlo como administrador:</w:t>
      </w:r>
    </w:p>
    <w:p>
      <w:pPr>
        <w:pStyle w:val="CodeBlock"/>
        <w:shd w:fill="F3F5F7"/>
        <w:pBdr>
          <w:left w:val="single" w:sz="14" w:color="2E74B5" w:space="5"/>
        </w:pBdr>
      </w:pPr>
      <w:r>
        <w:t>Instalar_GAPMonitorAccessAgent_CuentaDedicada.bat</w:t>
      </w:r>
    </w:p>
    <w:p>
      <w:r>
        <w:t>El instalador valida el EXE y .env, crea o actualiza el servicio, solicita la contraseña sin mostrarla, asigna MonitorAgentSvc, configura recuperación e inicia el servicio.</w:t>
      </w:r>
    </w:p>
    <w:p>
      <w:pPr>
        <w:pStyle w:val="Heading2"/>
      </w:pPr>
      <w:r>
        <w:t>Instalación manual alternativa</w:t>
      </w:r>
    </w:p>
    <w:p>
      <w:pPr>
        <w:pStyle w:val="CodeBlock"/>
        <w:shd w:fill="F3F5F7"/>
        <w:pBdr>
          <w:left w:val="single" w:sz="14" w:color="2E74B5" w:space="5"/>
        </w:pBdr>
      </w:pPr>
      <w:r>
        <w:t>New-Service `</w:t>
        <w:br/>
        <w:t xml:space="preserve">  -Name 'GAPMonitorAccessAgent' `</w:t>
        <w:br/>
        <w:t xml:space="preserve">  -DisplayName 'GAP Monitor Access Agent' `</w:t>
        <w:br/>
        <w:t xml:space="preserve">  -BinaryPathName '"C:\Sic3000\Agente\MonitorAccessAgent\monitor_access_agent_ms.exe"' `</w:t>
        <w:br/>
        <w:t xml:space="preserve">  -StartupType Automatic</w:t>
      </w:r>
    </w:p>
    <w:p>
      <w:r>
        <w:t>Después, en services.msc, abrir Propiedades &gt; Iniciar sesión, seleccionar Esta cuenta y configurar .\MonitorAgentSvc. No incluir --once en el servicio.</w:t>
      </w:r>
    </w:p>
    <w:p>
      <w:pPr>
        <w:pStyle w:val="CodeBlock"/>
        <w:shd w:fill="F3F5F7"/>
        <w:pBdr>
          <w:left w:val="single" w:sz="14" w:color="2E74B5" w:space="5"/>
        </w:pBdr>
      </w:pPr>
      <w:r>
        <w:t>sc.exe failure GAPMonitorAccessAgent reset= 86400 actions= restart/60000/restart/60000/restart/60000</w:t>
        <w:br/>
        <w:t>sc.exe failureflag GAPMonitorAccessAgent 1</w:t>
      </w:r>
    </w:p>
    <w:p>
      <w:pPr>
        <w:pStyle w:val="Heading1"/>
      </w:pPr>
      <w:r>
        <w:t>8. Verificación del servicio</w:t>
      </w:r>
    </w:p>
    <w:p>
      <w:pPr>
        <w:pStyle w:val="CodeBlock"/>
        <w:shd w:fill="F3F5F7"/>
        <w:pBdr>
          <w:left w:val="single" w:sz="14" w:color="2E74B5" w:space="5"/>
        </w:pBdr>
      </w:pPr>
      <w:r>
        <w:t>Get-Service GAPMonitorAccessAgent</w:t>
        <w:br/>
        <w:br/>
        <w:t>Get-CimInstance Win32_Service -Filter "Name='GAPMonitorAccessAgent'" |</w:t>
        <w:br/>
        <w:t xml:space="preserve">  Select-Object State, StartMode, StartName, PathName</w:t>
      </w:r>
    </w:p>
    <w:p>
      <w:r>
        <w:t>Valores esperados:</w:t>
      </w:r>
    </w:p>
    <w:p>
      <w:pPr>
        <w:pStyle w:val="CodeBlock"/>
        <w:shd w:fill="F3F5F7"/>
        <w:pBdr>
          <w:left w:val="single" w:sz="14" w:color="2E74B5" w:space="5"/>
        </w:pBdr>
      </w:pPr>
      <w:r>
        <w:t>State     : Running</w:t>
        <w:br/>
        <w:t>StartMode : Auto</w:t>
        <w:br/>
        <w:t>StartName : .\MonitorAgentSvc</w:t>
      </w:r>
    </w:p>
    <w:p>
      <w:pPr>
        <w:pStyle w:val="ListBullet"/>
      </w:pPr>
      <w:r>
        <w:t>Esperar uno o dos minutos y confirmar que Última respuesta cambia en el frontend.</w:t>
      </w:r>
    </w:p>
    <w:p>
      <w:pPr>
        <w:pStyle w:val="ListBullet"/>
      </w:pPr>
      <w:r>
        <w:t>Confirmar Conectividad activa y que el secuencial emitido coincide con Access.</w:t>
      </w:r>
    </w:p>
    <w:p>
      <w:pPr>
        <w:pStyle w:val="ListBullet"/>
      </w:pPr>
      <w:r>
        <w:t>No ejecutar manualmente el EXE mientras el servicio esté activo: produciría heartbeats duplicados.</w:t>
      </w:r>
    </w:p>
    <w:p>
      <w:pPr>
        <w:pStyle w:val="Heading2"/>
      </w:pPr>
      <w:r>
        <w:t>Prueba de arranque</w:t>
      </w:r>
    </w:p>
    <w:p>
      <w:r>
        <w:t>Cuando sea seguro reiniciar la caja, reiniciar Windows. El servicio debe quedar Running y el heartbeat debe reaparecer sin abrir PowerShell.</w:t>
      </w:r>
    </w:p>
    <w:p>
      <w:pPr>
        <w:pStyle w:val="Heading1"/>
      </w:pPr>
      <w:r>
        <w:t>9. Comandos de operación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c>
          <w:tcPr>
            <w:tcW w:type="dxa" w:w="2100"/>
            <w:shd w:fill="E8EEF5"/>
            <w:vAlign w:val="center"/>
          </w:tcPr>
          <w:p>
            <w:pPr>
              <w:spacing w:after="40"/>
            </w:pPr>
            <w:r>
              <w:rPr>
                <w:b/>
                <w:sz w:val="18"/>
              </w:rPr>
              <w:t>Acción</w:t>
            </w:r>
          </w:p>
        </w:tc>
        <w:tc>
          <w:tcPr>
            <w:tcW w:type="dxa" w:w="7260"/>
            <w:shd w:fill="E8EEF5"/>
            <w:vAlign w:val="center"/>
          </w:tcPr>
          <w:p>
            <w:pPr>
              <w:spacing w:after="40"/>
            </w:pPr>
            <w:r>
              <w:rPr>
                <w:b/>
                <w:sz w:val="18"/>
              </w:rPr>
              <w:t>Comando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sz w:val="18"/>
              </w:rPr>
              <w:t>Ver estado</w:t>
            </w:r>
          </w:p>
        </w:tc>
        <w:tc>
          <w:tcPr>
            <w:tcW w:type="dxa" w:w="7260"/>
            <w:vAlign w:val="center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Get-Service GAPMonitorAccessAgent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sz w:val="18"/>
              </w:rPr>
              <w:t>Iniciar</w:t>
            </w:r>
          </w:p>
        </w:tc>
        <w:tc>
          <w:tcPr>
            <w:tcW w:type="dxa" w:w="7260"/>
            <w:vAlign w:val="center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Start-Service GAPMonitorAccessAgent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sz w:val="18"/>
              </w:rPr>
              <w:t>Detener</w:t>
            </w:r>
          </w:p>
        </w:tc>
        <w:tc>
          <w:tcPr>
            <w:tcW w:type="dxa" w:w="7260"/>
            <w:vAlign w:val="center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Stop-Service GAPMonitorAccessAgent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sz w:val="18"/>
              </w:rPr>
              <w:t>Reiniciar</w:t>
            </w:r>
          </w:p>
        </w:tc>
        <w:tc>
          <w:tcPr>
            <w:tcW w:type="dxa" w:w="7260"/>
            <w:vAlign w:val="center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Restart-Service GAPMonitorAccessAgent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sz w:val="18"/>
              </w:rPr>
              <w:t>Ver configuración</w:t>
            </w:r>
          </w:p>
        </w:tc>
        <w:tc>
          <w:tcPr>
            <w:tcW w:type="dxa" w:w="7260"/>
            <w:vAlign w:val="center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sc.exe qc GAPMonitorAccessAgent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sz w:val="18"/>
              </w:rPr>
              <w:t>Ver recuperación</w:t>
            </w:r>
          </w:p>
        </w:tc>
        <w:tc>
          <w:tcPr>
            <w:tcW w:type="dxa" w:w="7260"/>
            <w:vAlign w:val="center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sc.exe qfailure GAPMonitorAccessAgent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sz w:val="18"/>
              </w:rPr>
              <w:t>Eliminar</w:t>
            </w:r>
          </w:p>
        </w:tc>
        <w:tc>
          <w:tcPr>
            <w:tcW w:type="dxa" w:w="7260"/>
            <w:vAlign w:val="center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Stop-Service GAPMonitorAccessAgent; sc.exe delete GAPMonitorAccessAgent</w:t>
            </w:r>
          </w:p>
        </w:tc>
      </w:tr>
    </w:tbl>
    <w:p>
      <w:pPr>
        <w:pStyle w:val="Heading2"/>
      </w:pPr>
      <w:r>
        <w:t>Actualizar configuración o binarios</w:t>
      </w:r>
    </w:p>
    <w:p>
      <w:pPr>
        <w:pStyle w:val="ListBullet"/>
      </w:pPr>
      <w:r>
        <w:t>Detener el servicio.</w:t>
      </w:r>
    </w:p>
    <w:p>
      <w:pPr>
        <w:pStyle w:val="ListBullet"/>
      </w:pPr>
      <w:r>
        <w:t>Respaldar el .env.</w:t>
      </w:r>
    </w:p>
    <w:p>
      <w:pPr>
        <w:pStyle w:val="ListBullet"/>
      </w:pPr>
      <w:r>
        <w:t>Reemplazar todos los archivos publicados o editar el .env.</w:t>
      </w:r>
    </w:p>
    <w:p>
      <w:pPr>
        <w:pStyle w:val="ListBullet"/>
      </w:pPr>
      <w:r>
        <w:t>Iniciar el servicio y verificar el frontend.</w:t>
      </w:r>
    </w:p>
    <w:p>
      <w:pPr>
        <w:pStyle w:val="CodeBlock"/>
        <w:shd w:fill="F3F5F7"/>
        <w:pBdr>
          <w:left w:val="single" w:sz="14" w:color="2E74B5" w:space="5"/>
        </w:pBdr>
      </w:pPr>
      <w:r>
        <w:t>Stop-Service GAPMonitorAccessAgent</w:t>
        <w:br/>
        <w:t># actualizar archivos o .env</w:t>
        <w:br/>
        <w:t>Start-Service GAPMonitorAccessAgent</w:t>
      </w:r>
    </w:p>
    <w:p>
      <w:pPr>
        <w:pStyle w:val="Heading1"/>
      </w:pPr>
      <w:r>
        <w:t>10. Diagnóstico rápido</w:t>
      </w:r>
    </w:p>
    <w:p>
      <w:pPr>
        <w:spacing w:after="100"/>
      </w:pPr>
      <w:r>
        <w:rPr>
          <w:b/>
          <w:color w:val="17365D"/>
        </w:rPr>
        <w:t xml:space="preserve">Proveedor ACE no registrado: </w:t>
      </w:r>
      <w:r>
        <w:t>Usar publicación win-x86. El agente intenta ACE 16, ACE 12 y Jet 4.0. Instalar Access Runtime x86 si ninguno existe.</w:t>
      </w:r>
    </w:p>
    <w:p>
      <w:pPr>
        <w:spacing w:after="100"/>
      </w:pPr>
      <w:r>
        <w:rPr>
          <w:b/>
          <w:color w:val="17365D"/>
        </w:rPr>
        <w:t xml:space="preserve">No se encontró la base: </w:t>
      </w:r>
      <w:r>
        <w:t>Comprobar Test-Path y corregir AccessPath. Para red usar \\SERVIDOR\Recurso, no F:.</w:t>
      </w:r>
    </w:p>
    <w:p>
      <w:pPr>
        <w:spacing w:after="100"/>
      </w:pPr>
      <w:r>
        <w:rPr>
          <w:b/>
          <w:color w:val="17365D"/>
        </w:rPr>
        <w:t xml:space="preserve">Manual funciona, servicio falla: </w:t>
      </w:r>
      <w:r>
        <w:t>Comprobar StartName. El servicio debe usar MonitorAgentSvc con permisos locales y de red.</w:t>
      </w:r>
    </w:p>
    <w:p>
      <w:pPr>
        <w:spacing w:after="100"/>
      </w:pPr>
      <w:r>
        <w:rPr>
          <w:b/>
          <w:color w:val="17365D"/>
        </w:rPr>
        <w:t xml:space="preserve">Error 1069 al iniciar: </w:t>
      </w:r>
      <w:r>
        <w:t>Volver a escribir la contraseña en services.msc &gt; Iniciar sesión y revisar el derecho de inicio como servicio.</w:t>
      </w:r>
    </w:p>
    <w:p>
      <w:pPr>
        <w:spacing w:after="100"/>
      </w:pPr>
      <w:r>
        <w:rPr>
          <w:b/>
          <w:color w:val="17365D"/>
        </w:rPr>
        <w:t xml:space="preserve">Error 1067 al iniciar: </w:t>
      </w:r>
      <w:r>
        <w:t>Revisar .env y el Visor de eventos de Windows; suele ser configuración inválida.</w:t>
      </w:r>
    </w:p>
    <w:p>
      <w:pPr>
        <w:spacing w:after="100"/>
      </w:pPr>
      <w:r>
        <w:rPr>
          <w:b/>
          <w:color w:val="17365D"/>
        </w:rPr>
        <w:t xml:space="preserve">HTTP rechazado: </w:t>
      </w:r>
      <w:r>
        <w:t>Comprobar ApiUrl y Test-NetConnection. Verificar firewall, NAT y que el backend esté activo.</w:t>
      </w:r>
    </w:p>
    <w:p>
      <w:pPr>
        <w:spacing w:after="100"/>
      </w:pPr>
      <w:r>
        <w:rPr>
          <w:b/>
          <w:color w:val="17365D"/>
        </w:rPr>
        <w:t xml:space="preserve">Frontend conserva Error Access: </w:t>
      </w:r>
      <w:r>
        <w:t>Detener procesos duplicados, reiniciar el servicio y comprobar que Última respuesta se actualice.</w:t>
      </w:r>
    </w:p>
    <w:p>
      <w:pPr>
        <w:pStyle w:val="Heading2"/>
      </w:pPr>
      <w:r>
        <w:t>Consultar eventos recientes</w:t>
      </w:r>
    </w:p>
    <w:p>
      <w:pPr>
        <w:pStyle w:val="CodeBlock"/>
        <w:shd w:fill="F3F5F7"/>
        <w:pBdr>
          <w:left w:val="single" w:sz="14" w:color="2E74B5" w:space="5"/>
        </w:pBdr>
      </w:pPr>
      <w:r>
        <w:t>Get-WinEvent -FilterHashtable @{</w:t>
        <w:br/>
        <w:t xml:space="preserve">  LogName='Application'</w:t>
        <w:br/>
        <w:t xml:space="preserve">  StartTime=(Get-Date).AddMinutes(-15)</w:t>
        <w:br/>
        <w:t>} | Where-Object { $_.LevelDisplayName -eq 'Error' } |</w:t>
        <w:br/>
        <w:t xml:space="preserve">  Select-Object -First 10 TimeCreated,ProviderName,Message | Format-List</w:t>
      </w:r>
    </w:p>
    <w:p>
      <w:pPr>
        <w:pStyle w:val="Heading1"/>
      </w:pPr>
      <w:r>
        <w:t>11. Lista final de puesta en producción</w:t>
      </w:r>
    </w:p>
    <w:p>
      <w:pPr>
        <w:pStyle w:val="ListBullet"/>
      </w:pPr>
      <w:r>
        <w:t>☐ Toda la publicación está en C:\Sic3000\Agente\MonitorAccessAgent.</w:t>
      </w:r>
    </w:p>
    <w:p>
      <w:pPr>
        <w:pStyle w:val="ListBullet"/>
      </w:pPr>
      <w:r>
        <w:t>☐ El .env contiene ApiUrl, IdEmisor, Serie, Caja y rutas correctas.</w:t>
      </w:r>
    </w:p>
    <w:p>
      <w:pPr>
        <w:pStyle w:val="ListBullet"/>
      </w:pPr>
      <w:r>
        <w:t>☐ NotaDiaria apunta a la primera base y Nota a la base crítica.</w:t>
      </w:r>
    </w:p>
    <w:p>
      <w:pPr>
        <w:pStyle w:val="ListBullet"/>
      </w:pPr>
      <w:r>
        <w:t>☐ Las rutas de red usan formato UNC con dos barras iniciales.</w:t>
      </w:r>
    </w:p>
    <w:p>
      <w:pPr>
        <w:pStyle w:val="ListBullet"/>
      </w:pPr>
      <w:r>
        <w:t>☐ MonitorAgentSvc existe, tiene contraseña segura y permisos requeridos.</w:t>
      </w:r>
    </w:p>
    <w:p>
      <w:pPr>
        <w:pStyle w:val="ListBullet"/>
      </w:pPr>
      <w:r>
        <w:t>☐ La ejecución --once muestra Access disponible y heartbeat correcto.</w:t>
      </w:r>
    </w:p>
    <w:p>
      <w:pPr>
        <w:pStyle w:val="ListBullet"/>
      </w:pPr>
      <w:r>
        <w:t>☐ El servicio está Running, Automatic y usa MonitorAgentSvc.</w:t>
      </w:r>
    </w:p>
    <w:p>
      <w:pPr>
        <w:pStyle w:val="ListBullet"/>
      </w:pPr>
      <w:r>
        <w:t>☐ El frontend actualiza la última respuesta y muestra los secuenciales.</w:t>
      </w:r>
    </w:p>
    <w:p>
      <w:pPr>
        <w:pStyle w:val="ListBullet"/>
      </w:pPr>
      <w:r>
        <w:t>☐ Después de reiniciar Windows, el heartbeat vuelve sin intervención manual.</w:t>
      </w:r>
    </w:p>
    <w:p>
      <w:pPr>
        <w:spacing w:before="100" w:after="160"/>
        <w:shd w:fill="E2F0D9"/>
        <w:pBdr>
          <w:left w:val="single" w:sz="14" w:color="2E74B5" w:space="5"/>
        </w:pBdr>
      </w:pPr>
      <w:r>
        <w:rPr>
          <w:b/>
          <w:color w:val="17365D"/>
        </w:rPr>
        <w:t xml:space="preserve">Criterio de cierre  </w:t>
      </w:r>
      <w:r>
        <w:t>La estación está lista cuando el servicio inicia con Windows, ambas bases pueden consultarse, el frontend recibe heartbeats periódicos y una falla de Nota genera Error de Access.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38" w:bottom="1123" w:left="1238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6666"/>
        <w:sz w:val="16"/>
      </w:rPr>
      <w:t>GAP SYSTEMS  |  OPERACIÓN DE MONITOREO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47" w:hanging="274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47" w:hanging="274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40" w:line="240" w:lineRule="auto"/>
      <w:ind w:left="230" w:right="144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instalación y operación - GAP Monitor Access Agent</dc:title>
  <dc:subject>Instalación, configuración, servicio Windows y diagnóstico</dc:subject>
  <dc:creator>GAP Systems</dc:creator>
  <cp:keywords>GAP, Sic3000, Access, Windows Service, Monitor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