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F4E79"/>
          <w:sz w:val="56"/>
          <w:szCs w:val="56"/>
        </w:rPr>
        <w:t xml:space="preserve">Integración API</w:t>
      </w:r>
    </w:p>
    <w:p>
      <w:pPr>
        <w:spacing w:after="600"/>
        <w:jc w:val="center"/>
      </w:pPr>
      <w:r>
        <w:rPr>
          <w:b/>
          <w:bCs/>
          <w:sz w:val="40"/>
          <w:szCs w:val="40"/>
        </w:rPr>
        <w:t xml:space="preserve">SpiMixer ↔ Wincampo</w:t>
      </w:r>
    </w:p>
    <w:p>
      <w:pPr>
        <w:jc w:val="center"/>
      </w:pPr>
      <w:r>
        <w:rPr>
          <w:color w:val="555555"/>
          <w:sz w:val="24"/>
          <w:szCs w:val="24"/>
        </w:rPr>
        <w:t xml:space="preserve">Documentación técnica de la API REST</w:t>
      </w:r>
    </w:p>
    <w:p>
      <w:pPr>
        <w:spacing w:before="100"/>
        <w:jc w:val="center"/>
      </w:pPr>
      <w:r>
        <w:rPr>
          <w:color w:val="555555"/>
          <w:sz w:val="22"/>
          <w:szCs w:val="22"/>
        </w:rPr>
        <w:t xml:space="preserve">Versión 1.0</w:t>
      </w:r>
    </w:p>
    <w:p>
      <w:r>
        <w:br w:type="page"/>
      </w:r>
    </w:p>
    <w:p>
      <w:pPr>
        <w:pStyle w:val="Heading1"/>
      </w:pPr>
      <w:r>
        <w:t xml:space="preserve">Tabla de contenidos</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Introducción y alcance</w:t>
      </w:r>
    </w:p>
    <w:p>
      <w:pPr>
        <w:spacing w:after="120"/>
      </w:pPr>
      <w:r>
        <w:t xml:space="preserve">SpiMixer es el sistema operativo de dosificación de alimentos para feedlots, tambos y establecimientos ganaderos en general. Su hardware y software controlan al mixer: qué alimentos mezclar, en qué proporción, y cuánto descargar en cada corral. SpiMixer NO administra los recursos del establecimiento (usuarios, inventario, planificación, seguimiento de animales): esa función la cumplen softwares de gestión de terceros, como Wincampo.</w:t>
      </w:r>
    </w:p>
    <w:p>
      <w:pPr>
        <w:spacing w:after="120"/>
      </w:pPr>
      <w:r>
        <w:t xml:space="preserve">Esta API permite que Wincampo sincronice con SpiMixer las entidades necesarias para operar el mixer (usuarios, productos, corrales, dietas y rondas), y luego consulte los reportes de ejecución una vez que el mixer llevó a cabo la dosificación física.</w:t>
      </w:r>
    </w:p>
    <w:p>
      <w:pPr>
        <w:pStyle w:val="Heading2"/>
      </w:pPr>
      <w:r>
        <w:t xml:space="preserve">1.1. Responsabilidades de cada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800"/>
        <w:gridCol w:w="47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Campo</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Tipo</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Oblig.</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Descripción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Wincampo (tercero)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Gestión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Crea y administra usuarios, productos, corrales, dietas y rondas. Define qué se debe mezclar y dónde descargar. Consulta reportes de lo ejecutado.</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SpiMixer (este sistema)</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Operación</w:t>
            </w:r>
          </w:p>
        </w:tc>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Recibe las entidades desde Wincampo, las persiste en la base de datos del tenant, ejecuta físicamente la mezcla y descarga vía el mixer, y registra el progreso real (round_run).</w:t>
            </w:r>
          </w:p>
        </w:tc>
      </w:tr>
    </w:tbl>
    <w:p>
      <w:pPr>
        <w:pStyle w:val="Heading2"/>
      </w:pPr>
      <w:r>
        <w:t xml:space="preserve">1.2. Modelo conceptual: dieta, ronda y corrales</w:t>
      </w:r>
    </w:p>
    <w:p>
      <w:pPr>
        <w:spacing w:after="120"/>
      </w:pPr>
      <w:r>
        <w:t xml:space="preserve">Una Dieta (Diet) define la fórmula de mezcla: qué productos (Product) se combinan y en qué proporción (tabla Diet_product, con peso y porcentaje por producto). Una Ronda (Round) asocia una dieta a una lista ordenada de corrales (tabla Round_corral) donde hay que descargar la mezcla, cada uno con un peso objetivo.</w:t>
      </w:r>
    </w:p>
    <w:p>
      <w:pPr>
        <w:spacing w:after="120"/>
      </w:pPr>
      <w:r>
        <w:t xml:space="preserve">El peso total de la mezcla a preparar es igual a la suma de los pesos de descarga de todos los corrales de la ronda. Por ejemplo: si la dieta es alfalfa y agua en proporciones iguales (50%/50%), y hay que descargar 100 kg en cada uno de 3 corrales (300 kg en total), el mixer debe preparar una mezcla de 150 kg de alfalfa y 150 kg de agua.</w:t>
      </w:r>
    </w:p>
    <w:p>
      <w:pPr>
        <w:spacing w:after="120"/>
      </w:pPr>
      <w:r>
        <w:t xml:space="preserve">Cuando el mixer ejecuta una ronda, SpiMixer genera un Round_run (la ejecución concreta), con el detalle de carga real por producto (Round_run_progress_load) y de descarga real por corral (Round_run_progress_download). Estos datos son los que se exponen en el endpoint de reportes.</w:t>
      </w:r>
    </w:p>
    <w:p>
      <w:pPr>
        <w:pStyle w:val="Heading2"/>
      </w:pPr>
      <w:r>
        <w:t xml:space="preserve">1.3. Identificadores y multi-tenant</w:t>
      </w:r>
    </w:p>
    <w:p>
      <w:pPr>
        <w:spacing w:after="120"/>
      </w:pPr>
      <w:r>
        <w:t xml:space="preserve">SpiMixer es multi-tenant: cada cliente tiene su propia base de datos. El tenant se resuelve a partir del usuario autenticado (campo code_client en la tabla user), no se envía explícitamente en cada request.</w:t>
      </w:r>
    </w:p>
    <w:p>
      <w:pPr>
        <w:spacing w:after="120"/>
      </w:pPr>
      <w:r>
        <w:t xml:space="preserve">Todas las entidades sincronizables (user, product, corral, diet, round) tienen un campo ext_key que almacena el identificador ("codigo") que usa Wincampo. Es la clave de correlación entre ambos sistemas: Wincampo siempre identifica sus entidades por codigo, nunca por el id interno de SpiMixer.</w:t>
      </w:r>
    </w:p>
    <w:p>
      <w:r>
        <w:br w:type="page"/>
      </w:r>
    </w:p>
    <w:p>
      <w:pPr>
        <w:pStyle w:val="Heading1"/>
      </w:pPr>
      <w:r>
        <w:t xml:space="preserve">2. Autenticación</w:t>
      </w:r>
    </w:p>
    <w:p>
      <w:pPr>
        <w:spacing w:after="120"/>
      </w:pPr>
      <w:r>
        <w:t xml:space="preserve">La API utiliza autenticación por token JWT. Wincampo debe contar con un usuario de integración creado en SpiMixer con rol API (code_role = ROLE_API). Ese usuario se autentica una vez para obtener el token, y luego ese token se envía en cada request a los endpoints de /api/wincampo.</w:t>
      </w:r>
    </w:p>
    <w:p>
      <w:pPr>
        <w:pStyle w:val="Heading2"/>
      </w:pPr>
      <w:r>
        <w:t xml:space="preserve">2.1. Obtener token de acceso</w:t>
      </w:r>
    </w:p>
    <w:p>
      <w:pPr>
        <w:spacing w:after="160"/>
      </w:pPr>
      <w:r>
        <w:rPr>
          <w:rFonts w:ascii="Consolas" w:cs="Consolas" w:eastAsia="Consolas" w:hAnsi="Consolas"/>
          <w:b/>
          <w:bCs/>
          <w:color w:val="1F4E79"/>
        </w:rPr>
        <w:t xml:space="preserve">POST </w:t>
      </w:r>
      <w:r>
        <w:rPr>
          <w:rFonts w:ascii="Consolas" w:cs="Consolas" w:eastAsia="Consolas" w:hAnsi="Consolas"/>
          <w:b/>
          <w:bCs/>
        </w:rPr>
        <w:t xml:space="preserve">/api/users/auth</w:t>
      </w:r>
    </w:p>
    <w:p>
      <w:pPr>
        <w:spacing w:after="120"/>
      </w:pPr>
      <w:r>
        <w:t xml:space="preserve">Login del usuario de integración. Devuelve un JWT (accessToken) que debe usarse como header access-token en todos los endpoints de Wincampo.</w:t>
      </w:r>
    </w:p>
    <w:p>
      <w:pPr>
        <w:pStyle w:val="Heading3"/>
      </w:pPr>
      <w:r>
        <w:t xml:space="preserve">Request</w:t>
      </w:r>
    </w:p>
    <w:p>
      <w:pPr>
        <w:shd w:fill="F4F4F4" w:val="clear"/>
        <w:spacing w:after="160" w:before="60"/>
      </w:pPr>
      <w:r>
        <w:rPr>
          <w:rFonts w:ascii="Consolas" w:cs="Consolas" w:eastAsia="Consolas" w:hAnsi="Consolas"/>
          <w:sz w:val="19"/>
          <w:szCs w:val="19"/>
        </w:rPr>
        <w:t xml:space="preserve">{</w:t>
      </w:r>
      <w:r>
        <w:rPr>
          <w:rFonts w:ascii="Consolas" w:cs="Consolas" w:eastAsia="Consolas" w:hAnsi="Consolas"/>
          <w:sz w:val="19"/>
          <w:szCs w:val="19"/>
        </w:rPr>
        <w:br/>
        <w:t xml:space="preserve">  "username": "usuario_integracion",</w:t>
      </w:r>
      <w:r>
        <w:rPr>
          <w:rFonts w:ascii="Consolas" w:cs="Consolas" w:eastAsia="Consolas" w:hAnsi="Consolas"/>
          <w:sz w:val="19"/>
          <w:szCs w:val="19"/>
        </w:rPr>
        <w:br/>
        <w:t xml:space="preserve">  "password": "********"</w:t>
      </w:r>
      <w:r>
        <w:rPr>
          <w:rFonts w:ascii="Consolas" w:cs="Consolas" w:eastAsia="Consolas" w:hAnsi="Consolas"/>
          <w:sz w:val="19"/>
          <w:szCs w:val="19"/>
        </w:rPr>
        <w:br/>
        <w:t xml:space="preserve">}</w:t>
      </w:r>
    </w:p>
    <w:p>
      <w:pPr>
        <w:pStyle w:val="Heading3"/>
      </w:pPr>
      <w:r>
        <w:t xml:space="preserve">Response</w:t>
      </w:r>
    </w:p>
    <w:p>
      <w:pPr>
        <w:shd w:fill="F4F4F4" w:val="clear"/>
        <w:spacing w:after="160" w:before="60"/>
      </w:pPr>
      <w:r>
        <w:rPr>
          <w:rFonts w:ascii="Consolas" w:cs="Consolas" w:eastAsia="Consolas" w:hAnsi="Consolas"/>
          <w:sz w:val="19"/>
          <w:szCs w:val="19"/>
        </w:rPr>
        <w:t xml:space="preserve">{</w:t>
      </w:r>
      <w:r>
        <w:rPr>
          <w:rFonts w:ascii="Consolas" w:cs="Consolas" w:eastAsia="Consolas" w:hAnsi="Consolas"/>
          <w:sz w:val="19"/>
          <w:szCs w:val="19"/>
        </w:rPr>
        <w:br/>
        <w:t xml:space="preserve">  "id": 12,</w:t>
      </w:r>
      <w:r>
        <w:rPr>
          <w:rFonts w:ascii="Consolas" w:cs="Consolas" w:eastAsia="Consolas" w:hAnsi="Consolas"/>
          <w:sz w:val="19"/>
          <w:szCs w:val="19"/>
        </w:rPr>
        <w:br/>
        <w:t xml:space="preserve">  "username": "usuario_integracion",</w:t>
      </w:r>
      <w:r>
        <w:rPr>
          <w:rFonts w:ascii="Consolas" w:cs="Consolas" w:eastAsia="Consolas" w:hAnsi="Consolas"/>
          <w:sz w:val="19"/>
          <w:szCs w:val="19"/>
        </w:rPr>
        <w:br/>
        <w:t xml:space="preserve">  "name": "...",</w:t>
      </w:r>
      <w:r>
        <w:rPr>
          <w:rFonts w:ascii="Consolas" w:cs="Consolas" w:eastAsia="Consolas" w:hAnsi="Consolas"/>
          <w:sz w:val="19"/>
          <w:szCs w:val="19"/>
        </w:rPr>
        <w:br/>
        <w:t xml:space="preserve">  "lastname": "...",</w:t>
      </w:r>
      <w:r>
        <w:rPr>
          <w:rFonts w:ascii="Consolas" w:cs="Consolas" w:eastAsia="Consolas" w:hAnsi="Consolas"/>
          <w:sz w:val="19"/>
          <w:szCs w:val="19"/>
        </w:rPr>
        <w:br/>
        <w:t xml:space="preserve">  "role": { "code": 6, "description": "API" },</w:t>
      </w:r>
      <w:r>
        <w:rPr>
          <w:rFonts w:ascii="Consolas" w:cs="Consolas" w:eastAsia="Consolas" w:hAnsi="Consolas"/>
          <w:sz w:val="19"/>
          <w:szCs w:val="19"/>
        </w:rPr>
        <w:br/>
        <w:t xml:space="preserve">  "accessToken": "eyJhbGciOiJIUzI1NiIsInR5cCI6IkpXVCJ9...",</w:t>
      </w:r>
      <w:r>
        <w:rPr>
          <w:rFonts w:ascii="Consolas" w:cs="Consolas" w:eastAsia="Consolas" w:hAnsi="Consolas"/>
          <w:sz w:val="19"/>
          <w:szCs w:val="19"/>
        </w:rPr>
        <w:br/>
        <w:t xml:space="preserve">  "version": "..."</w:t>
      </w:r>
      <w:r>
        <w:rPr>
          <w:rFonts w:ascii="Consolas" w:cs="Consolas" w:eastAsia="Consolas" w:hAnsi="Consolas"/>
          <w:sz w:val="19"/>
          <w:szCs w:val="19"/>
        </w:rPr>
        <w:br/>
        <w:t xml:space="preserve">}</w:t>
      </w:r>
    </w:p>
    <w:p>
      <w:pPr>
        <w:pStyle w:val="Heading3"/>
      </w:pPr>
      <w:r>
        <w:t xml:space="preserve">Notas de comportamiento</w:t>
      </w:r>
    </w:p>
    <w:p>
      <w:pPr>
        <w:pStyle w:val="ListParagraph"/>
        <w:numPr>
          <w:ilvl w:val="0"/>
          <w:numId w:val="2"/>
        </w:numPr>
        <w:spacing w:after="60"/>
      </w:pPr>
      <w:r>
        <w:t xml:space="preserve">El JWT incluye el rol, el username y el codeClient del usuario. El codeClient embebido es el que determina sobre qué base de datos (tenant) se ejecutan todas las operaciones de Wincampo.</w:t>
      </w:r>
    </w:p>
    <w:p>
      <w:pPr>
        <w:pStyle w:val="ListParagraph"/>
        <w:numPr>
          <w:ilvl w:val="0"/>
          <w:numId w:val="2"/>
        </w:numPr>
        <w:spacing w:after="60"/>
      </w:pPr>
      <w:r>
        <w:t xml:space="preserve">El token no tiene expiración configurada explícitamente en el código actual; debe tratarse como credencial sensible y no compartirse fuera del backend de Wincampo.</w:t>
      </w:r>
    </w:p>
    <w:p>
      <w:pPr>
        <w:pStyle w:val="ListParagraph"/>
        <w:numPr>
          <w:ilvl w:val="0"/>
          <w:numId w:val="2"/>
        </w:numPr>
        <w:spacing w:after="60"/>
      </w:pPr>
      <w:r>
        <w:t xml:space="preserve">Si las credenciales son inválidas, la respuesta es 403 con { code: 1 } (usuario no encontrado) o { code: 2 } (contraseña incorrecta).</w:t>
      </w:r>
    </w:p>
    <w:p>
      <w:pPr>
        <w:spacing w:after="200"/>
      </w:pPr>
    </w:p>
    <w:p>
      <w:pPr>
        <w:pStyle w:val="Heading2"/>
      </w:pPr>
      <w:r>
        <w:t xml:space="preserve">2.2. Uso del token</w:t>
      </w:r>
    </w:p>
    <w:p>
      <w:pPr>
        <w:spacing w:after="120"/>
      </w:pPr>
      <w:r>
        <w:t xml:space="preserve">Todos los endpoints bajo /api/wincampo requieren el header:</w:t>
      </w:r>
    </w:p>
    <w:p>
      <w:pPr>
        <w:shd w:fill="F4F4F4" w:val="clear"/>
        <w:spacing w:after="160" w:before="60"/>
      </w:pPr>
      <w:r>
        <w:rPr>
          <w:rFonts w:ascii="Consolas" w:cs="Consolas" w:eastAsia="Consolas" w:hAnsi="Consolas"/>
          <w:sz w:val="19"/>
          <w:szCs w:val="19"/>
        </w:rPr>
        <w:t xml:space="preserve">access-token: &lt;accessToken obtenido en /api/users/auth&gt;</w:t>
      </w:r>
    </w:p>
    <w:p>
      <w:pPr>
        <w:spacing w:after="120"/>
      </w:pPr>
      <w:r>
        <w:t xml:space="preserve">Si el header falta o el token es inválido, la API responde 403. Si el rol del usuario no es ROLE_API, responde 403 con el mensaje "Permisos insuficientes para realizar esta operación".</w:t>
      </w:r>
    </w:p>
    <w:p>
      <w:r>
        <w:br w:type="page"/>
      </w:r>
    </w:p>
    <w:p>
      <w:pPr>
        <w:pStyle w:val="Heading1"/>
      </w:pPr>
      <w:r>
        <w:t xml:space="preserve">3. Convenciones generales</w:t>
      </w:r>
    </w:p>
    <w:p>
      <w:pPr>
        <w:pStyle w:val="Heading2"/>
      </w:pPr>
      <w:r>
        <w:t xml:space="preserve">3.1. URL base</w:t>
      </w:r>
    </w:p>
    <w:p>
      <w:pPr>
        <w:shd w:fill="F4F4F4" w:val="clear"/>
        <w:spacing w:after="160" w:before="60"/>
      </w:pPr>
      <w:r>
        <w:rPr>
          <w:rFonts w:ascii="Consolas" w:cs="Consolas" w:eastAsia="Consolas" w:hAnsi="Consolas"/>
          <w:sz w:val="19"/>
          <w:szCs w:val="19"/>
        </w:rPr>
        <w:t xml:space="preserve">https://&lt;host&gt;/api/wincampo</w:t>
      </w:r>
    </w:p>
    <w:p>
      <w:pPr>
        <w:spacing w:after="120"/>
      </w:pPr>
      <w:r>
        <w:t xml:space="preserve">Todas las rutas descriptas en este documento son relativas a esta base.</w:t>
      </w:r>
    </w:p>
    <w:p>
      <w:pPr>
        <w:pStyle w:val="Heading2"/>
      </w:pPr>
      <w:r>
        <w:t xml:space="preserve">3.2. Formato de fecha y campos de texto</w:t>
      </w:r>
    </w:p>
    <w:p>
      <w:pPr>
        <w:pStyle w:val="ListParagraph"/>
        <w:numPr>
          <w:ilvl w:val="0"/>
          <w:numId w:val="2"/>
        </w:numPr>
        <w:spacing w:after="60"/>
      </w:pPr>
      <w:r>
        <w:t xml:space="preserve">Las fechas se envían/reciben en formato YYYY-MM-DD o YYYY-MM-DD HH:mm:ss.</w:t>
      </w:r>
    </w:p>
    <w:p>
      <w:pPr>
        <w:pStyle w:val="ListParagraph"/>
        <w:numPr>
          <w:ilvl w:val="0"/>
          <w:numId w:val="2"/>
        </w:numPr>
        <w:spacing w:after="60"/>
      </w:pPr>
      <w:r>
        <w:t xml:space="preserve">El campo codigo es siempre el identificador externo (ext_key) que asigna Wincampo a cada entidad. Es obligatorio en todos los registros que se sincronizan.</w:t>
      </w:r>
    </w:p>
    <w:p>
      <w:pPr>
        <w:pStyle w:val="ListParagraph"/>
        <w:numPr>
          <w:ilvl w:val="0"/>
          <w:numId w:val="2"/>
        </w:numPr>
        <w:spacing w:after="60"/>
      </w:pPr>
      <w:r>
        <w:t xml:space="preserve">El campo descripcion es el nombre/descripción legible de la entidad tal como debe mostrarse en SpiMixer.</w:t>
      </w:r>
    </w:p>
    <w:p>
      <w:pPr>
        <w:pStyle w:val="Heading2"/>
      </w:pPr>
      <w:r>
        <w:t xml:space="preserve">3.3. Semántica de sincronización (upsert + archivado)</w:t>
      </w:r>
    </w:p>
    <w:p>
      <w:pPr>
        <w:spacing w:after="120"/>
      </w:pPr>
      <w:r>
        <w:t xml:space="preserve">Los endpoints POST de usuarios, productos, corrales y dietas implementan un patrón de sincronización completa (full sync) por lote, no un alta incremental:</w:t>
      </w:r>
    </w:p>
    <w:p>
      <w:pPr>
        <w:pStyle w:val="ListParagraph"/>
        <w:numPr>
          <w:ilvl w:val="0"/>
          <w:numId w:val="2"/>
        </w:numPr>
        <w:spacing w:after="60"/>
      </w:pPr>
      <w:r>
        <w:t xml:space="preserve">Cada elemento del array recibido se busca por su ext_key (codigo). Si existe, se actualiza (y se reactiva si estaba archivado). Si no existe, se inserta.</w:t>
      </w:r>
    </w:p>
    <w:p>
      <w:pPr>
        <w:pStyle w:val="ListParagraph"/>
        <w:numPr>
          <w:ilvl w:val="0"/>
          <w:numId w:val="2"/>
        </w:numPr>
        <w:spacing w:after="60"/>
      </w:pPr>
      <w:r>
        <w:t xml:space="preserve">Al finalizar el lote, toda entidad que tenga ext_key (es decir, que haya sido creada por Wincampo) y que NO esté incluida en la lista recibida se archiva automáticamente (se le asigna archive_date).</w:t>
      </w:r>
    </w:p>
    <w:p>
      <w:pPr>
        <w:pStyle w:val="ListParagraph"/>
        <w:numPr>
          <w:ilvl w:val="0"/>
          <w:numId w:val="2"/>
        </w:numPr>
        <w:spacing w:after="60"/>
      </w:pPr>
      <w:r>
        <w:t xml:space="preserve">Las entidades creadas manualmente en SpiMixer (sin ext_key) nunca se archivan por este mecanismo.</w:t>
      </w:r>
    </w:p>
    <w:p>
      <w:pPr>
        <w:pStyle w:val="ListParagraph"/>
        <w:numPr>
          <w:ilvl w:val="0"/>
          <w:numId w:val="2"/>
        </w:numPr>
        <w:spacing w:after="60"/>
      </w:pPr>
      <w:r>
        <w:t xml:space="preserve">Implicancia práctica: Wincampo debe enviar siempre el listado COMPLETO de la entidad (todos los usuarios, todos los productos, etc.), no solo los nuevos o modificados. Omitir un elemento equivale a archivarlo.</w:t>
      </w:r>
    </w:p>
    <w:p>
      <w:pPr>
        <w:pStyle w:val="ListParagraph"/>
        <w:numPr>
          <w:ilvl w:val="0"/>
          <w:numId w:val="2"/>
        </w:numPr>
        <w:spacing w:after="60"/>
      </w:pPr>
      <w:r>
        <w:t xml:space="preserve">La excepción es el endpoint POST /rounds, que NO archiva automáticamente: las rondas se archivan exclusivamente mediante el endpoint DELETE /rounds.</w:t>
      </w:r>
    </w:p>
    <w:p>
      <w:pPr>
        <w:pStyle w:val="Heading2"/>
      </w:pPr>
      <w:r>
        <w:t xml:space="preserve">3.4. Recalculo en cascada</w:t>
      </w:r>
    </w:p>
    <w:p>
      <w:pPr>
        <w:spacing w:after="120"/>
      </w:pPr>
      <w:r>
        <w:t xml:space="preserve">Cuando se archivan productos o corrales (por no estar en el lote recibido), SpiMixer ejecuta un recálculo automático de las entidades dependientes:</w:t>
      </w:r>
    </w:p>
    <w:p>
      <w:pPr>
        <w:pStyle w:val="ListParagraph"/>
        <w:numPr>
          <w:ilvl w:val="0"/>
          <w:numId w:val="2"/>
        </w:numPr>
        <w:spacing w:after="60"/>
      </w:pPr>
      <w:r>
        <w:t xml:space="preserve">Dietas que referencian productos archivados: se elimina la relación diet_product correspondiente y se recalculan los porcentajes del resto de los productos sobre el nuevo total. Si la dieta queda sin productos, se archiva.</w:t>
      </w:r>
    </w:p>
    <w:p>
      <w:pPr>
        <w:pStyle w:val="ListParagraph"/>
        <w:numPr>
          <w:ilvl w:val="0"/>
          <w:numId w:val="2"/>
        </w:numPr>
        <w:spacing w:after="60"/>
      </w:pPr>
      <w:r>
        <w:t xml:space="preserve">Rondas que referencian corrales archivados: se elimina la relación round_corral correspondiente y se recalculan los porcentajes del resto de los corrales. Si la ronda queda sin corrales, se archiva.</w:t>
      </w:r>
    </w:p>
    <w:p>
      <w:pPr>
        <w:pStyle w:val="ListParagraph"/>
        <w:numPr>
          <w:ilvl w:val="0"/>
          <w:numId w:val="2"/>
        </w:numPr>
        <w:spacing w:after="60"/>
      </w:pPr>
      <w:r>
        <w:t xml:space="preserve">Rondas cuya dieta fue archivada (por la cascada anterior): se archivan automáticamente.</w:t>
      </w:r>
    </w:p>
    <w:p>
      <w:pPr>
        <w:spacing w:after="120"/>
      </w:pPr>
      <w:r>
        <w:t xml:space="preserve">Estas acciones de recálculo/archivado en cascada se informan en la respuesta del request que las disparó (POST /products o POST /corrals), bajo entradas con action: "recalculate_diets", "archive_diets", "recalculate_rounds", "archive_rounds".</w:t>
      </w:r>
    </w:p>
    <w:p>
      <w:pPr>
        <w:pStyle w:val="Heading2"/>
      </w:pPr>
      <w:r>
        <w:t xml:space="preserve">3.5. Formato de respuesta de los endpoints de alta/actualización</w:t>
      </w:r>
    </w:p>
    <w:p>
      <w:pPr>
        <w:spacing w:after="120"/>
      </w:pPr>
      <w:r>
        <w:t xml:space="preserve">Los POST de usuarios, productos, corrales, dietas y rondas devuelven siempre un array de resultados, uno por cada elemento procesado, más entradas adicionales de tipo "acción" (archivado, recálculo) cuando corresponde:</w:t>
      </w:r>
    </w:p>
    <w:p>
      <w:pPr>
        <w:shd w:fill="F4F4F4" w:val="clear"/>
        <w:spacing w:after="160" w:before="60"/>
      </w:pPr>
      <w:r>
        <w:rPr>
          <w:rFonts w:ascii="Consolas" w:cs="Consolas" w:eastAsia="Consolas" w:hAnsi="Consolas"/>
          <w:sz w:val="19"/>
          <w:szCs w:val="19"/>
        </w:rPr>
        <w:t xml:space="preserve">[</w:t>
      </w:r>
      <w:r>
        <w:rPr>
          <w:rFonts w:ascii="Consolas" w:cs="Consolas" w:eastAsia="Consolas" w:hAnsi="Consolas"/>
          <w:sz w:val="19"/>
          <w:szCs w:val="19"/>
        </w:rPr>
        <w:br/>
        <w:t xml:space="preserve">  { "extKey": "PROD-001", "id": 15, "message": "Ok inserted", "status": 200 },</w:t>
      </w:r>
      <w:r>
        <w:rPr>
          <w:rFonts w:ascii="Consolas" w:cs="Consolas" w:eastAsia="Consolas" w:hAnsi="Consolas"/>
          <w:sz w:val="19"/>
          <w:szCs w:val="19"/>
        </w:rPr>
        <w:br/>
        <w:t xml:space="preserve">  { "extKey": "PROD-002", "id": 16, "message": "Ok updated",  "status": 200 },</w:t>
      </w:r>
      <w:r>
        <w:rPr>
          <w:rFonts w:ascii="Consolas" w:cs="Consolas" w:eastAsia="Consolas" w:hAnsi="Consolas"/>
          <w:sz w:val="19"/>
          <w:szCs w:val="19"/>
        </w:rPr>
        <w:br/>
        <w:t xml:space="preserve">  { "codigo": "PROD-003", "id": null, "message": "Error: ...", "status": 500 },</w:t>
      </w:r>
      <w:r>
        <w:rPr>
          <w:rFonts w:ascii="Consolas" w:cs="Consolas" w:eastAsia="Consolas" w:hAnsi="Consolas"/>
          <w:sz w:val="19"/>
          <w:szCs w:val="19"/>
        </w:rPr>
        <w:br/>
        <w:t xml:space="preserve">  { "action": "archive", "archivedCount": 2,</w:t>
      </w:r>
      <w:r>
        <w:rPr>
          <w:rFonts w:ascii="Consolas" w:cs="Consolas" w:eastAsia="Consolas" w:hAnsi="Consolas"/>
          <w:sz w:val="19"/>
          <w:szCs w:val="19"/>
        </w:rPr>
        <w:br/>
        <w:t xml:space="preserve">    "message": "2 product(s) archived (not in Wincampo list)", "status": 200 }</w:t>
      </w:r>
      <w:r>
        <w:rPr>
          <w:rFonts w:ascii="Consolas" w:cs="Consolas" w:eastAsia="Consolas" w:hAnsi="Consolas"/>
          <w:sz w:val="19"/>
          <w:szCs w:val="19"/>
        </w:rPr>
        <w:br/>
        <w:t xml:space="preserve">]</w:t>
      </w:r>
    </w:p>
    <w:p>
      <w:pPr>
        <w:spacing w:after="120"/>
      </w:pPr>
      <w:r>
        <w:t xml:space="preserve">El HTTP status de la respuesta es 200 incluso si hubo errores puntuales en algún elemento del lote (error parcial reportado dentro del array, con status: 500 en esa entrada). Wincampo debe inspeccionar cada elemento del array, no solo el código HTTP.</w:t>
      </w:r>
    </w:p>
    <w:p>
      <w:r>
        <w:br w:type="page"/>
      </w:r>
    </w:p>
    <w:p>
      <w:pPr>
        <w:pStyle w:val="Heading1"/>
      </w:pPr>
      <w:r>
        <w:t xml:space="preserve">4. Endpoints de consulta (GET)</w:t>
      </w:r>
    </w:p>
    <w:p>
      <w:pPr>
        <w:spacing w:after="120"/>
      </w:pPr>
      <w:r>
        <w:t xml:space="preserve">Permiten a Wincampo leer el estado actual de las entidades en SpiMixer.</w:t>
      </w:r>
    </w:p>
    <w:p>
      <w:pPr>
        <w:pStyle w:val="Heading2"/>
      </w:pPr>
      <w:r>
        <w:t xml:space="preserve">4.1. Listar usuarios</w:t>
      </w:r>
    </w:p>
    <w:p>
      <w:pPr>
        <w:spacing w:after="160"/>
      </w:pPr>
      <w:r>
        <w:rPr>
          <w:rFonts w:ascii="Consolas" w:cs="Consolas" w:eastAsia="Consolas" w:hAnsi="Consolas"/>
          <w:b/>
          <w:bCs/>
          <w:color w:val="1F4E79"/>
        </w:rPr>
        <w:t xml:space="preserve">GET </w:t>
      </w:r>
      <w:r>
        <w:rPr>
          <w:rFonts w:ascii="Consolas" w:cs="Consolas" w:eastAsia="Consolas" w:hAnsi="Consolas"/>
          <w:b/>
          <w:bCs/>
        </w:rPr>
        <w:t xml:space="preserve">/getusers</w:t>
      </w:r>
    </w:p>
    <w:p>
      <w:pPr>
        <w:spacing w:after="120"/>
      </w:pPr>
      <w:r>
        <w:t xml:space="preserve">Devuelve los usuarios activos (no archivados) del tenant.</w:t>
      </w:r>
    </w:p>
    <w:p>
      <w:pPr>
        <w:pStyle w:val="Heading3"/>
      </w:pPr>
      <w:r>
        <w:t xml:space="preserve">Headers</w:t>
      </w:r>
    </w:p>
    <w:p>
      <w:pPr>
        <w:shd w:fill="F4F4F4" w:val="clear"/>
        <w:spacing w:after="160" w:before="60"/>
      </w:pPr>
      <w:r>
        <w:rPr>
          <w:rFonts w:ascii="Consolas" w:cs="Consolas" w:eastAsia="Consolas" w:hAnsi="Consolas"/>
          <w:sz w:val="19"/>
          <w:szCs w:val="19"/>
        </w:rPr>
        <w:t xml:space="preserve">access-token: &lt;token&gt;</w:t>
      </w:r>
    </w:p>
    <w:p>
      <w:pPr>
        <w:pStyle w:val="Heading3"/>
      </w:pPr>
      <w:r>
        <w:t xml:space="preserve">Response</w:t>
      </w:r>
    </w:p>
    <w:p>
      <w:pPr>
        <w:shd w:fill="F4F4F4" w:val="clear"/>
        <w:spacing w:after="160" w:before="60"/>
      </w:pPr>
      <w:r>
        <w:rPr>
          <w:rFonts w:ascii="Consolas" w:cs="Consolas" w:eastAsia="Consolas" w:hAnsi="Consolas"/>
          <w:sz w:val="19"/>
          <w:szCs w:val="19"/>
        </w:rPr>
        <w:t xml:space="preserve">{</w:t>
      </w:r>
      <w:r>
        <w:rPr>
          <w:rFonts w:ascii="Consolas" w:cs="Consolas" w:eastAsia="Consolas" w:hAnsi="Consolas"/>
          <w:sz w:val="19"/>
          <w:szCs w:val="19"/>
        </w:rPr>
        <w:br/>
        <w:t xml:space="preserve">  "usuarios": [</w:t>
      </w:r>
      <w:r>
        <w:rPr>
          <w:rFonts w:ascii="Consolas" w:cs="Consolas" w:eastAsia="Consolas" w:hAnsi="Consolas"/>
          <w:sz w:val="19"/>
          <w:szCs w:val="19"/>
        </w:rPr>
        <w:br/>
        <w:t xml:space="preserve">    { "codigo": "USR-001", "descripcion": "Juan Pérez" }</w:t>
      </w:r>
      <w:r>
        <w:rPr>
          <w:rFonts w:ascii="Consolas" w:cs="Consolas" w:eastAsia="Consolas" w:hAnsi="Consolas"/>
          <w:sz w:val="19"/>
          <w:szCs w:val="19"/>
        </w:rPr>
        <w:br/>
        <w:t xml:space="preserve">  ]</w:t>
      </w:r>
      <w:r>
        <w:rPr>
          <w:rFonts w:ascii="Consolas" w:cs="Consolas" w:eastAsia="Consolas" w:hAnsi="Consolas"/>
          <w:sz w:val="19"/>
          <w:szCs w:val="19"/>
        </w:rPr>
        <w:br/>
        <w:t xml:space="preserve">}</w:t>
      </w:r>
    </w:p>
    <w:p>
      <w:pPr>
        <w:spacing w:after="200"/>
      </w:pPr>
    </w:p>
    <w:p>
      <w:pPr>
        <w:pStyle w:val="Heading2"/>
      </w:pPr>
      <w:r>
        <w:t xml:space="preserve">4.2. Listar productos</w:t>
      </w:r>
    </w:p>
    <w:p>
      <w:pPr>
        <w:spacing w:after="160"/>
      </w:pPr>
      <w:r>
        <w:rPr>
          <w:rFonts w:ascii="Consolas" w:cs="Consolas" w:eastAsia="Consolas" w:hAnsi="Consolas"/>
          <w:b/>
          <w:bCs/>
          <w:color w:val="1F4E79"/>
        </w:rPr>
        <w:t xml:space="preserve">GET </w:t>
      </w:r>
      <w:r>
        <w:rPr>
          <w:rFonts w:ascii="Consolas" w:cs="Consolas" w:eastAsia="Consolas" w:hAnsi="Consolas"/>
          <w:b/>
          <w:bCs/>
        </w:rPr>
        <w:t xml:space="preserve">/getproducts</w:t>
      </w:r>
    </w:p>
    <w:p>
      <w:pPr>
        <w:spacing w:after="120"/>
      </w:pPr>
      <w:r>
        <w:t xml:space="preserve">Devuelve los productos activos del tenant.</w:t>
      </w:r>
    </w:p>
    <w:p>
      <w:pPr>
        <w:pStyle w:val="Heading3"/>
      </w:pPr>
      <w:r>
        <w:t xml:space="preserve">Headers</w:t>
      </w:r>
    </w:p>
    <w:p>
      <w:pPr>
        <w:shd w:fill="F4F4F4" w:val="clear"/>
        <w:spacing w:after="160" w:before="60"/>
      </w:pPr>
      <w:r>
        <w:rPr>
          <w:rFonts w:ascii="Consolas" w:cs="Consolas" w:eastAsia="Consolas" w:hAnsi="Consolas"/>
          <w:sz w:val="19"/>
          <w:szCs w:val="19"/>
        </w:rPr>
        <w:t xml:space="preserve">access-token: &lt;token&gt;</w:t>
      </w:r>
    </w:p>
    <w:p>
      <w:pPr>
        <w:pStyle w:val="Heading3"/>
      </w:pPr>
      <w:r>
        <w:t xml:space="preserve">Response</w:t>
      </w:r>
    </w:p>
    <w:p>
      <w:pPr>
        <w:shd w:fill="F4F4F4" w:val="clear"/>
        <w:spacing w:after="160" w:before="60"/>
      </w:pPr>
      <w:r>
        <w:rPr>
          <w:rFonts w:ascii="Consolas" w:cs="Consolas" w:eastAsia="Consolas" w:hAnsi="Consolas"/>
          <w:sz w:val="19"/>
          <w:szCs w:val="19"/>
        </w:rPr>
        <w:t xml:space="preserve">{</w:t>
      </w:r>
      <w:r>
        <w:rPr>
          <w:rFonts w:ascii="Consolas" w:cs="Consolas" w:eastAsia="Consolas" w:hAnsi="Consolas"/>
          <w:sz w:val="19"/>
          <w:szCs w:val="19"/>
        </w:rPr>
        <w:br/>
        <w:t xml:space="preserve">  "productos": [</w:t>
      </w:r>
      <w:r>
        <w:rPr>
          <w:rFonts w:ascii="Consolas" w:cs="Consolas" w:eastAsia="Consolas" w:hAnsi="Consolas"/>
          <w:sz w:val="19"/>
          <w:szCs w:val="19"/>
        </w:rPr>
        <w:br/>
        <w:t xml:space="preserve">    { "codigo": "PROD-001", "descripcion": "Alfalfa" }</w:t>
      </w:r>
      <w:r>
        <w:rPr>
          <w:rFonts w:ascii="Consolas" w:cs="Consolas" w:eastAsia="Consolas" w:hAnsi="Consolas"/>
          <w:sz w:val="19"/>
          <w:szCs w:val="19"/>
        </w:rPr>
        <w:br/>
        <w:t xml:space="preserve">  ]</w:t>
      </w:r>
      <w:r>
        <w:rPr>
          <w:rFonts w:ascii="Consolas" w:cs="Consolas" w:eastAsia="Consolas" w:hAnsi="Consolas"/>
          <w:sz w:val="19"/>
          <w:szCs w:val="19"/>
        </w:rPr>
        <w:br/>
        <w:t xml:space="preserve">}</w:t>
      </w:r>
    </w:p>
    <w:p>
      <w:pPr>
        <w:spacing w:after="200"/>
      </w:pPr>
    </w:p>
    <w:p>
      <w:pPr>
        <w:pStyle w:val="Heading2"/>
      </w:pPr>
      <w:r>
        <w:t xml:space="preserve">4.3. Listar dietas</w:t>
      </w:r>
    </w:p>
    <w:p>
      <w:pPr>
        <w:spacing w:after="160"/>
      </w:pPr>
      <w:r>
        <w:rPr>
          <w:rFonts w:ascii="Consolas" w:cs="Consolas" w:eastAsia="Consolas" w:hAnsi="Consolas"/>
          <w:b/>
          <w:bCs/>
          <w:color w:val="1F4E79"/>
        </w:rPr>
        <w:t xml:space="preserve">GET </w:t>
      </w:r>
      <w:r>
        <w:rPr>
          <w:rFonts w:ascii="Consolas" w:cs="Consolas" w:eastAsia="Consolas" w:hAnsi="Consolas"/>
          <w:b/>
          <w:bCs/>
        </w:rPr>
        <w:t xml:space="preserve">/getdiets</w:t>
      </w:r>
    </w:p>
    <w:p>
      <w:pPr>
        <w:spacing w:after="120"/>
      </w:pPr>
      <w:r>
        <w:t xml:space="preserve">Devuelve las dietas activas con el detalle de productos que las componen, ordenados según el orden de mezcla.</w:t>
      </w:r>
    </w:p>
    <w:p>
      <w:pPr>
        <w:pStyle w:val="Heading3"/>
      </w:pPr>
      <w:r>
        <w:t xml:space="preserve">Headers</w:t>
      </w:r>
    </w:p>
    <w:p>
      <w:pPr>
        <w:shd w:fill="F4F4F4" w:val="clear"/>
        <w:spacing w:after="160" w:before="60"/>
      </w:pPr>
      <w:r>
        <w:rPr>
          <w:rFonts w:ascii="Consolas" w:cs="Consolas" w:eastAsia="Consolas" w:hAnsi="Consolas"/>
          <w:sz w:val="19"/>
          <w:szCs w:val="19"/>
        </w:rPr>
        <w:t xml:space="preserve">access-token: &lt;token&gt;</w:t>
      </w:r>
    </w:p>
    <w:p>
      <w:pPr>
        <w:pStyle w:val="Heading3"/>
      </w:pPr>
      <w:r>
        <w:t xml:space="preserve">Response</w:t>
      </w:r>
    </w:p>
    <w:p>
      <w:pPr>
        <w:shd w:fill="F4F4F4" w:val="clear"/>
        <w:spacing w:after="160" w:before="60"/>
      </w:pPr>
      <w:r>
        <w:rPr>
          <w:rFonts w:ascii="Consolas" w:cs="Consolas" w:eastAsia="Consolas" w:hAnsi="Consolas"/>
          <w:sz w:val="19"/>
          <w:szCs w:val="19"/>
        </w:rPr>
        <w:t xml:space="preserve">{</w:t>
      </w:r>
      <w:r>
        <w:rPr>
          <w:rFonts w:ascii="Consolas" w:cs="Consolas" w:eastAsia="Consolas" w:hAnsi="Consolas"/>
          <w:sz w:val="19"/>
          <w:szCs w:val="19"/>
        </w:rPr>
        <w:br/>
        <w:t xml:space="preserve">  "dietas": [</w:t>
      </w:r>
      <w:r>
        <w:rPr>
          <w:rFonts w:ascii="Consolas" w:cs="Consolas" w:eastAsia="Consolas" w:hAnsi="Consolas"/>
          <w:sz w:val="19"/>
          <w:szCs w:val="19"/>
        </w:rPr>
        <w:br/>
        <w:t xml:space="preserve">    {</w:t>
      </w:r>
      <w:r>
        <w:rPr>
          <w:rFonts w:ascii="Consolas" w:cs="Consolas" w:eastAsia="Consolas" w:hAnsi="Consolas"/>
          <w:sz w:val="19"/>
          <w:szCs w:val="19"/>
        </w:rPr>
        <w:br/>
        <w:t xml:space="preserve">      "codigo": "DIETA-001",</w:t>
      </w:r>
      <w:r>
        <w:rPr>
          <w:rFonts w:ascii="Consolas" w:cs="Consolas" w:eastAsia="Consolas" w:hAnsi="Consolas"/>
          <w:sz w:val="19"/>
          <w:szCs w:val="19"/>
        </w:rPr>
        <w:br/>
        <w:t xml:space="preserve">      "descripcion": "Engorde intensivo",</w:t>
      </w:r>
      <w:r>
        <w:rPr>
          <w:rFonts w:ascii="Consolas" w:cs="Consolas" w:eastAsia="Consolas" w:hAnsi="Consolas"/>
          <w:sz w:val="19"/>
          <w:szCs w:val="19"/>
        </w:rPr>
        <w:br/>
        <w:t xml:space="preserve">      "productos": [</w:t>
      </w:r>
      <w:r>
        <w:rPr>
          <w:rFonts w:ascii="Consolas" w:cs="Consolas" w:eastAsia="Consolas" w:hAnsi="Consolas"/>
          <w:sz w:val="19"/>
          <w:szCs w:val="19"/>
        </w:rPr>
        <w:br/>
        <w:t xml:space="preserve">        { "codigo": "PROD-001", "descripcion": "Alfalfa", "order": 1 },</w:t>
      </w:r>
      <w:r>
        <w:rPr>
          <w:rFonts w:ascii="Consolas" w:cs="Consolas" w:eastAsia="Consolas" w:hAnsi="Consolas"/>
          <w:sz w:val="19"/>
          <w:szCs w:val="19"/>
        </w:rPr>
        <w:br/>
        <w:t xml:space="preserve">        { "codigo": "PROD-002", "descripcion": "Agua",    "order": 2 }</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w:t>
      </w:r>
    </w:p>
    <w:p>
      <w:pPr>
        <w:spacing w:after="200"/>
      </w:pPr>
    </w:p>
    <w:p>
      <w:pPr>
        <w:pStyle w:val="Heading2"/>
      </w:pPr>
      <w:r>
        <w:t xml:space="preserve">4.4. Listar corrales</w:t>
      </w:r>
    </w:p>
    <w:p>
      <w:pPr>
        <w:spacing w:after="160"/>
      </w:pPr>
      <w:r>
        <w:rPr>
          <w:rFonts w:ascii="Consolas" w:cs="Consolas" w:eastAsia="Consolas" w:hAnsi="Consolas"/>
          <w:b/>
          <w:bCs/>
          <w:color w:val="1F4E79"/>
        </w:rPr>
        <w:t xml:space="preserve">GET </w:t>
      </w:r>
      <w:r>
        <w:rPr>
          <w:rFonts w:ascii="Consolas" w:cs="Consolas" w:eastAsia="Consolas" w:hAnsi="Consolas"/>
          <w:b/>
          <w:bCs/>
        </w:rPr>
        <w:t xml:space="preserve">/getcorrals</w:t>
      </w:r>
    </w:p>
    <w:p>
      <w:pPr>
        <w:spacing w:after="120"/>
      </w:pPr>
      <w:r>
        <w:t xml:space="preserve">Devuelve los corrales activos del tenant.</w:t>
      </w:r>
    </w:p>
    <w:p>
      <w:pPr>
        <w:pStyle w:val="Heading3"/>
      </w:pPr>
      <w:r>
        <w:t xml:space="preserve">Headers</w:t>
      </w:r>
    </w:p>
    <w:p>
      <w:pPr>
        <w:shd w:fill="F4F4F4" w:val="clear"/>
        <w:spacing w:after="160" w:before="60"/>
      </w:pPr>
      <w:r>
        <w:rPr>
          <w:rFonts w:ascii="Consolas" w:cs="Consolas" w:eastAsia="Consolas" w:hAnsi="Consolas"/>
          <w:sz w:val="19"/>
          <w:szCs w:val="19"/>
        </w:rPr>
        <w:t xml:space="preserve">access-token: &lt;token&gt;</w:t>
      </w:r>
    </w:p>
    <w:p>
      <w:pPr>
        <w:pStyle w:val="Heading3"/>
      </w:pPr>
      <w:r>
        <w:t xml:space="preserve">Response</w:t>
      </w:r>
    </w:p>
    <w:p>
      <w:pPr>
        <w:shd w:fill="F4F4F4" w:val="clear"/>
        <w:spacing w:after="160" w:before="60"/>
      </w:pPr>
      <w:r>
        <w:rPr>
          <w:rFonts w:ascii="Consolas" w:cs="Consolas" w:eastAsia="Consolas" w:hAnsi="Consolas"/>
          <w:sz w:val="19"/>
          <w:szCs w:val="19"/>
        </w:rPr>
        <w:t xml:space="preserve">{</w:t>
      </w:r>
      <w:r>
        <w:rPr>
          <w:rFonts w:ascii="Consolas" w:cs="Consolas" w:eastAsia="Consolas" w:hAnsi="Consolas"/>
          <w:sz w:val="19"/>
          <w:szCs w:val="19"/>
        </w:rPr>
        <w:br/>
        <w:t xml:space="preserve">  "corrales": [</w:t>
      </w:r>
      <w:r>
        <w:rPr>
          <w:rFonts w:ascii="Consolas" w:cs="Consolas" w:eastAsia="Consolas" w:hAnsi="Consolas"/>
          <w:sz w:val="19"/>
          <w:szCs w:val="19"/>
        </w:rPr>
        <w:br/>
        <w:t xml:space="preserve">    { "codigo": "COR-01", "descripcion": "Corral 1" }</w:t>
      </w:r>
      <w:r>
        <w:rPr>
          <w:rFonts w:ascii="Consolas" w:cs="Consolas" w:eastAsia="Consolas" w:hAnsi="Consolas"/>
          <w:sz w:val="19"/>
          <w:szCs w:val="19"/>
        </w:rPr>
        <w:br/>
        <w:t xml:space="preserve">  ]</w:t>
      </w:r>
      <w:r>
        <w:rPr>
          <w:rFonts w:ascii="Consolas" w:cs="Consolas" w:eastAsia="Consolas" w:hAnsi="Consolas"/>
          <w:sz w:val="19"/>
          <w:szCs w:val="19"/>
        </w:rPr>
        <w:br/>
        <w:t xml:space="preserve">}</w:t>
      </w:r>
    </w:p>
    <w:p>
      <w:pPr>
        <w:spacing w:after="200"/>
      </w:pPr>
    </w:p>
    <w:p>
      <w:pPr>
        <w:pStyle w:val="Heading2"/>
      </w:pPr>
      <w:r>
        <w:t xml:space="preserve">4.5. Listar rondas</w:t>
      </w:r>
    </w:p>
    <w:p>
      <w:pPr>
        <w:spacing w:after="160"/>
      </w:pPr>
      <w:r>
        <w:rPr>
          <w:rFonts w:ascii="Consolas" w:cs="Consolas" w:eastAsia="Consolas" w:hAnsi="Consolas"/>
          <w:b/>
          <w:bCs/>
          <w:color w:val="1F4E79"/>
        </w:rPr>
        <w:t xml:space="preserve">GET </w:t>
      </w:r>
      <w:r>
        <w:rPr>
          <w:rFonts w:ascii="Consolas" w:cs="Consolas" w:eastAsia="Consolas" w:hAnsi="Consolas"/>
          <w:b/>
          <w:bCs/>
        </w:rPr>
        <w:t xml:space="preserve">/getrounds</w:t>
      </w:r>
    </w:p>
    <w:p>
      <w:pPr>
        <w:spacing w:after="120"/>
      </w:pPr>
      <w:r>
        <w:t xml:space="preserve">Devuelve las rondas activas con el detalle de productos de la dieta asociada y la lista ordenada de corrales con sus pesos.</w:t>
      </w:r>
    </w:p>
    <w:p>
      <w:pPr>
        <w:pStyle w:val="Heading3"/>
      </w:pPr>
      <w:r>
        <w:t xml:space="preserve">Headers</w:t>
      </w:r>
    </w:p>
    <w:p>
      <w:pPr>
        <w:shd w:fill="F4F4F4" w:val="clear"/>
        <w:spacing w:after="160" w:before="60"/>
      </w:pPr>
      <w:r>
        <w:rPr>
          <w:rFonts w:ascii="Consolas" w:cs="Consolas" w:eastAsia="Consolas" w:hAnsi="Consolas"/>
          <w:sz w:val="19"/>
          <w:szCs w:val="19"/>
        </w:rPr>
        <w:t xml:space="preserve">access-token: &lt;token&gt;</w:t>
      </w:r>
    </w:p>
    <w:p>
      <w:pPr>
        <w:pStyle w:val="Heading3"/>
      </w:pPr>
      <w:r>
        <w:t xml:space="preserve">Response</w:t>
      </w:r>
    </w:p>
    <w:p>
      <w:pPr>
        <w:shd w:fill="F4F4F4" w:val="clear"/>
        <w:spacing w:after="160" w:before="60"/>
      </w:pPr>
      <w:r>
        <w:rPr>
          <w:rFonts w:ascii="Consolas" w:cs="Consolas" w:eastAsia="Consolas" w:hAnsi="Consolas"/>
          <w:sz w:val="19"/>
          <w:szCs w:val="19"/>
        </w:rPr>
        <w:t xml:space="preserve">{</w:t>
      </w:r>
      <w:r>
        <w:rPr>
          <w:rFonts w:ascii="Consolas" w:cs="Consolas" w:eastAsia="Consolas" w:hAnsi="Consolas"/>
          <w:sz w:val="19"/>
          <w:szCs w:val="19"/>
        </w:rPr>
        <w:br/>
        <w:t xml:space="preserve">  "rondas": [</w:t>
      </w:r>
      <w:r>
        <w:rPr>
          <w:rFonts w:ascii="Consolas" w:cs="Consolas" w:eastAsia="Consolas" w:hAnsi="Consolas"/>
          <w:sz w:val="19"/>
          <w:szCs w:val="19"/>
        </w:rPr>
        <w:br/>
        <w:t xml:space="preserve">    {</w:t>
      </w:r>
      <w:r>
        <w:rPr>
          <w:rFonts w:ascii="Consolas" w:cs="Consolas" w:eastAsia="Consolas" w:hAnsi="Consolas"/>
          <w:sz w:val="19"/>
          <w:szCs w:val="19"/>
        </w:rPr>
        <w:br/>
        <w:t xml:space="preserve">      "codigo": "RONDA-001",</w:t>
      </w:r>
      <w:r>
        <w:rPr>
          <w:rFonts w:ascii="Consolas" w:cs="Consolas" w:eastAsia="Consolas" w:hAnsi="Consolas"/>
          <w:sz w:val="19"/>
          <w:szCs w:val="19"/>
        </w:rPr>
        <w:br/>
        <w:t xml:space="preserve">      "descripcion": "OT RONDA-001 | T1 | 25-JUN",</w:t>
      </w:r>
      <w:r>
        <w:rPr>
          <w:rFonts w:ascii="Consolas" w:cs="Consolas" w:eastAsia="Consolas" w:hAnsi="Consolas"/>
          <w:sz w:val="19"/>
          <w:szCs w:val="19"/>
        </w:rPr>
        <w:br/>
        <w:t xml:space="preserve">      "dieta": "Engorde intensivo",</w:t>
      </w:r>
      <w:r>
        <w:rPr>
          <w:rFonts w:ascii="Consolas" w:cs="Consolas" w:eastAsia="Consolas" w:hAnsi="Consolas"/>
          <w:sz w:val="19"/>
          <w:szCs w:val="19"/>
        </w:rPr>
        <w:br/>
        <w:t xml:space="preserve">      "fecha": "2026-06-25",</w:t>
      </w:r>
      <w:r>
        <w:rPr>
          <w:rFonts w:ascii="Consolas" w:cs="Consolas" w:eastAsia="Consolas" w:hAnsi="Consolas"/>
          <w:sz w:val="19"/>
          <w:szCs w:val="19"/>
        </w:rPr>
        <w:br/>
        <w:t xml:space="preserve">      "productos": [</w:t>
      </w:r>
      <w:r>
        <w:rPr>
          <w:rFonts w:ascii="Consolas" w:cs="Consolas" w:eastAsia="Consolas" w:hAnsi="Consolas"/>
          <w:sz w:val="19"/>
          <w:szCs w:val="19"/>
        </w:rPr>
        <w:br/>
        <w:t xml:space="preserve">        { "codigo": "PROD-001", "descripcion": "Alfalfa", "orden": 1, "cantidad": 150 },</w:t>
      </w:r>
      <w:r>
        <w:rPr>
          <w:rFonts w:ascii="Consolas" w:cs="Consolas" w:eastAsia="Consolas" w:hAnsi="Consolas"/>
          <w:sz w:val="19"/>
          <w:szCs w:val="19"/>
        </w:rPr>
        <w:br/>
        <w:t xml:space="preserve">        { "codigo": "PROD-002", "descripcion": "Agua",    "orden": 2, "cantidad": 150 }</w:t>
      </w:r>
      <w:r>
        <w:rPr>
          <w:rFonts w:ascii="Consolas" w:cs="Consolas" w:eastAsia="Consolas" w:hAnsi="Consolas"/>
          <w:sz w:val="19"/>
          <w:szCs w:val="19"/>
        </w:rPr>
        <w:br/>
        <w:t xml:space="preserve">      ],</w:t>
      </w:r>
      <w:r>
        <w:rPr>
          <w:rFonts w:ascii="Consolas" w:cs="Consolas" w:eastAsia="Consolas" w:hAnsi="Consolas"/>
          <w:sz w:val="19"/>
          <w:szCs w:val="19"/>
        </w:rPr>
        <w:br/>
        <w:t xml:space="preserve">      "corrales": [</w:t>
      </w:r>
      <w:r>
        <w:rPr>
          <w:rFonts w:ascii="Consolas" w:cs="Consolas" w:eastAsia="Consolas" w:hAnsi="Consolas"/>
          <w:sz w:val="19"/>
          <w:szCs w:val="19"/>
        </w:rPr>
        <w:br/>
        <w:t xml:space="preserve">        { "codigo": "COR-01", "descripcion": "Corral 1", "orden": 1, "cantidad": 100 },</w:t>
      </w:r>
      <w:r>
        <w:rPr>
          <w:rFonts w:ascii="Consolas" w:cs="Consolas" w:eastAsia="Consolas" w:hAnsi="Consolas"/>
          <w:sz w:val="19"/>
          <w:szCs w:val="19"/>
        </w:rPr>
        <w:br/>
        <w:t xml:space="preserve">        { "codigo": "COR-02", "descripcion": "Corral 2", "orden": 2, "cantidad": 100 },</w:t>
      </w:r>
      <w:r>
        <w:rPr>
          <w:rFonts w:ascii="Consolas" w:cs="Consolas" w:eastAsia="Consolas" w:hAnsi="Consolas"/>
          <w:sz w:val="19"/>
          <w:szCs w:val="19"/>
        </w:rPr>
        <w:br/>
        <w:t xml:space="preserve">        { "codigo": "COR-03", "descripcion": "Corral 3", "orden": 3, "cantidad": 100 }</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w:t>
      </w:r>
    </w:p>
    <w:p>
      <w:pPr>
        <w:pStyle w:val="Heading3"/>
      </w:pPr>
      <w:r>
        <w:t xml:space="preserve">Notas de comportamiento</w:t>
      </w:r>
    </w:p>
    <w:p>
      <w:pPr>
        <w:pStyle w:val="ListParagraph"/>
        <w:numPr>
          <w:ilvl w:val="0"/>
          <w:numId w:val="2"/>
        </w:numPr>
        <w:spacing w:after="60"/>
      </w:pPr>
      <w:r>
        <w:t xml:space="preserve">cantidad en productos representa el peso total a mezclar de ese producto para la ronda completa (ya multiplicado por la suma de los corrales, no el peso unitario de la fórmula).</w:t>
      </w:r>
    </w:p>
    <w:p>
      <w:pPr>
        <w:pStyle w:val="ListParagraph"/>
        <w:numPr>
          <w:ilvl w:val="0"/>
          <w:numId w:val="2"/>
        </w:numPr>
        <w:spacing w:after="60"/>
      </w:pPr>
      <w:r>
        <w:t xml:space="preserve">El campo fecha se extrae heurísticamente de la descripción interna de la ronda (patrón "DD-MES" al final del texto) y puede no estar presente si la descripción no sigue ese formato.</w:t>
      </w:r>
    </w:p>
    <w:p>
      <w:pPr>
        <w:spacing w:after="200"/>
      </w:pPr>
    </w:p>
    <w:p>
      <w:pPr>
        <w:pStyle w:val="Heading2"/>
      </w:pPr>
      <w:r>
        <w:t xml:space="preserve">4.6. Obtener reportes de ejecución</w:t>
      </w:r>
    </w:p>
    <w:p>
      <w:pPr>
        <w:spacing w:after="160"/>
      </w:pPr>
      <w:r>
        <w:rPr>
          <w:rFonts w:ascii="Consolas" w:cs="Consolas" w:eastAsia="Consolas" w:hAnsi="Consolas"/>
          <w:b/>
          <w:bCs/>
          <w:color w:val="1F4E79"/>
        </w:rPr>
        <w:t xml:space="preserve">GET </w:t>
      </w:r>
      <w:r>
        <w:rPr>
          <w:rFonts w:ascii="Consolas" w:cs="Consolas" w:eastAsia="Consolas" w:hAnsi="Consolas"/>
          <w:b/>
          <w:bCs/>
        </w:rPr>
        <w:t xml:space="preserve">/getreports/:startDate/:endDate</w:t>
      </w:r>
    </w:p>
    <w:p>
      <w:pPr>
        <w:spacing w:after="120"/>
      </w:pPr>
      <w:r>
        <w:t xml:space="preserve">Devuelve, para el período indicado, el detalle real de ejecución (round_run) de cada ronda: producto por producto cargado y corral por corral descargado, con los valores realmente dosificados.</w:t>
      </w:r>
    </w:p>
    <w:p>
      <w:pPr>
        <w:pStyle w:val="Heading3"/>
      </w:pPr>
      <w:r>
        <w:t xml:space="preserve">Headers</w:t>
      </w:r>
    </w:p>
    <w:p>
      <w:pPr>
        <w:shd w:fill="F4F4F4" w:val="clear"/>
        <w:spacing w:after="160" w:before="60"/>
      </w:pPr>
      <w:r>
        <w:rPr>
          <w:rFonts w:ascii="Consolas" w:cs="Consolas" w:eastAsia="Consolas" w:hAnsi="Consolas"/>
          <w:sz w:val="19"/>
          <w:szCs w:val="19"/>
        </w:rPr>
        <w:t xml:space="preserve">access-token: &lt;token&gt;</w:t>
      </w:r>
    </w:p>
    <w:p>
      <w:pPr>
        <w:pStyle w:val="Heading3"/>
      </w:pPr>
      <w:r>
        <w:t xml:space="preserve">Request</w:t>
      </w:r>
    </w:p>
    <w:p>
      <w:pPr>
        <w:spacing w:after="120"/>
      </w:pPr>
      <w:r>
        <w:t xml:space="preserve">Parámetros de path (no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000"/>
        <w:gridCol w:w="45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Campo</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Tipo</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Oblig.</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Descripción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startDate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string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Sí</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Fecha de inicio del período, formato YYYY-MM-DD.</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endDate</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string</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Sí</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Fecha de fin del período, formato YYYY-MM-DD.</w:t>
            </w:r>
          </w:p>
        </w:tc>
      </w:tr>
    </w:tbl>
    <w:p>
      <w:pPr>
        <w:pStyle w:val="Heading3"/>
      </w:pPr>
      <w:r>
        <w:t xml:space="preserve">Response</w:t>
      </w:r>
    </w:p>
    <w:p>
      <w:pPr>
        <w:shd w:fill="F4F4F4" w:val="clear"/>
        <w:spacing w:after="160" w:before="60"/>
      </w:pPr>
      <w:r>
        <w:rPr>
          <w:rFonts w:ascii="Consolas" w:cs="Consolas" w:eastAsia="Consolas" w:hAnsi="Consolas"/>
          <w:sz w:val="19"/>
          <w:szCs w:val="19"/>
        </w:rPr>
        <w:t xml:space="preserve">{</w:t>
      </w:r>
      <w:r>
        <w:rPr>
          <w:rFonts w:ascii="Consolas" w:cs="Consolas" w:eastAsia="Consolas" w:hAnsi="Consolas"/>
          <w:sz w:val="19"/>
          <w:szCs w:val="19"/>
        </w:rPr>
        <w:br/>
        <w:t xml:space="preserve">  "reportes": [</w:t>
      </w:r>
      <w:r>
        <w:rPr>
          <w:rFonts w:ascii="Consolas" w:cs="Consolas" w:eastAsia="Consolas" w:hAnsi="Consolas"/>
          <w:sz w:val="19"/>
          <w:szCs w:val="19"/>
        </w:rPr>
        <w:br/>
        <w:t xml:space="preserve">    {</w:t>
      </w:r>
      <w:r>
        <w:rPr>
          <w:rFonts w:ascii="Consolas" w:cs="Consolas" w:eastAsia="Consolas" w:hAnsi="Consolas"/>
          <w:sz w:val="19"/>
          <w:szCs w:val="19"/>
        </w:rPr>
        <w:br/>
        <w:t xml:space="preserve">      "codigo": "RONDA-001",</w:t>
      </w:r>
      <w:r>
        <w:rPr>
          <w:rFonts w:ascii="Consolas" w:cs="Consolas" w:eastAsia="Consolas" w:hAnsi="Consolas"/>
          <w:sz w:val="19"/>
          <w:szCs w:val="19"/>
        </w:rPr>
        <w:br/>
        <w:t xml:space="preserve">      "estado": "2",</w:t>
      </w:r>
      <w:r>
        <w:rPr>
          <w:rFonts w:ascii="Consolas" w:cs="Consolas" w:eastAsia="Consolas" w:hAnsi="Consolas"/>
          <w:sz w:val="19"/>
          <w:szCs w:val="19"/>
        </w:rPr>
        <w:br/>
        <w:t xml:space="preserve">      "descripcion": "...",</w:t>
      </w:r>
      <w:r>
        <w:rPr>
          <w:rFonts w:ascii="Consolas" w:cs="Consolas" w:eastAsia="Consolas" w:hAnsi="Consolas"/>
          <w:sz w:val="19"/>
          <w:szCs w:val="19"/>
        </w:rPr>
        <w:br/>
        <w:t xml:space="preserve">      "fecha": "2026-06-25 08:30:00",</w:t>
      </w:r>
      <w:r>
        <w:rPr>
          <w:rFonts w:ascii="Consolas" w:cs="Consolas" w:eastAsia="Consolas" w:hAnsi="Consolas"/>
          <w:sz w:val="19"/>
          <w:szCs w:val="19"/>
        </w:rPr>
        <w:br/>
        <w:t xml:space="preserve">      "turno": "1",</w:t>
      </w:r>
      <w:r>
        <w:rPr>
          <w:rFonts w:ascii="Consolas" w:cs="Consolas" w:eastAsia="Consolas" w:hAnsi="Consolas"/>
          <w:sz w:val="19"/>
          <w:szCs w:val="19"/>
        </w:rPr>
        <w:br/>
        <w:t xml:space="preserve">      "prescripcion": "300",</w:t>
      </w:r>
      <w:r>
        <w:rPr>
          <w:rFonts w:ascii="Consolas" w:cs="Consolas" w:eastAsia="Consolas" w:hAnsi="Consolas"/>
          <w:sz w:val="19"/>
          <w:szCs w:val="19"/>
        </w:rPr>
        <w:br/>
        <w:t xml:space="preserve">      "formula": {</w:t>
      </w:r>
      <w:r>
        <w:rPr>
          <w:rFonts w:ascii="Consolas" w:cs="Consolas" w:eastAsia="Consolas" w:hAnsi="Consolas"/>
          <w:sz w:val="19"/>
          <w:szCs w:val="19"/>
        </w:rPr>
        <w:br/>
        <w:t xml:space="preserve">        "codigo": "DIETA-001",</w:t>
      </w:r>
      <w:r>
        <w:rPr>
          <w:rFonts w:ascii="Consolas" w:cs="Consolas" w:eastAsia="Consolas" w:hAnsi="Consolas"/>
          <w:sz w:val="19"/>
          <w:szCs w:val="19"/>
        </w:rPr>
        <w:br/>
        <w:t xml:space="preserve">        "tiempo_mezcla": "180",</w:t>
      </w:r>
      <w:r>
        <w:rPr>
          <w:rFonts w:ascii="Consolas" w:cs="Consolas" w:eastAsia="Consolas" w:hAnsi="Consolas"/>
          <w:sz w:val="19"/>
          <w:szCs w:val="19"/>
        </w:rPr>
        <w:br/>
        <w:t xml:space="preserve">        "productos": [</w:t>
      </w:r>
      <w:r>
        <w:rPr>
          <w:rFonts w:ascii="Consolas" w:cs="Consolas" w:eastAsia="Consolas" w:hAnsi="Consolas"/>
          <w:sz w:val="19"/>
          <w:szCs w:val="19"/>
        </w:rPr>
        <w:br/>
        <w:t xml:space="preserve">          { "codigo": "PROD-001", "descripcion": "Alfalfa", "cantidad": 150,</w:t>
      </w:r>
      <w:r>
        <w:rPr>
          <w:rFonts w:ascii="Consolas" w:cs="Consolas" w:eastAsia="Consolas" w:hAnsi="Consolas"/>
          <w:sz w:val="19"/>
          <w:szCs w:val="19"/>
        </w:rPr>
        <w:br/>
        <w:t xml:space="preserve">            "orden": "1", "dosificado": 149, "fecha": "...", "usuario": "juan.perez" }</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      "ronda": {</w:t>
      </w:r>
      <w:r>
        <w:rPr>
          <w:rFonts w:ascii="Consolas" w:cs="Consolas" w:eastAsia="Consolas" w:hAnsi="Consolas"/>
          <w:sz w:val="19"/>
          <w:szCs w:val="19"/>
        </w:rPr>
        <w:br/>
        <w:t xml:space="preserve">        "mixer": "Mixer 1",</w:t>
      </w:r>
      <w:r>
        <w:rPr>
          <w:rFonts w:ascii="Consolas" w:cs="Consolas" w:eastAsia="Consolas" w:hAnsi="Consolas"/>
          <w:sz w:val="19"/>
          <w:szCs w:val="19"/>
        </w:rPr>
        <w:br/>
        <w:t xml:space="preserve">        "corrales": [</w:t>
      </w:r>
      <w:r>
        <w:rPr>
          <w:rFonts w:ascii="Consolas" w:cs="Consolas" w:eastAsia="Consolas" w:hAnsi="Consolas"/>
          <w:sz w:val="19"/>
          <w:szCs w:val="19"/>
        </w:rPr>
        <w:br/>
        <w:t xml:space="preserve">          { "codigo": "COR-01", "descripcion": "Corral 1", "cantidad": 100,</w:t>
      </w:r>
      <w:r>
        <w:rPr>
          <w:rFonts w:ascii="Consolas" w:cs="Consolas" w:eastAsia="Consolas" w:hAnsi="Consolas"/>
          <w:sz w:val="19"/>
          <w:szCs w:val="19"/>
        </w:rPr>
        <w:br/>
        <w:t xml:space="preserve">            "orden": "1", "dosificado": 99, "fecha": "...", "usuario": "juan.perez" }</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w:t>
      </w:r>
    </w:p>
    <w:p>
      <w:pPr>
        <w:pStyle w:val="Heading3"/>
      </w:pPr>
      <w:r>
        <w:t xml:space="preserve">Notas de comportamiento</w:t>
      </w:r>
    </w:p>
    <w:p>
      <w:pPr>
        <w:pStyle w:val="ListParagraph"/>
        <w:numPr>
          <w:ilvl w:val="0"/>
          <w:numId w:val="2"/>
        </w:numPr>
        <w:spacing w:after="60"/>
      </w:pPr>
      <w:r>
        <w:t xml:space="preserve">Solo se incluyen rondas que tuvieron al menos una ejecución (round_run) dentro del rango de start_date.</w:t>
      </w:r>
    </w:p>
    <w:p>
      <w:pPr>
        <w:pStyle w:val="ListParagraph"/>
        <w:numPr>
          <w:ilvl w:val="0"/>
          <w:numId w:val="2"/>
        </w:numPr>
        <w:spacing w:after="60"/>
      </w:pPr>
      <w:r>
        <w:t xml:space="preserve">prescripcion es la suma de los pesos objetivo (cantidad) de todos los corrales de esa ejecución; representa el total prescripto a descargar.</w:t>
      </w:r>
    </w:p>
    <w:p>
      <w:pPr>
        <w:pStyle w:val="ListParagraph"/>
        <w:numPr>
          <w:ilvl w:val="0"/>
          <w:numId w:val="2"/>
        </w:numPr>
        <w:spacing w:after="60"/>
      </w:pPr>
      <w:r>
        <w:t xml:space="preserve">cantidad es el valor objetivo (target_weight / actual_target_weight); dosificado es el valor real alcanzado por el mixer (current_weight). La diferencia entre ambos es la desviación de dosificación.</w:t>
      </w:r>
    </w:p>
    <w:p>
      <w:pPr>
        <w:pStyle w:val="ListParagraph"/>
        <w:numPr>
          <w:ilvl w:val="0"/>
          <w:numId w:val="2"/>
        </w:numPr>
        <w:spacing w:after="60"/>
      </w:pPr>
      <w:r>
        <w:t xml:space="preserve">tiempo_mezcla es el máximo mixed_time entre los productos de esa ejecución, expresado en segundos.</w:t>
      </w:r>
    </w:p>
    <w:p>
      <w:pPr>
        <w:pStyle w:val="ListParagraph"/>
        <w:numPr>
          <w:ilvl w:val="0"/>
          <w:numId w:val="2"/>
        </w:numPr>
        <w:spacing w:after="60"/>
      </w:pPr>
      <w:r>
        <w:t xml:space="preserve">Si startDate y/o endDate no cumplen el formato YYYY-MM-DD, el filtro de esa fecha se ignora silenciosamente (no se aplica ese límite).</w:t>
      </w:r>
    </w:p>
    <w:p>
      <w:pPr>
        <w:spacing w:after="200"/>
      </w:pPr>
    </w:p>
    <w:p>
      <w:r>
        <w:br w:type="page"/>
      </w:r>
    </w:p>
    <w:p>
      <w:pPr>
        <w:pStyle w:val="Heading1"/>
      </w:pPr>
      <w:r>
        <w:t xml:space="preserve">5. Endpoints de alta y actualización (POST)</w:t>
      </w:r>
    </w:p>
    <w:p>
      <w:pPr>
        <w:spacing w:after="120"/>
      </w:pPr>
      <w:r>
        <w:t xml:space="preserve">Implementan el patrón de sincronización completa descripto en 3.3: el array enviado representa el estado completo deseado para esa entidad.</w:t>
      </w:r>
    </w:p>
    <w:p>
      <w:pPr>
        <w:pStyle w:val="Heading2"/>
      </w:pPr>
      <w:r>
        <w:t xml:space="preserve">5.1. Sincronizar usuarios</w:t>
      </w:r>
    </w:p>
    <w:p>
      <w:pPr>
        <w:spacing w:after="160"/>
      </w:pPr>
      <w:r>
        <w:rPr>
          <w:rFonts w:ascii="Consolas" w:cs="Consolas" w:eastAsia="Consolas" w:hAnsi="Consolas"/>
          <w:b/>
          <w:bCs/>
          <w:color w:val="1F4E79"/>
        </w:rPr>
        <w:t xml:space="preserve">POST </w:t>
      </w:r>
      <w:r>
        <w:rPr>
          <w:rFonts w:ascii="Consolas" w:cs="Consolas" w:eastAsia="Consolas" w:hAnsi="Consolas"/>
          <w:b/>
          <w:bCs/>
        </w:rPr>
        <w:t xml:space="preserve">/users</w:t>
      </w:r>
    </w:p>
    <w:p>
      <w:pPr>
        <w:pStyle w:val="Heading3"/>
      </w:pPr>
      <w:r>
        <w:t xml:space="preserve">Headers</w:t>
      </w:r>
    </w:p>
    <w:p>
      <w:pPr>
        <w:shd w:fill="F4F4F4" w:val="clear"/>
        <w:spacing w:after="160" w:before="60"/>
      </w:pPr>
      <w:r>
        <w:rPr>
          <w:rFonts w:ascii="Consolas" w:cs="Consolas" w:eastAsia="Consolas" w:hAnsi="Consolas"/>
          <w:sz w:val="19"/>
          <w:szCs w:val="19"/>
        </w:rPr>
        <w:t xml:space="preserve">access-token: &lt;token&gt;</w:t>
      </w:r>
    </w:p>
    <w:p>
      <w:pPr>
        <w:pStyle w:val="Heading3"/>
      </w:pPr>
      <w:r>
        <w:t xml:space="preserve">Request</w:t>
      </w:r>
    </w:p>
    <w:p>
      <w:pPr>
        <w:spacing w:after="120"/>
      </w:pPr>
      <w:r>
        <w:t xml:space="preserve">Body:</w:t>
      </w:r>
    </w:p>
    <w:p>
      <w:pPr>
        <w:shd w:fill="F4F4F4" w:val="clear"/>
        <w:spacing w:after="160" w:before="60"/>
      </w:pPr>
      <w:r>
        <w:rPr>
          <w:rFonts w:ascii="Consolas" w:cs="Consolas" w:eastAsia="Consolas" w:hAnsi="Consolas"/>
          <w:sz w:val="19"/>
          <w:szCs w:val="19"/>
        </w:rPr>
        <w:t xml:space="preserve">{</w:t>
      </w:r>
      <w:r>
        <w:rPr>
          <w:rFonts w:ascii="Consolas" w:cs="Consolas" w:eastAsia="Consolas" w:hAnsi="Consolas"/>
          <w:sz w:val="19"/>
          <w:szCs w:val="19"/>
        </w:rPr>
        <w:br/>
        <w:t xml:space="preserve">  "users": [</w:t>
      </w:r>
      <w:r>
        <w:rPr>
          <w:rFonts w:ascii="Consolas" w:cs="Consolas" w:eastAsia="Consolas" w:hAnsi="Consolas"/>
          <w:sz w:val="19"/>
          <w:szCs w:val="19"/>
        </w:rPr>
        <w:br/>
        <w:t xml:space="preserve">    {</w:t>
      </w:r>
      <w:r>
        <w:rPr>
          <w:rFonts w:ascii="Consolas" w:cs="Consolas" w:eastAsia="Consolas" w:hAnsi="Consolas"/>
          <w:sz w:val="19"/>
          <w:szCs w:val="19"/>
        </w:rPr>
        <w:br/>
        <w:t xml:space="preserve">      "codigo": "USR-001",</w:t>
      </w:r>
      <w:r>
        <w:rPr>
          <w:rFonts w:ascii="Consolas" w:cs="Consolas" w:eastAsia="Consolas" w:hAnsi="Consolas"/>
          <w:sz w:val="19"/>
          <w:szCs w:val="19"/>
        </w:rPr>
        <w:br/>
        <w:t xml:space="preserve">      "nombre": "Juan",</w:t>
      </w:r>
      <w:r>
        <w:rPr>
          <w:rFonts w:ascii="Consolas" w:cs="Consolas" w:eastAsia="Consolas" w:hAnsi="Consolas"/>
          <w:sz w:val="19"/>
          <w:szCs w:val="19"/>
        </w:rPr>
        <w:br/>
        <w:t xml:space="preserve">      "apellido": "Pérez",</w:t>
      </w:r>
      <w:r>
        <w:rPr>
          <w:rFonts w:ascii="Consolas" w:cs="Consolas" w:eastAsia="Consolas" w:hAnsi="Consolas"/>
          <w:sz w:val="19"/>
          <w:szCs w:val="19"/>
        </w:rPr>
        <w:br/>
        <w:t xml:space="preserve">      "email": "juan.perez@ejemplo.com",</w:t>
      </w:r>
      <w:r>
        <w:rPr>
          <w:rFonts w:ascii="Consolas" w:cs="Consolas" w:eastAsia="Consolas" w:hAnsi="Consolas"/>
          <w:sz w:val="19"/>
          <w:szCs w:val="19"/>
        </w:rPr>
        <w:br/>
        <w:t xml:space="preserve">      "rol": "operador",</w:t>
      </w:r>
      <w:r>
        <w:rPr>
          <w:rFonts w:ascii="Consolas" w:cs="Consolas" w:eastAsia="Consolas" w:hAnsi="Consolas"/>
          <w:sz w:val="19"/>
          <w:szCs w:val="19"/>
        </w:rPr>
        <w:br/>
        <w:t xml:space="preserve">      "password": "opcional"</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w:t>
      </w:r>
    </w:p>
    <w:p>
      <w:pPr>
        <w:spacing w:after="120"/>
      </w:pPr>
      <w:r>
        <w:t xml:space="preserve">Valores aceptados para rol (case-insensitive):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700"/>
        <w:gridCol w:w="45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Campo</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Tipo</w:t>
            </w:r>
          </w:p>
        </w:tc>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Oblig.</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Descripción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admin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ROLE_ADMIN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Administrador del establecimiento.</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supervisor</w:t>
            </w:r>
          </w:p>
        </w:tc>
        <w:tc>
          <w:tcPr>
            <w:tcW w:type="dxa" w:w="1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 ROLE_SUPERVISOR</w:t>
            </w:r>
          </w:p>
        </w:tc>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Supervisor.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operador / empleado</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ROLE_EMPLOYEE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Operario de mixer.</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nutricionista</w:t>
            </w:r>
          </w:p>
        </w:tc>
        <w:tc>
          <w:tcPr>
            <w:tcW w:type="dxa" w:w="1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 ROLE_NUTRICIONIST</w:t>
            </w:r>
          </w:p>
        </w:tc>
        <w:tc>
          <w:tcPr>
            <w:tcW w:type="dxa" w:w="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Rol nutricionista.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(cualquier otro valor)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ROLE_EMPLOYEE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Valor por defecto si rol no matchea ninguno de los anteriores.</w:t>
            </w:r>
          </w:p>
        </w:tc>
      </w:tr>
    </w:tbl>
    <w:p>
      <w:pPr>
        <w:pStyle w:val="Heading3"/>
      </w:pPr>
      <w:r>
        <w:t xml:space="preserve">Notas de comportamiento</w:t>
      </w:r>
    </w:p>
    <w:p>
      <w:pPr>
        <w:pStyle w:val="ListParagraph"/>
        <w:numPr>
          <w:ilvl w:val="0"/>
          <w:numId w:val="2"/>
        </w:numPr>
        <w:spacing w:after="60"/>
      </w:pPr>
      <w:r>
        <w:t xml:space="preserve">Si password no se envía y el usuario es nuevo, se genera una contraseña temporal aleatoria (el usuario no podrá conocerla; debe gestionarse el primer acceso por otro canal).</w:t>
      </w:r>
    </w:p>
    <w:p>
      <w:pPr>
        <w:pStyle w:val="ListParagraph"/>
        <w:numPr>
          <w:ilvl w:val="0"/>
          <w:numId w:val="2"/>
        </w:numPr>
        <w:spacing w:after="60"/>
      </w:pPr>
      <w:r>
        <w:t xml:space="preserve">Si password se envía en una actualización, se sobreescribe la contraseña existente.</w:t>
      </w:r>
    </w:p>
    <w:p>
      <w:pPr>
        <w:pStyle w:val="ListParagraph"/>
        <w:numPr>
          <w:ilvl w:val="0"/>
          <w:numId w:val="2"/>
        </w:numPr>
        <w:spacing w:after="60"/>
      </w:pPr>
      <w:r>
        <w:t xml:space="preserve">El username interno se genera automáticamente como nombre.apellido en minúsculas; no es configurable desde Wincampo.</w:t>
      </w:r>
    </w:p>
    <w:p>
      <w:pPr>
        <w:pStyle w:val="ListParagraph"/>
        <w:numPr>
          <w:ilvl w:val="0"/>
          <w:numId w:val="2"/>
        </w:numPr>
        <w:spacing w:after="60"/>
      </w:pPr>
      <w:r>
        <w:t xml:space="preserve">Usuarios con ext_key que no estén en el lote enviado se archivan automáticamente (ver sección 3.3).</w:t>
      </w:r>
    </w:p>
    <w:p>
      <w:pPr>
        <w:spacing w:after="200"/>
      </w:pPr>
    </w:p>
    <w:p>
      <w:pPr>
        <w:pStyle w:val="Heading2"/>
      </w:pPr>
      <w:r>
        <w:t xml:space="preserve">5.2. Sincronizar productos</w:t>
      </w:r>
    </w:p>
    <w:p>
      <w:pPr>
        <w:spacing w:after="160"/>
      </w:pPr>
      <w:r>
        <w:rPr>
          <w:rFonts w:ascii="Consolas" w:cs="Consolas" w:eastAsia="Consolas" w:hAnsi="Consolas"/>
          <w:b/>
          <w:bCs/>
          <w:color w:val="1F4E79"/>
        </w:rPr>
        <w:t xml:space="preserve">POST </w:t>
      </w:r>
      <w:r>
        <w:rPr>
          <w:rFonts w:ascii="Consolas" w:cs="Consolas" w:eastAsia="Consolas" w:hAnsi="Consolas"/>
          <w:b/>
          <w:bCs/>
        </w:rPr>
        <w:t xml:space="preserve">/products</w:t>
      </w:r>
    </w:p>
    <w:p>
      <w:pPr>
        <w:pStyle w:val="Heading3"/>
      </w:pPr>
      <w:r>
        <w:t xml:space="preserve">Headers</w:t>
      </w:r>
    </w:p>
    <w:p>
      <w:pPr>
        <w:shd w:fill="F4F4F4" w:val="clear"/>
        <w:spacing w:after="160" w:before="60"/>
      </w:pPr>
      <w:r>
        <w:rPr>
          <w:rFonts w:ascii="Consolas" w:cs="Consolas" w:eastAsia="Consolas" w:hAnsi="Consolas"/>
          <w:sz w:val="19"/>
          <w:szCs w:val="19"/>
        </w:rPr>
        <w:t xml:space="preserve">access-token: &lt;token&gt;</w:t>
      </w:r>
    </w:p>
    <w:p>
      <w:pPr>
        <w:pStyle w:val="Heading3"/>
      </w:pPr>
      <w:r>
        <w:t xml:space="preserve">Request</w:t>
      </w:r>
    </w:p>
    <w:p>
      <w:pPr>
        <w:shd w:fill="F4F4F4" w:val="clear"/>
        <w:spacing w:after="160" w:before="60"/>
      </w:pPr>
      <w:r>
        <w:rPr>
          <w:rFonts w:ascii="Consolas" w:cs="Consolas" w:eastAsia="Consolas" w:hAnsi="Consolas"/>
          <w:sz w:val="19"/>
          <w:szCs w:val="19"/>
        </w:rPr>
        <w:t xml:space="preserve">{</w:t>
      </w:r>
      <w:r>
        <w:rPr>
          <w:rFonts w:ascii="Consolas" w:cs="Consolas" w:eastAsia="Consolas" w:hAnsi="Consolas"/>
          <w:sz w:val="19"/>
          <w:szCs w:val="19"/>
        </w:rPr>
        <w:br/>
        <w:t xml:space="preserve">  "products": [</w:t>
      </w:r>
      <w:r>
        <w:rPr>
          <w:rFonts w:ascii="Consolas" w:cs="Consolas" w:eastAsia="Consolas" w:hAnsi="Consolas"/>
          <w:sz w:val="19"/>
          <w:szCs w:val="19"/>
        </w:rPr>
        <w:br/>
        <w:t xml:space="preserve">    { "codigo": "PROD-001", "descripcion": "Alfalfa" }</w:t>
      </w:r>
      <w:r>
        <w:rPr>
          <w:rFonts w:ascii="Consolas" w:cs="Consolas" w:eastAsia="Consolas" w:hAnsi="Consolas"/>
          <w:sz w:val="19"/>
          <w:szCs w:val="19"/>
        </w:rPr>
        <w:br/>
        <w:t xml:space="preserve">  ]</w:t>
      </w:r>
      <w:r>
        <w:rPr>
          <w:rFonts w:ascii="Consolas" w:cs="Consolas" w:eastAsia="Consolas" w:hAnsi="Consolas"/>
          <w:sz w:val="19"/>
          <w:szCs w:val="19"/>
        </w:rPr>
        <w:br/>
        <w:t xml:space="preserve">}</w:t>
      </w:r>
    </w:p>
    <w:p>
      <w:pPr>
        <w:pStyle w:val="Heading3"/>
      </w:pPr>
      <w:r>
        <w:t xml:space="preserve">Notas de comportamiento</w:t>
      </w:r>
    </w:p>
    <w:p>
      <w:pPr>
        <w:pStyle w:val="ListParagraph"/>
        <w:numPr>
          <w:ilvl w:val="0"/>
          <w:numId w:val="2"/>
        </w:numPr>
        <w:spacing w:after="60"/>
      </w:pPr>
      <w:r>
        <w:t xml:space="preserve">specific_weight se inicializa en 0.1 por defecto al crear un producto nuevo desde esta vía; no es parametrizable desde Wincampo.</w:t>
      </w:r>
    </w:p>
    <w:p>
      <w:pPr>
        <w:pStyle w:val="ListParagraph"/>
        <w:numPr>
          <w:ilvl w:val="0"/>
          <w:numId w:val="2"/>
        </w:numPr>
        <w:spacing w:after="60"/>
      </w:pPr>
      <w:r>
        <w:t xml:space="preserve">Dispara recálculo en cascada sobre dietas (ver 3.4) si algún producto resulta archivado.</w:t>
      </w:r>
    </w:p>
    <w:p>
      <w:pPr>
        <w:spacing w:after="200"/>
      </w:pPr>
    </w:p>
    <w:p>
      <w:pPr>
        <w:pStyle w:val="Heading2"/>
      </w:pPr>
      <w:r>
        <w:t xml:space="preserve">5.3. Sincronizar corrales</w:t>
      </w:r>
    </w:p>
    <w:p>
      <w:pPr>
        <w:spacing w:after="160"/>
      </w:pPr>
      <w:r>
        <w:rPr>
          <w:rFonts w:ascii="Consolas" w:cs="Consolas" w:eastAsia="Consolas" w:hAnsi="Consolas"/>
          <w:b/>
          <w:bCs/>
          <w:color w:val="1F4E79"/>
        </w:rPr>
        <w:t xml:space="preserve">POST </w:t>
      </w:r>
      <w:r>
        <w:rPr>
          <w:rFonts w:ascii="Consolas" w:cs="Consolas" w:eastAsia="Consolas" w:hAnsi="Consolas"/>
          <w:b/>
          <w:bCs/>
        </w:rPr>
        <w:t xml:space="preserve">/corrals</w:t>
      </w:r>
    </w:p>
    <w:p>
      <w:pPr>
        <w:pStyle w:val="Heading3"/>
      </w:pPr>
      <w:r>
        <w:t xml:space="preserve">Headers</w:t>
      </w:r>
    </w:p>
    <w:p>
      <w:pPr>
        <w:shd w:fill="F4F4F4" w:val="clear"/>
        <w:spacing w:after="160" w:before="60"/>
      </w:pPr>
      <w:r>
        <w:rPr>
          <w:rFonts w:ascii="Consolas" w:cs="Consolas" w:eastAsia="Consolas" w:hAnsi="Consolas"/>
          <w:sz w:val="19"/>
          <w:szCs w:val="19"/>
        </w:rPr>
        <w:t xml:space="preserve">access-token: &lt;token&gt;</w:t>
      </w:r>
    </w:p>
    <w:p>
      <w:pPr>
        <w:pStyle w:val="Heading3"/>
      </w:pPr>
      <w:r>
        <w:t xml:space="preserve">Request</w:t>
      </w:r>
    </w:p>
    <w:p>
      <w:pPr>
        <w:shd w:fill="F4F4F4" w:val="clear"/>
        <w:spacing w:after="160" w:before="60"/>
      </w:pPr>
      <w:r>
        <w:rPr>
          <w:rFonts w:ascii="Consolas" w:cs="Consolas" w:eastAsia="Consolas" w:hAnsi="Consolas"/>
          <w:sz w:val="19"/>
          <w:szCs w:val="19"/>
        </w:rPr>
        <w:t xml:space="preserve">{</w:t>
      </w:r>
      <w:r>
        <w:rPr>
          <w:rFonts w:ascii="Consolas" w:cs="Consolas" w:eastAsia="Consolas" w:hAnsi="Consolas"/>
          <w:sz w:val="19"/>
          <w:szCs w:val="19"/>
        </w:rPr>
        <w:br/>
        <w:t xml:space="preserve">  "corrals": [</w:t>
      </w:r>
      <w:r>
        <w:rPr>
          <w:rFonts w:ascii="Consolas" w:cs="Consolas" w:eastAsia="Consolas" w:hAnsi="Consolas"/>
          <w:sz w:val="19"/>
          <w:szCs w:val="19"/>
        </w:rPr>
        <w:br/>
        <w:t xml:space="preserve">    { "codigo": "COR-01", "descripcion": "Corral 1" }</w:t>
      </w:r>
      <w:r>
        <w:rPr>
          <w:rFonts w:ascii="Consolas" w:cs="Consolas" w:eastAsia="Consolas" w:hAnsi="Consolas"/>
          <w:sz w:val="19"/>
          <w:szCs w:val="19"/>
        </w:rPr>
        <w:br/>
        <w:t xml:space="preserve">  ]</w:t>
      </w:r>
      <w:r>
        <w:rPr>
          <w:rFonts w:ascii="Consolas" w:cs="Consolas" w:eastAsia="Consolas" w:hAnsi="Consolas"/>
          <w:sz w:val="19"/>
          <w:szCs w:val="19"/>
        </w:rPr>
        <w:br/>
        <w:t xml:space="preserve">}</w:t>
      </w:r>
    </w:p>
    <w:p>
      <w:pPr>
        <w:pStyle w:val="Heading3"/>
      </w:pPr>
      <w:r>
        <w:t xml:space="preserve">Notas de comportamiento</w:t>
      </w:r>
    </w:p>
    <w:p>
      <w:pPr>
        <w:pStyle w:val="ListParagraph"/>
        <w:numPr>
          <w:ilvl w:val="0"/>
          <w:numId w:val="2"/>
        </w:numPr>
        <w:spacing w:after="60"/>
      </w:pPr>
      <w:r>
        <w:t xml:space="preserve">Si el tenant no tiene ningún establecimiento creado, se crea automáticamente uno usando el nombre del cliente, y los corrales nuevos quedan asociados a ese establecimiento.</w:t>
      </w:r>
    </w:p>
    <w:p>
      <w:pPr>
        <w:pStyle w:val="ListParagraph"/>
        <w:numPr>
          <w:ilvl w:val="0"/>
          <w:numId w:val="2"/>
        </w:numPr>
        <w:spacing w:after="60"/>
      </w:pPr>
      <w:r>
        <w:t xml:space="preserve">Todos los corrales sincronizados desde Wincampo quedan en el primer establecimiento existente (orden ascendente por id); esta API no permite indicar a qué establecimiento pertenece cada corral.</w:t>
      </w:r>
    </w:p>
    <w:p>
      <w:pPr>
        <w:pStyle w:val="ListParagraph"/>
        <w:numPr>
          <w:ilvl w:val="0"/>
          <w:numId w:val="2"/>
        </w:numPr>
        <w:spacing w:after="60"/>
      </w:pPr>
      <w:r>
        <w:t xml:space="preserve">Dispara recálculo en cascada sobre rondas (ver 3.4) si algún corral resulta archivado.</w:t>
      </w:r>
    </w:p>
    <w:p>
      <w:pPr>
        <w:spacing w:after="200"/>
      </w:pPr>
    </w:p>
    <w:p>
      <w:pPr>
        <w:pStyle w:val="Heading2"/>
      </w:pPr>
      <w:r>
        <w:t xml:space="preserve">5.4. Sincronizar dietas</w:t>
      </w:r>
    </w:p>
    <w:p>
      <w:pPr>
        <w:spacing w:after="160"/>
      </w:pPr>
      <w:r>
        <w:rPr>
          <w:rFonts w:ascii="Consolas" w:cs="Consolas" w:eastAsia="Consolas" w:hAnsi="Consolas"/>
          <w:b/>
          <w:bCs/>
          <w:color w:val="1F4E79"/>
        </w:rPr>
        <w:t xml:space="preserve">POST </w:t>
      </w:r>
      <w:r>
        <w:rPr>
          <w:rFonts w:ascii="Consolas" w:cs="Consolas" w:eastAsia="Consolas" w:hAnsi="Consolas"/>
          <w:b/>
          <w:bCs/>
        </w:rPr>
        <w:t xml:space="preserve">/diets</w:t>
      </w:r>
    </w:p>
    <w:p>
      <w:pPr>
        <w:pStyle w:val="Heading3"/>
      </w:pPr>
      <w:r>
        <w:t xml:space="preserve">Headers</w:t>
      </w:r>
    </w:p>
    <w:p>
      <w:pPr>
        <w:shd w:fill="F4F4F4" w:val="clear"/>
        <w:spacing w:after="160" w:before="60"/>
      </w:pPr>
      <w:r>
        <w:rPr>
          <w:rFonts w:ascii="Consolas" w:cs="Consolas" w:eastAsia="Consolas" w:hAnsi="Consolas"/>
          <w:sz w:val="19"/>
          <w:szCs w:val="19"/>
        </w:rPr>
        <w:t xml:space="preserve">access-token: &lt;token&gt;</w:t>
      </w:r>
    </w:p>
    <w:p>
      <w:pPr>
        <w:pStyle w:val="Heading3"/>
      </w:pPr>
      <w:r>
        <w:t xml:space="preserve">Request</w:t>
      </w:r>
    </w:p>
    <w:p>
      <w:pPr>
        <w:shd w:fill="F4F4F4" w:val="clear"/>
        <w:spacing w:after="160" w:before="60"/>
      </w:pPr>
      <w:r>
        <w:rPr>
          <w:rFonts w:ascii="Consolas" w:cs="Consolas" w:eastAsia="Consolas" w:hAnsi="Consolas"/>
          <w:sz w:val="19"/>
          <w:szCs w:val="19"/>
        </w:rPr>
        <w:t xml:space="preserve">{</w:t>
      </w:r>
      <w:r>
        <w:rPr>
          <w:rFonts w:ascii="Consolas" w:cs="Consolas" w:eastAsia="Consolas" w:hAnsi="Consolas"/>
          <w:sz w:val="19"/>
          <w:szCs w:val="19"/>
        </w:rPr>
        <w:br/>
        <w:t xml:space="preserve">  "diets": [</w:t>
      </w:r>
      <w:r>
        <w:rPr>
          <w:rFonts w:ascii="Consolas" w:cs="Consolas" w:eastAsia="Consolas" w:hAnsi="Consolas"/>
          <w:sz w:val="19"/>
          <w:szCs w:val="19"/>
        </w:rPr>
        <w:br/>
        <w:t xml:space="preserve">    {</w:t>
      </w:r>
      <w:r>
        <w:rPr>
          <w:rFonts w:ascii="Consolas" w:cs="Consolas" w:eastAsia="Consolas" w:hAnsi="Consolas"/>
          <w:sz w:val="19"/>
          <w:szCs w:val="19"/>
        </w:rPr>
        <w:br/>
        <w:t xml:space="preserve">      "codigo": "DIETA-001",</w:t>
      </w:r>
      <w:r>
        <w:rPr>
          <w:rFonts w:ascii="Consolas" w:cs="Consolas" w:eastAsia="Consolas" w:hAnsi="Consolas"/>
          <w:sz w:val="19"/>
          <w:szCs w:val="19"/>
        </w:rPr>
        <w:br/>
        <w:t xml:space="preserve">      "descripcion": "Engorde intensivo",</w:t>
      </w:r>
      <w:r>
        <w:rPr>
          <w:rFonts w:ascii="Consolas" w:cs="Consolas" w:eastAsia="Consolas" w:hAnsi="Consolas"/>
          <w:sz w:val="19"/>
          <w:szCs w:val="19"/>
        </w:rPr>
        <w:br/>
        <w:t xml:space="preserve">      "productos": [</w:t>
      </w:r>
      <w:r>
        <w:rPr>
          <w:rFonts w:ascii="Consolas" w:cs="Consolas" w:eastAsia="Consolas" w:hAnsi="Consolas"/>
          <w:sz w:val="19"/>
          <w:szCs w:val="19"/>
        </w:rPr>
        <w:br/>
        <w:t xml:space="preserve">        { "codigo": "PROD-001", "descripcion": "Alfalfa", "orden": 1, "cantidad": 150 },</w:t>
      </w:r>
      <w:r>
        <w:rPr>
          <w:rFonts w:ascii="Consolas" w:cs="Consolas" w:eastAsia="Consolas" w:hAnsi="Consolas"/>
          <w:sz w:val="19"/>
          <w:szCs w:val="19"/>
        </w:rPr>
        <w:br/>
        <w:t xml:space="preserve">        { "codigo": "PROD-002", "descripcion": "Agua",    "orden": 2, "cantidad": 150 }</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w:t>
      </w:r>
    </w:p>
    <w:p>
      <w:pPr>
        <w:pStyle w:val="Heading3"/>
      </w:pPr>
      <w:r>
        <w:t xml:space="preserve">Notas de comportamiento</w:t>
      </w:r>
    </w:p>
    <w:p>
      <w:pPr>
        <w:pStyle w:val="ListParagraph"/>
        <w:numPr>
          <w:ilvl w:val="0"/>
          <w:numId w:val="2"/>
        </w:numPr>
        <w:spacing w:after="60"/>
      </w:pPr>
      <w:r>
        <w:t xml:space="preserve">cantidad por producto representa el peso (en la unidad de la fórmula) de ese ingrediente en la mezcla; el porcentaje (percentage) se calcula automáticamente como cantidad / suma_de_cantidades * 100.</w:t>
      </w:r>
    </w:p>
    <w:p>
      <w:pPr>
        <w:pStyle w:val="ListParagraph"/>
        <w:numPr>
          <w:ilvl w:val="0"/>
          <w:numId w:val="2"/>
        </w:numPr>
        <w:spacing w:after="60"/>
      </w:pPr>
      <w:r>
        <w:t xml:space="preserve">Los productos referenciados que no existan en SpiMixer (por codigo) se crean automáticamente, igual que en POST /products.</w:t>
      </w:r>
    </w:p>
    <w:p>
      <w:pPr>
        <w:pStyle w:val="ListParagraph"/>
        <w:numPr>
          <w:ilvl w:val="0"/>
          <w:numId w:val="2"/>
        </w:numPr>
        <w:spacing w:after="60"/>
      </w:pPr>
      <w:r>
        <w:t xml:space="preserve">En cada sincronización se borra y se vuelve a insertar por completo la composición de la dieta (diet_product); enviar el listado completo de productos de la dieta en cada request, no solo los cambios.</w:t>
      </w:r>
    </w:p>
    <w:p>
      <w:pPr>
        <w:pStyle w:val="ListParagraph"/>
        <w:numPr>
          <w:ilvl w:val="0"/>
          <w:numId w:val="2"/>
        </w:numPr>
        <w:spacing w:after="60"/>
      </w:pPr>
      <w:r>
        <w:t xml:space="preserve">Dispara recálculo en cascada (archivado de rondas que dependan de dietas archivadas) si alguna dieta resulta archivada.</w:t>
      </w:r>
    </w:p>
    <w:p>
      <w:pPr>
        <w:spacing w:after="200"/>
      </w:pPr>
    </w:p>
    <w:p>
      <w:pPr>
        <w:pStyle w:val="Heading2"/>
      </w:pPr>
      <w:r>
        <w:t xml:space="preserve">5.5. Sincronizar rondas</w:t>
      </w:r>
    </w:p>
    <w:p>
      <w:pPr>
        <w:spacing w:after="160"/>
      </w:pPr>
      <w:r>
        <w:rPr>
          <w:rFonts w:ascii="Consolas" w:cs="Consolas" w:eastAsia="Consolas" w:hAnsi="Consolas"/>
          <w:b/>
          <w:bCs/>
          <w:color w:val="1F4E79"/>
        </w:rPr>
        <w:t xml:space="preserve">POST </w:t>
      </w:r>
      <w:r>
        <w:rPr>
          <w:rFonts w:ascii="Consolas" w:cs="Consolas" w:eastAsia="Consolas" w:hAnsi="Consolas"/>
          <w:b/>
          <w:bCs/>
        </w:rPr>
        <w:t xml:space="preserve">/rounds</w:t>
      </w:r>
    </w:p>
    <w:p>
      <w:pPr>
        <w:spacing w:after="120"/>
      </w:pPr>
      <w:r>
        <w:t xml:space="preserve">A diferencia de los demás endpoints POST, este NO archiva automáticamente las rondas que falten en el lote (ver 5.6 para el archivado explícito).</w:t>
      </w:r>
    </w:p>
    <w:p>
      <w:pPr>
        <w:pStyle w:val="Heading3"/>
      </w:pPr>
      <w:r>
        <w:t xml:space="preserve">Headers</w:t>
      </w:r>
    </w:p>
    <w:p>
      <w:pPr>
        <w:shd w:fill="F4F4F4" w:val="clear"/>
        <w:spacing w:after="160" w:before="60"/>
      </w:pPr>
      <w:r>
        <w:rPr>
          <w:rFonts w:ascii="Consolas" w:cs="Consolas" w:eastAsia="Consolas" w:hAnsi="Consolas"/>
          <w:sz w:val="19"/>
          <w:szCs w:val="19"/>
        </w:rPr>
        <w:t xml:space="preserve">access-token: &lt;token&gt;</w:t>
      </w:r>
    </w:p>
    <w:p>
      <w:pPr>
        <w:pStyle w:val="Heading3"/>
      </w:pPr>
      <w:r>
        <w:t xml:space="preserve">Request</w:t>
      </w:r>
    </w:p>
    <w:p>
      <w:pPr>
        <w:shd w:fill="F4F4F4" w:val="clear"/>
        <w:spacing w:after="160" w:before="60"/>
      </w:pPr>
      <w:r>
        <w:rPr>
          <w:rFonts w:ascii="Consolas" w:cs="Consolas" w:eastAsia="Consolas" w:hAnsi="Consolas"/>
          <w:sz w:val="19"/>
          <w:szCs w:val="19"/>
        </w:rPr>
        <w:t xml:space="preserve">{</w:t>
      </w:r>
      <w:r>
        <w:rPr>
          <w:rFonts w:ascii="Consolas" w:cs="Consolas" w:eastAsia="Consolas" w:hAnsi="Consolas"/>
          <w:sz w:val="19"/>
          <w:szCs w:val="19"/>
        </w:rPr>
        <w:br/>
        <w:t xml:space="preserve">  "rounds": [</w:t>
      </w:r>
      <w:r>
        <w:rPr>
          <w:rFonts w:ascii="Consolas" w:cs="Consolas" w:eastAsia="Consolas" w:hAnsi="Consolas"/>
          <w:sz w:val="19"/>
          <w:szCs w:val="19"/>
        </w:rPr>
        <w:br/>
        <w:t xml:space="preserve">    {</w:t>
      </w:r>
      <w:r>
        <w:rPr>
          <w:rFonts w:ascii="Consolas" w:cs="Consolas" w:eastAsia="Consolas" w:hAnsi="Consolas"/>
          <w:sz w:val="19"/>
          <w:szCs w:val="19"/>
        </w:rPr>
        <w:br/>
        <w:t xml:space="preserve">      "codigo": "RONDA-001",</w:t>
      </w:r>
      <w:r>
        <w:rPr>
          <w:rFonts w:ascii="Consolas" w:cs="Consolas" w:eastAsia="Consolas" w:hAnsi="Consolas"/>
          <w:sz w:val="19"/>
          <w:szCs w:val="19"/>
        </w:rPr>
        <w:br/>
        <w:t xml:space="preserve">      "fecha": "2026-06-25 08:30:00",</w:t>
      </w:r>
      <w:r>
        <w:rPr>
          <w:rFonts w:ascii="Consolas" w:cs="Consolas" w:eastAsia="Consolas" w:hAnsi="Consolas"/>
          <w:sz w:val="19"/>
          <w:szCs w:val="19"/>
        </w:rPr>
        <w:br/>
        <w:t xml:space="preserve">      "turno": 1,</w:t>
      </w:r>
      <w:r>
        <w:rPr>
          <w:rFonts w:ascii="Consolas" w:cs="Consolas" w:eastAsia="Consolas" w:hAnsi="Consolas"/>
          <w:sz w:val="19"/>
          <w:szCs w:val="19"/>
        </w:rPr>
        <w:br/>
        <w:t xml:space="preserve">      "descripcion": "Ronda mañana",</w:t>
      </w:r>
      <w:r>
        <w:rPr>
          <w:rFonts w:ascii="Consolas" w:cs="Consolas" w:eastAsia="Consolas" w:hAnsi="Consolas"/>
          <w:sz w:val="19"/>
          <w:szCs w:val="19"/>
        </w:rPr>
        <w:br/>
        <w:t xml:space="preserve">      "dieta": {</w:t>
      </w:r>
      <w:r>
        <w:rPr>
          <w:rFonts w:ascii="Consolas" w:cs="Consolas" w:eastAsia="Consolas" w:hAnsi="Consolas"/>
          <w:sz w:val="19"/>
          <w:szCs w:val="19"/>
        </w:rPr>
        <w:br/>
        <w:t xml:space="preserve">        "codigo": "DIETA-001",</w:t>
      </w:r>
      <w:r>
        <w:rPr>
          <w:rFonts w:ascii="Consolas" w:cs="Consolas" w:eastAsia="Consolas" w:hAnsi="Consolas"/>
          <w:sz w:val="19"/>
          <w:szCs w:val="19"/>
        </w:rPr>
        <w:br/>
        <w:t xml:space="preserve">        "descripcion": "Engorde intensivo",</w:t>
      </w:r>
      <w:r>
        <w:rPr>
          <w:rFonts w:ascii="Consolas" w:cs="Consolas" w:eastAsia="Consolas" w:hAnsi="Consolas"/>
          <w:sz w:val="19"/>
          <w:szCs w:val="19"/>
        </w:rPr>
        <w:br/>
        <w:t xml:space="preserve">        "productos": [</w:t>
      </w:r>
      <w:r>
        <w:rPr>
          <w:rFonts w:ascii="Consolas" w:cs="Consolas" w:eastAsia="Consolas" w:hAnsi="Consolas"/>
          <w:sz w:val="19"/>
          <w:szCs w:val="19"/>
        </w:rPr>
        <w:br/>
        <w:t xml:space="preserve">          { "codigo": "PROD-001", "descripcion": "Alfalfa", "orden": 1, "cantidad": 1 },</w:t>
      </w:r>
      <w:r>
        <w:rPr>
          <w:rFonts w:ascii="Consolas" w:cs="Consolas" w:eastAsia="Consolas" w:hAnsi="Consolas"/>
          <w:sz w:val="19"/>
          <w:szCs w:val="19"/>
        </w:rPr>
        <w:br/>
        <w:t xml:space="preserve">          { "codigo": "PROD-002", "descripcion": "Agua",    "orden": 2, "cantidad": 1 }</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      "corrales": [</w:t>
      </w:r>
      <w:r>
        <w:rPr>
          <w:rFonts w:ascii="Consolas" w:cs="Consolas" w:eastAsia="Consolas" w:hAnsi="Consolas"/>
          <w:sz w:val="19"/>
          <w:szCs w:val="19"/>
        </w:rPr>
        <w:br/>
        <w:t xml:space="preserve">        { "codigo": "COR-01", "descripcion": "Corral 1", "orden": 1, "cantidad": 100 },</w:t>
      </w:r>
      <w:r>
        <w:rPr>
          <w:rFonts w:ascii="Consolas" w:cs="Consolas" w:eastAsia="Consolas" w:hAnsi="Consolas"/>
          <w:sz w:val="19"/>
          <w:szCs w:val="19"/>
        </w:rPr>
        <w:br/>
        <w:t xml:space="preserve">        { "codigo": "COR-02", "descripcion": "Corral 2", "orden": 2, "cantidad": 100 },</w:t>
      </w:r>
      <w:r>
        <w:rPr>
          <w:rFonts w:ascii="Consolas" w:cs="Consolas" w:eastAsia="Consolas" w:hAnsi="Consolas"/>
          <w:sz w:val="19"/>
          <w:szCs w:val="19"/>
        </w:rPr>
        <w:br/>
        <w:t xml:space="preserve">        { "codigo": "COR-03", "descripcion": "Corral 3", "orden": 3, "cantidad": 100 }</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w:t>
      </w:r>
    </w:p>
    <w:p>
      <w:pPr>
        <w:pStyle w:val="Heading3"/>
      </w:pPr>
      <w:r>
        <w:t xml:space="preserve">Notas de comportamiento</w:t>
      </w:r>
    </w:p>
    <w:p>
      <w:pPr>
        <w:pStyle w:val="ListParagraph"/>
        <w:numPr>
          <w:ilvl w:val="0"/>
          <w:numId w:val="2"/>
        </w:numPr>
        <w:spacing w:after="60"/>
      </w:pPr>
      <w:r>
        <w:t xml:space="preserve">El peso total de la ronda (weight) se calcula automáticamente como la suma de cantidad de todos los corrales. Es ese total el que determina cuánta mezcla preparará el mixer (ver ejemplo en 1.2).</w:t>
      </w:r>
    </w:p>
    <w:p>
      <w:pPr>
        <w:pStyle w:val="ListParagraph"/>
        <w:numPr>
          <w:ilvl w:val="0"/>
          <w:numId w:val="2"/>
        </w:numPr>
        <w:spacing w:after="60"/>
      </w:pPr>
      <w:r>
        <w:t xml:space="preserve">La proporción de cada producto en la dieta de esta ronda se recalcula en base a cantidad relativa entre productos (no es necesario que cantidad esté pre-multiplicada por el peso total; el sistema la guarda como peso base y calcula percentage).</w:t>
      </w:r>
    </w:p>
    <w:p>
      <w:pPr>
        <w:pStyle w:val="ListParagraph"/>
        <w:numPr>
          <w:ilvl w:val="0"/>
          <w:numId w:val="2"/>
        </w:numPr>
        <w:spacing w:after="60"/>
      </w:pPr>
      <w:r>
        <w:t xml:space="preserve">Tanto la dieta embebida como los corrales se resuelven/crean igual que en sus respectivos endpoints (por codigo); si no existen, se crean.</w:t>
      </w:r>
    </w:p>
    <w:p>
      <w:pPr>
        <w:pStyle w:val="ListParagraph"/>
        <w:numPr>
          <w:ilvl w:val="0"/>
          <w:numId w:val="2"/>
        </w:numPr>
        <w:spacing w:after="60"/>
      </w:pPr>
      <w:r>
        <w:t xml:space="preserve">En cada sincronización se borra y se vuelve a insertar por completo la lista de corrales de la ronda (round_corral); enviar siempre el listado completo de corrales de la ronda.</w:t>
      </w:r>
    </w:p>
    <w:p>
      <w:pPr>
        <w:pStyle w:val="ListParagraph"/>
        <w:numPr>
          <w:ilvl w:val="0"/>
          <w:numId w:val="2"/>
        </w:numPr>
        <w:spacing w:after="60"/>
      </w:pPr>
      <w:r>
        <w:t xml:space="preserve">Una ronda nueva se crea con custom_percentage = 100 y use_percentage = 0 por defecto.</w:t>
      </w:r>
    </w:p>
    <w:p>
      <w:pPr>
        <w:pStyle w:val="ListParagraph"/>
        <w:numPr>
          <w:ilvl w:val="0"/>
          <w:numId w:val="2"/>
        </w:numPr>
        <w:spacing w:after="60"/>
      </w:pPr>
      <w:r>
        <w:t xml:space="preserve">El campo descripcion interno que se guarda en SpiMixer (visible en getrounds) se genera automáticamente con el formato "OT &lt;codigo&gt; | T&lt;turno&gt; | &lt;DD-MES&gt;"; el texto que envía Wincampo en descripcion se guarda en el campo name.</w:t>
      </w:r>
    </w:p>
    <w:p>
      <w:pPr>
        <w:spacing w:after="200"/>
      </w:pPr>
    </w:p>
    <w:p>
      <w:r>
        <w:br w:type="page"/>
      </w:r>
    </w:p>
    <w:p>
      <w:pPr>
        <w:pStyle w:val="Heading1"/>
      </w:pPr>
      <w:r>
        <w:t xml:space="preserve">6. Endpoint de archivado explícito (DELETE)</w:t>
      </w:r>
    </w:p>
    <w:p>
      <w:pPr>
        <w:pStyle w:val="Heading2"/>
      </w:pPr>
      <w:r>
        <w:t xml:space="preserve">6.1. Archivar rondas</w:t>
      </w:r>
    </w:p>
    <w:p>
      <w:pPr>
        <w:spacing w:after="160"/>
      </w:pPr>
      <w:r>
        <w:rPr>
          <w:rFonts w:ascii="Consolas" w:cs="Consolas" w:eastAsia="Consolas" w:hAnsi="Consolas"/>
          <w:b/>
          <w:bCs/>
          <w:color w:val="1F4E79"/>
        </w:rPr>
        <w:t xml:space="preserve">DELETE </w:t>
      </w:r>
      <w:r>
        <w:rPr>
          <w:rFonts w:ascii="Consolas" w:cs="Consolas" w:eastAsia="Consolas" w:hAnsi="Consolas"/>
          <w:b/>
          <w:bCs/>
        </w:rPr>
        <w:t xml:space="preserve">/rounds</w:t>
      </w:r>
    </w:p>
    <w:p>
      <w:pPr>
        <w:spacing w:after="120"/>
      </w:pPr>
      <w:r>
        <w:t xml:space="preserve">Único mecanismo para dar de baja (archivar) una ronda creada vía POST /rounds, dado que ese endpoint no archiva automáticamente.</w:t>
      </w:r>
    </w:p>
    <w:p>
      <w:pPr>
        <w:pStyle w:val="Heading3"/>
      </w:pPr>
      <w:r>
        <w:t xml:space="preserve">Headers</w:t>
      </w:r>
    </w:p>
    <w:p>
      <w:pPr>
        <w:shd w:fill="F4F4F4" w:val="clear"/>
        <w:spacing w:after="160" w:before="60"/>
      </w:pPr>
      <w:r>
        <w:rPr>
          <w:rFonts w:ascii="Consolas" w:cs="Consolas" w:eastAsia="Consolas" w:hAnsi="Consolas"/>
          <w:sz w:val="19"/>
          <w:szCs w:val="19"/>
        </w:rPr>
        <w:t xml:space="preserve">access-token: &lt;token&gt;</w:t>
      </w:r>
    </w:p>
    <w:p>
      <w:pPr>
        <w:pStyle w:val="Heading3"/>
      </w:pPr>
      <w:r>
        <w:t xml:space="preserve">Request</w:t>
      </w:r>
    </w:p>
    <w:p>
      <w:pPr>
        <w:shd w:fill="F4F4F4" w:val="clear"/>
        <w:spacing w:after="160" w:before="60"/>
      </w:pPr>
      <w:r>
        <w:rPr>
          <w:rFonts w:ascii="Consolas" w:cs="Consolas" w:eastAsia="Consolas" w:hAnsi="Consolas"/>
          <w:sz w:val="19"/>
          <w:szCs w:val="19"/>
        </w:rPr>
        <w:t xml:space="preserve">{</w:t>
      </w:r>
      <w:r>
        <w:rPr>
          <w:rFonts w:ascii="Consolas" w:cs="Consolas" w:eastAsia="Consolas" w:hAnsi="Consolas"/>
          <w:sz w:val="19"/>
          <w:szCs w:val="19"/>
        </w:rPr>
        <w:br/>
        <w:t xml:space="preserve">  "rounds": ["RONDA-001", "RONDA-002"]</w:t>
      </w:r>
      <w:r>
        <w:rPr>
          <w:rFonts w:ascii="Consolas" w:cs="Consolas" w:eastAsia="Consolas" w:hAnsi="Consolas"/>
          <w:sz w:val="19"/>
          <w:szCs w:val="19"/>
        </w:rPr>
        <w:br/>
        <w:t xml:space="preserve">}</w:t>
      </w:r>
      <w:r>
        <w:rPr>
          <w:rFonts w:ascii="Consolas" w:cs="Consolas" w:eastAsia="Consolas" w:hAnsi="Consolas"/>
          <w:sz w:val="19"/>
          <w:szCs w:val="19"/>
        </w:rPr>
        <w:br/>
        <w:t xml:space="preserve">// también admite formato objeto:</w:t>
      </w:r>
      <w:r>
        <w:rPr>
          <w:rFonts w:ascii="Consolas" w:cs="Consolas" w:eastAsia="Consolas" w:hAnsi="Consolas"/>
          <w:sz w:val="19"/>
          <w:szCs w:val="19"/>
        </w:rPr>
        <w:br/>
        <w:t xml:space="preserve">{</w:t>
      </w:r>
      <w:r>
        <w:rPr>
          <w:rFonts w:ascii="Consolas" w:cs="Consolas" w:eastAsia="Consolas" w:hAnsi="Consolas"/>
          <w:sz w:val="19"/>
          <w:szCs w:val="19"/>
        </w:rPr>
        <w:br/>
        <w:t xml:space="preserve">  "rounds": [{ "codigo": "RONDA-001" }, { "codigo": "RONDA-002" }]</w:t>
      </w:r>
      <w:r>
        <w:rPr>
          <w:rFonts w:ascii="Consolas" w:cs="Consolas" w:eastAsia="Consolas" w:hAnsi="Consolas"/>
          <w:sz w:val="19"/>
          <w:szCs w:val="19"/>
        </w:rPr>
        <w:br/>
        <w:t xml:space="preserve">}</w:t>
      </w:r>
    </w:p>
    <w:p>
      <w:pPr>
        <w:pStyle w:val="Heading3"/>
      </w:pPr>
      <w:r>
        <w:t xml:space="preserve">Response</w:t>
      </w:r>
    </w:p>
    <w:p>
      <w:pPr>
        <w:shd w:fill="F4F4F4" w:val="clear"/>
        <w:spacing w:after="160" w:before="60"/>
      </w:pPr>
      <w:r>
        <w:rPr>
          <w:rFonts w:ascii="Consolas" w:cs="Consolas" w:eastAsia="Consolas" w:hAnsi="Consolas"/>
          <w:sz w:val="19"/>
          <w:szCs w:val="19"/>
        </w:rPr>
        <w:t xml:space="preserve">[</w:t>
      </w:r>
      <w:r>
        <w:rPr>
          <w:rFonts w:ascii="Consolas" w:cs="Consolas" w:eastAsia="Consolas" w:hAnsi="Consolas"/>
          <w:sz w:val="19"/>
          <w:szCs w:val="19"/>
        </w:rPr>
        <w:br/>
        <w:t xml:space="preserve">  { "codigo": "RONDA-001", "id": 10, "message": "Ok archived", "status": 200 },</w:t>
      </w:r>
      <w:r>
        <w:rPr>
          <w:rFonts w:ascii="Consolas" w:cs="Consolas" w:eastAsia="Consolas" w:hAnsi="Consolas"/>
          <w:sz w:val="19"/>
          <w:szCs w:val="19"/>
        </w:rPr>
        <w:br/>
        <w:t xml:space="preserve">  { "codigo": "RONDA-002", "id": 11, "message": "Already archived", "status": 200 },</w:t>
      </w:r>
      <w:r>
        <w:rPr>
          <w:rFonts w:ascii="Consolas" w:cs="Consolas" w:eastAsia="Consolas" w:hAnsi="Consolas"/>
          <w:sz w:val="19"/>
          <w:szCs w:val="19"/>
        </w:rPr>
        <w:br/>
        <w:t xml:space="preserve">  { "codigo": "RONDA-999", "id": null, "message": "Round not found", "status": 404 }</w:t>
      </w:r>
      <w:r>
        <w:rPr>
          <w:rFonts w:ascii="Consolas" w:cs="Consolas" w:eastAsia="Consolas" w:hAnsi="Consolas"/>
          <w:sz w:val="19"/>
          <w:szCs w:val="19"/>
        </w:rPr>
        <w:br/>
        <w:t xml:space="preserve">]</w:t>
      </w:r>
    </w:p>
    <w:p>
      <w:pPr>
        <w:pStyle w:val="Heading3"/>
      </w:pPr>
      <w:r>
        <w:t xml:space="preserve">Notas de comportamiento</w:t>
      </w:r>
    </w:p>
    <w:p>
      <w:pPr>
        <w:pStyle w:val="ListParagraph"/>
        <w:numPr>
          <w:ilvl w:val="0"/>
          <w:numId w:val="2"/>
        </w:numPr>
        <w:spacing w:after="60"/>
      </w:pPr>
      <w:r>
        <w:t xml:space="preserve">El array rounds es obligatorio y no puede estar vacío; si lo está, la respuesta es 400.</w:t>
      </w:r>
    </w:p>
    <w:p>
      <w:pPr>
        <w:pStyle w:val="ListParagraph"/>
        <w:numPr>
          <w:ilvl w:val="0"/>
          <w:numId w:val="2"/>
        </w:numPr>
        <w:spacing w:after="60"/>
      </w:pPr>
      <w:r>
        <w:t xml:space="preserve">Es idempotente: archivar una ronda ya archivada devuelve status 200 con mensaje "Already archived", no es un error.</w:t>
      </w:r>
    </w:p>
    <w:p>
      <w:pPr>
        <w:spacing w:after="200"/>
      </w:pPr>
    </w:p>
    <w:p>
      <w:r>
        <w:br w:type="page"/>
      </w:r>
    </w:p>
    <w:p>
      <w:pPr>
        <w:pStyle w:val="Heading1"/>
      </w:pPr>
      <w:r>
        <w:t xml:space="preserve">7. Manejo de errores</w:t>
      </w:r>
    </w:p>
    <w:p>
      <w:pPr>
        <w:pStyle w:val="Heading2"/>
      </w:pPr>
      <w:r>
        <w:t xml:space="preserve">7.1. Errores a nivel HTTP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000"/>
        <w:gridCol w:w="596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Campo</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Tipo</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Oblig.</w:t>
            </w:r>
          </w:p>
        </w:tc>
        <w:tc>
          <w:tcPr>
            <w:tcW w:type="dxa" w:w="5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Descripción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403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Token ausente, inválido, o el usuario no tiene rol ROLE_API.</w:t>
            </w:r>
          </w:p>
        </w:tc>
      </w:tr>
      <w:tr>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400</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w:t>
            </w:r>
          </w:p>
        </w:tc>
        <w:tc>
          <w:tcPr>
            <w:tcW w:type="dxa" w:w="5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Body inválido (ej.: DELETE /rounds sin array rounds o con array vacío).</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404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Recurso no encontrado en operaciones puntuales (ej.: archivar una ronda con codigo inexistente).</w:t>
            </w:r>
          </w:p>
        </w:tc>
      </w:tr>
      <w:tr>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500</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w:t>
            </w:r>
          </w:p>
        </w:tc>
        <w:tc>
          <w:tcPr>
            <w:tcW w:type="dxa" w:w="5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Error inesperado a nivel de request completo (ej.: fallo de conexión a la base del tenant).</w:t>
            </w:r>
          </w:p>
        </w:tc>
      </w:tr>
    </w:tbl>
    <w:p>
      <w:pPr>
        <w:pStyle w:val="Heading2"/>
      </w:pPr>
      <w:r>
        <w:t xml:space="preserve">7.2. Errores a nivel de elemento (dentro del array de resultados)</w:t>
      </w:r>
    </w:p>
    <w:p>
      <w:pPr>
        <w:spacing w:after="120"/>
      </w:pPr>
      <w:r>
        <w:t xml:space="preserve">En los endpoints de sincronización por lote, un error en un elemento individual NO aborta el procesamiento del resto del lote. El HTTP status global sigue siendo 200, y el error se reporta dentro del array de resultados con status: 500 y un mensaje descriptivo en message. Wincampo debe recorrer siempre el array completo de la respuesta para detectar fallos parciales.</w:t>
      </w:r>
    </w:p>
    <w:p>
      <w:pPr>
        <w:shd w:fill="F4F4F4" w:val="clear"/>
        <w:spacing w:after="160" w:before="60"/>
      </w:pPr>
      <w:r>
        <w:rPr>
          <w:rFonts w:ascii="Consolas" w:cs="Consolas" w:eastAsia="Consolas" w:hAnsi="Consolas"/>
          <w:sz w:val="19"/>
          <w:szCs w:val="19"/>
        </w:rPr>
        <w:t xml:space="preserve">{ "codigo": "PROD-007", "id": null, "message": "Error: &lt;detalle&gt;", "status": 500 }</w:t>
      </w:r>
    </w:p>
    <w:p>
      <w:r>
        <w:br w:type="page"/>
      </w:r>
    </w:p>
    <w:p>
      <w:pPr>
        <w:pStyle w:val="Heading1"/>
      </w:pPr>
      <w:r>
        <w:t xml:space="preserve">8. Resumen de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Campo</w:t>
            </w:r>
          </w:p>
        </w:tc>
        <w:tc>
          <w:tcPr>
            <w:tcW w:type="dxa" w:w="6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Tipo</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Oblig.</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Descripción</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GET /getusers</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Lista de usuarios activos.</w:t>
            </w:r>
          </w:p>
        </w:tc>
      </w:tr>
      <w:tr>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GET /getproducts</w:t>
            </w:r>
          </w:p>
        </w:tc>
        <w:tc>
          <w:tcPr>
            <w:tcW w:type="dxa" w:w="6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w:t>
            </w:r>
          </w:p>
        </w:tc>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w:t>
            </w:r>
          </w:p>
        </w:tc>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Lista de productos activos.</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GET /getdiets</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Lista de dietas activas con sus productos.</w:t>
            </w:r>
          </w:p>
        </w:tc>
      </w:tr>
      <w:tr>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GET /getcorrals</w:t>
            </w:r>
          </w:p>
        </w:tc>
        <w:tc>
          <w:tcPr>
            <w:tcW w:type="dxa" w:w="6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w:t>
            </w:r>
          </w:p>
        </w:tc>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w:t>
            </w:r>
          </w:p>
        </w:tc>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Lista de corrales activos.</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GET /getrounds</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Lista de rondas activas con dieta y corrales.</w:t>
            </w:r>
          </w:p>
        </w:tc>
      </w:tr>
      <w:tr>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GET /getreports/:startDate/:endDate</w:t>
            </w:r>
          </w:p>
        </w:tc>
        <w:tc>
          <w:tcPr>
            <w:tcW w:type="dxa" w:w="6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w:t>
            </w:r>
          </w:p>
        </w:tc>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w:t>
            </w:r>
          </w:p>
        </w:tc>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Reportes de ejecución real (round_run) en un período.</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POST /users</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Alta/actualización/archivado completo de usuarios.</w:t>
            </w:r>
          </w:p>
        </w:tc>
      </w:tr>
      <w:tr>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POST /products</w:t>
            </w:r>
          </w:p>
        </w:tc>
        <w:tc>
          <w:tcPr>
            <w:tcW w:type="dxa" w:w="6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w:t>
            </w:r>
          </w:p>
        </w:tc>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w:t>
            </w:r>
          </w:p>
        </w:tc>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Alta/actualización/archivado completo de productos.</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POST /corrals</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Alta/actualización/archivado completo de corrales.</w:t>
            </w:r>
          </w:p>
        </w:tc>
      </w:tr>
      <w:tr>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POST /diets</w:t>
            </w:r>
          </w:p>
        </w:tc>
        <w:tc>
          <w:tcPr>
            <w:tcW w:type="dxa" w:w="6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w:t>
            </w:r>
          </w:p>
        </w:tc>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w:t>
            </w:r>
          </w:p>
        </w:tc>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Alta/actualización/archivado completo de dietas y su composición.</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POST /rounds</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Alta/actualización de rondas (sin archivado automático).</w:t>
            </w:r>
          </w:p>
        </w:tc>
      </w:tr>
      <w:tr>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DELETE /rounds</w:t>
            </w:r>
          </w:p>
        </w:tc>
        <w:tc>
          <w:tcPr>
            <w:tcW w:type="dxa" w:w="6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w:t>
            </w:r>
          </w:p>
        </w:tc>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w:t>
            </w:r>
          </w:p>
        </w:tc>
        <w:tc>
          <w:tcPr>
            <w:tcW w:type="dxa" w:w="23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rPr>
              <w:t xml:space="preserve">Archivado explícito de rondas por codigo.</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Página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SpiMixer · API Wincampo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160"/>
      <w:outlineLvl w:val="2"/>
    </w:pPr>
    <w:rPr>
      <w:rFonts w:ascii="Arial" w:cs="Arial" w:eastAsia="Arial" w:hAnsi="Arial"/>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2026-06-25T16:43:02.052Z</dcterms:created>
  <dcterms:modified xsi:type="dcterms:W3CDTF">2026-06-25T16:43:02.054Z</dcterms:modified>
</cp:coreProperties>
</file>

<file path=docProps/custom.xml><?xml version="1.0" encoding="utf-8"?>
<Properties xmlns="http://schemas.openxmlformats.org/officeDocument/2006/custom-properties" xmlns:vt="http://schemas.openxmlformats.org/officeDocument/2006/docPropsVTypes"/>
</file>