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Tadonio</w:t>
        <w:br/>
        <w:t>Strumenti e task</w:t>
      </w:r>
    </w:p>
    <w:p>
      <w:pPr>
        <w:pStyle w:val="Subtitle"/>
      </w:pPr>
      <w:r>
        <w:t>6 settembre 2026 · Sintesi per i due sviluppatori</w:t>
      </w:r>
    </w:p>
    <w:p>
      <w:r>
        <w:t>Obiettivo: sostituire Treatwell con una dashboard familiare al titolare, per una sede con 2–3 operatori e servizi atomici. Spostamento degli appuntamenti e cambio della durata sono inclusi nel primo rilascio.</w:t>
      </w:r>
    </w:p>
    <w:p>
      <w:pPr>
        <w:pStyle w:val="Heading2"/>
      </w:pPr>
      <w:r>
        <w:t>Strumenti da usare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ED7E0"/>
          <w:left w:val="single" w:sz="4" w:color="CED7E0"/>
          <w:bottom w:val="single" w:sz="4" w:color="CED7E0"/>
          <w:right w:val="single" w:sz="4" w:color="CED7E0"/>
          <w:insideH w:val="single" w:sz="4" w:color="CED7E0"/>
          <w:insideV w:val="single" w:sz="4" w:color="CED7E0"/>
        </w:tblBorders>
      </w:tblPr>
      <w:tblGrid>
        <w:gridCol w:w="3650"/>
        <w:gridCol w:w="5710"/>
      </w:tblGrid>
      <w:tr>
        <w:trPr>
          <w:cantSplit/>
          <w:tblHeader/>
        </w:trPr>
        <w:tc>
          <w:tcPr>
            <w:tcW w:type="dxa" w:w="3650"/>
            <w:shd w:fill="F2F4F7"/>
          </w:tcPr>
          <w:p>
            <w:pPr>
              <w:pStyle w:val="TableText"/>
            </w:pPr>
            <w:r>
              <w:rPr>
                <w:b/>
              </w:rPr>
              <w:t>Strumento</w:t>
            </w:r>
          </w:p>
        </w:tc>
        <w:tc>
          <w:tcPr>
            <w:tcW w:type="dxa" w:w="5710"/>
            <w:shd w:fill="F2F4F7"/>
          </w:tcPr>
          <w:p>
            <w:pPr>
              <w:pStyle w:val="TableText"/>
            </w:pPr>
            <w:r>
              <w:rPr>
                <w:b/>
              </w:rPr>
              <w:t>Utilizzo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React + TypeScript + Vite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Applicazione web e struttura del frontend.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Tailwind CSS + CSS Grid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Stile ricavato dagli screenshot e griglia dell’agenda.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dnd-kit + date-fns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Trascinamento e gestione delle date; ridimensionamento sviluppato da voi.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Supabase Auth + PostgreSQL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Accessi, ruoli, dati applicativi e copia consultabile degli appuntamenti.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Supabase Edge Functions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Backend sicuro per comunicare con le API GHL.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Supabase Realtime + Cron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Aggiornamento delle agende aperte e lavori di recupero.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GoHighLevel esistente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Prenotazioni, disponibilità, pagina pubblica, checkout e comunicazioni, dopo verifica tecnica.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Cloudflare Pages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Pubblicazione del frontend.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GitHub + Projects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Repository privato, revisioni del codice e board delle attività.</w:t>
            </w:r>
          </w:p>
        </w:tc>
      </w:tr>
      <w:tr>
        <w:trPr>
          <w:cantSplit/>
        </w:trPr>
        <w:tc>
          <w:tcPr>
            <w:tcW w:type="dxa" w:w="3650"/>
          </w:tcPr>
          <w:p>
            <w:pPr>
              <w:pStyle w:val="TableText"/>
            </w:pPr>
            <w:r>
              <w:t>Resend + Sentry</w:t>
            </w:r>
          </w:p>
        </w:tc>
        <w:tc>
          <w:tcPr>
            <w:tcW w:type="dxa" w:w="5710"/>
          </w:tcPr>
          <w:p>
            <w:pPr>
              <w:pStyle w:val="TableText"/>
            </w:pPr>
            <w:r>
              <w:t>Email di accesso e recupero password; monitoraggio degli errori.</w:t>
            </w:r>
          </w:p>
        </w:tc>
      </w:tr>
    </w:tbl>
    <w:p>
      <w:pPr>
        <w:pStyle w:val="Heading2"/>
      </w:pPr>
      <w:r>
        <w:t>Regola architetturale</w:t>
      </w:r>
    </w:p>
    <w:p>
      <w:r>
        <w:t>GHL resta il sistema autorevole delle prenotazioni. La dashboard invia i comandi tramite il backend e mostra la conferma solo dopo l’esito positivo di GHL. Supabase conserva la copia locale e aggiorna le sessioni aperte.</w:t>
      </w:r>
    </w:p>
    <w:p>
      <w:pPr>
        <w:pStyle w:val="Meta"/>
      </w:pPr>
      <w:r>
        <w:t>Tetto interno: 180 €/mese; GHL già pagato e nessuno stipendio ai due sviluppatori. Controllare canoni, quote e consumi prima dell’attivazione. Questo documento non rinnova il preventivo.</w:t>
      </w:r>
    </w:p>
    <w:p>
      <w:pPr>
        <w:pStyle w:val="Heading1"/>
        <w:pageBreakBefore/>
      </w:pPr>
      <w:r>
        <w:t>Task e sequenza di lavoro</w:t>
      </w:r>
    </w:p>
    <w:p>
      <w:r>
        <w:t>A = collaboratore responsabile dell’interfaccia. B = responsabile di GHL, dati e affidabilità. Ogni consegna viene revisionata dall’altro sviluppatore.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ED7E0"/>
          <w:left w:val="single" w:sz="4" w:color="CED7E0"/>
          <w:bottom w:val="single" w:sz="4" w:color="CED7E0"/>
          <w:right w:val="single" w:sz="4" w:color="CED7E0"/>
          <w:insideH w:val="single" w:sz="4" w:color="CED7E0"/>
          <w:insideV w:val="single" w:sz="4" w:color="CED7E0"/>
        </w:tblBorders>
      </w:tblPr>
      <w:tblGrid>
        <w:gridCol w:w="1750"/>
        <w:gridCol w:w="6410"/>
        <w:gridCol w:w="1200"/>
      </w:tblGrid>
      <w:tr>
        <w:trPr>
          <w:cantSplit/>
          <w:tblHeader/>
        </w:trPr>
        <w:tc>
          <w:tcPr>
            <w:tcW w:type="dxa" w:w="1750"/>
            <w:shd w:fill="F2F4F7"/>
          </w:tcPr>
          <w:p>
            <w:pPr>
              <w:pStyle w:val="TableText"/>
            </w:pPr>
            <w:r>
              <w:rPr>
                <w:b/>
              </w:rPr>
              <w:t>Fase</w:t>
            </w:r>
          </w:p>
        </w:tc>
        <w:tc>
          <w:tcPr>
            <w:tcW w:type="dxa" w:w="6410"/>
            <w:shd w:fill="F2F4F7"/>
          </w:tcPr>
          <w:p>
            <w:pPr>
              <w:pStyle w:val="TableText"/>
            </w:pPr>
            <w:r>
              <w:rPr>
                <w:b/>
              </w:rPr>
              <w:t>Task principali</w:t>
            </w:r>
          </w:p>
        </w:tc>
        <w:tc>
          <w:tcPr>
            <w:tcW w:type="dxa" w:w="1200"/>
            <w:shd w:fill="F2F4F7"/>
          </w:tcPr>
          <w:p>
            <w:pPr>
              <w:pStyle w:val="TableText"/>
            </w:pPr>
            <w:r>
              <w:rPr>
                <w:b/>
              </w:rPr>
              <w:t>Chi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1. Avvio parallelo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A: bozza dagli screenshot con dati fittizi. B: provare su GHL creazione, spostamento, cambio operatore, durata e pagamenti.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/ B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2. Fondamenta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Preparare repository, modello dati condiviso, provider mock, Supabase e accessi.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+ B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3. Agenda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Realizzare vista giorno/settimana, scheda cliente, inserimento, cancellazione, drag e resize. Separare prezzo e durata effettiva.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4. Integrazione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Collegare la dashboard a GHL; sincronizzare Supabase; gestire conflitti, errori, tentativi e risultati incerti.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B + A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5. Percorso pubblico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Configurare pagina GHL, link sito/social, checkout, conferme e promemoria.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+ B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6. Collaudo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Provare giornate piene, modifiche simultanee, pagamenti e recupero dagli errori; far usare l’agenda al titolare.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+ B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7. Migrazione e lancio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Importare clienti e appuntamenti futuri; riconciliare i dati; attivare il nuovo canale con una sola agenda autorevole.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+ B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pStyle w:val="TableText"/>
            </w:pPr>
            <w:r>
              <w:t>8. Manutenzione</w:t>
            </w:r>
          </w:p>
        </w:tc>
        <w:tc>
          <w:tcPr>
            <w:tcW w:type="dxa" w:w="6410"/>
          </w:tcPr>
          <w:p>
            <w:pPr>
              <w:pStyle w:val="TableText"/>
            </w:pPr>
            <w:r>
              <w:t>Affiancare il titolare; controllare errori, backup, sincronizzazioni e consumi.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t>A + B</w:t>
            </w:r>
          </w:p>
        </w:tc>
      </w:tr>
    </w:tbl>
    <w:p>
      <w:pPr>
        <w:pStyle w:val="Heading2"/>
      </w:pPr>
      <w:r>
        <w:t>Da iniziare oggi</w:t>
      </w:r>
    </w:p>
    <w:p>
      <w:r>
        <w:t>A può avviare la demo con il modello di coding e gli screenshot già raccolti. B verifica GHL in parallelo. La demo deve consentire di creare, spostare e accorciare un appuntamento fittizio senza cambiare il prezzo, mostrando chiaramente la modalità Demo.</w:t>
      </w:r>
    </w:p>
    <w:p>
      <w:pPr>
        <w:pStyle w:val="Heading2"/>
      </w:pPr>
      <w:r>
        <w:t>Condizione per collegare i dati reali</w:t>
      </w:r>
    </w:p>
    <w:p>
      <w:r>
        <w:t>Se GHL non supera le prove essenziali, prima della fase 4 si definisce il motore proprietario su Supabase. La UI resta riutilizzabile grazie al contratto comune tra dati fittizi e backend reale. Lo schema SQL esteso già proposto richiede correzioni prima di diventare una migrazione.</w:t>
      </w:r>
    </w:p>
    <w:p>
      <w:pPr>
        <w:pStyle w:val="Meta"/>
      </w:pPr>
      <w:r>
        <w:t>Fuori dal primo rilascio: multi-fase avanzato, cassa/fiscale, magazzino, centralino AI e realizzazione delle campagne. Per ogni task: un responsabile, un risultato verificabile e un’evidenza di completamento.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Brief tecnico · 06.09.2026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TADONIO PARRUCCHIERI  /  PIANO OPERATIVO SINTETICO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widowControl/>
      <w:spacing w:line="264" w:lineRule="auto" w:before="0" w:after="80"/>
    </w:pPr>
    <w:rPr>
      <w:rFonts w:ascii="Calibri" w:hAnsi="Calibri"/>
      <w:sz w:val="19"/>
    </w:rPr>
  </w:style>
  <w:style w:type="paragraph" w:customStyle="1" w:styleId="Code">
    <w:name w:val="Code"/>
    <w:pPr>
      <w:widowControl/>
      <w:spacing w:line="252" w:lineRule="auto" w:before="0" w:after="80"/>
    </w:pPr>
    <w:rPr>
      <w:rFonts w:ascii="Consolas" w:hAnsi="Consolas"/>
      <w:sz w:val="18"/>
    </w:rPr>
  </w:style>
  <w:style w:type="paragraph" w:customStyle="1" w:styleId="Meta">
    <w:name w:val="Meta"/>
    <w:pPr>
      <w:widowControl/>
      <w:spacing w:line="264" w:lineRule="auto" w:before="0" w:after="80"/>
    </w:pPr>
    <w:rPr>
      <w:rFonts w:ascii="Calibri" w:hAnsi="Calibri"/>
      <w:sz w:val="18"/>
    </w:rPr>
  </w:style>
  <w:style w:type="paragraph" w:customStyle="1" w:styleId="BulletCustom">
    <w:name w:val="BulletCustom"/>
    <w:pPr>
      <w:widowControl/>
      <w:spacing w:line="280" w:lineRule="auto" w:before="0" w:after="16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Tadonio — Strumenti e task</dc:title>
  <dc:subject>Piano operativo sintetico per avvio dashboard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