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E5AAC"/>
          <w:sz w:val="40"/>
          <w:szCs w:val="40"/>
        </w:rPr>
        <w:t xml:space="preserve">Turbo Booking × WhatsApp</w:t>
      </w:r>
    </w:p>
    <w:p>
      <w:pPr>
        <w:spacing w:after="100"/>
      </w:pPr>
      <w:r>
        <w:rPr>
          <w:i/>
          <w:iCs/>
          <w:color w:val="555555"/>
          <w:sz w:val="24"/>
          <w:szCs w:val="24"/>
        </w:rPr>
        <w:t xml:space="preserve">Architettura, costi e roadmap dell'integrazione WhatsApp Business Platform con orchestrazione AI propria</w:t>
      </w:r>
    </w:p>
    <w:p>
      <w:pPr>
        <w:spacing w:after="400"/>
      </w:pPr>
      <w:r>
        <w:rPr>
          <w:color w:val="888888"/>
          <w:sz w:val="20"/>
          <w:szCs w:val="20"/>
        </w:rPr>
        <w:t xml:space="preserve">Documento tecnico interno — cliente: Gianluca Parrucchieri, Forlì — settembre 2026</w:t>
      </w:r>
    </w:p>
    <w:p>
      <w:pPr>
        <w:pStyle w:val="Heading1"/>
        <w:spacing w:after="200" w:before="400"/>
      </w:pPr>
      <w:r>
        <w:t xml:space="preserve">1. Architettura</w:t>
      </w:r>
    </w:p>
    <w:p>
      <w:pPr>
        <w:spacing w:after="150"/>
      </w:pPr>
      <w:r>
        <w:rPr>
          <w:sz w:val="22"/>
          <w:szCs w:val="22"/>
        </w:rPr>
        <w:t xml:space="preserve">Il sistema funziona con noi come orchestratori: WhatsApp non parla mai direttamente con il modello AI. Ogni messaggio passa attraverso il nostro backend, che smista tra Meta (trasporto messaggi) e il provider AI (comprensione e generazione della risposta).</w:t>
      </w:r>
    </w:p>
    <w:p>
      <w:pPr>
        <w:pStyle w:val="Heading2"/>
        <w:spacing w:after="150" w:before="300"/>
      </w:pPr>
      <w:r>
        <w:t xml:space="preserve">1.1 Flusso end-to-end</w:t>
      </w:r>
    </w:p>
    <w:p>
      <w:pPr>
        <w:pStyle w:val="ListParagraph"/>
        <w:numPr>
          <w:ilvl w:val="0"/>
          <w:numId w:val="2"/>
        </w:numPr>
        <w:spacing w:after="80"/>
      </w:pPr>
      <w:r>
        <w:rPr>
          <w:sz w:val="22"/>
          <w:szCs w:val="22"/>
        </w:rPr>
        <w:t xml:space="preserve">Il cliente scrive al numero WhatsApp del salone (numero attuale di Gianluca, da migrare)</w:t>
      </w:r>
    </w:p>
    <w:p>
      <w:pPr>
        <w:pStyle w:val="ListParagraph"/>
        <w:numPr>
          <w:ilvl w:val="0"/>
          <w:numId w:val="2"/>
        </w:numPr>
        <w:spacing w:after="80"/>
      </w:pPr>
      <w:r>
        <w:rPr>
          <w:sz w:val="22"/>
          <w:szCs w:val="22"/>
        </w:rPr>
        <w:t xml:space="preserve">Meta consegna il messaggio al nostro backend via webhook (HTTPS POST)</w:t>
      </w:r>
    </w:p>
    <w:p>
      <w:pPr>
        <w:pStyle w:val="ListParagraph"/>
        <w:numPr>
          <w:ilvl w:val="0"/>
          <w:numId w:val="2"/>
        </w:numPr>
        <w:spacing w:after="80"/>
      </w:pPr>
      <w:r>
        <w:rPr>
          <w:sz w:val="22"/>
          <w:szCs w:val="22"/>
        </w:rPr>
        <w:t xml:space="preserve">Il backend costruisce il prompt (messaggio + storico conversazione + contesto prenotazioni) e chiama il modello AI</w:t>
      </w:r>
    </w:p>
    <w:p>
      <w:pPr>
        <w:pStyle w:val="ListParagraph"/>
        <w:numPr>
          <w:ilvl w:val="0"/>
          <w:numId w:val="2"/>
        </w:numPr>
        <w:spacing w:after="80"/>
      </w:pPr>
      <w:r>
        <w:rPr>
          <w:sz w:val="22"/>
          <w:szCs w:val="22"/>
        </w:rPr>
        <w:t xml:space="preserve">Il modello decide se rispondere in linguaggio naturale o chiamare una funzione (es. crea_evento, controlla_disponibilità, modifica_prenotazione)</w:t>
      </w:r>
    </w:p>
    <w:p>
      <w:pPr>
        <w:pStyle w:val="ListParagraph"/>
        <w:numPr>
          <w:ilvl w:val="0"/>
          <w:numId w:val="2"/>
        </w:numPr>
        <w:spacing w:after="80"/>
      </w:pPr>
      <w:r>
        <w:rPr>
          <w:sz w:val="22"/>
          <w:szCs w:val="22"/>
        </w:rPr>
        <w:t xml:space="preserve">Se chiama una funzione, il backend esegue la chiamata reale verso l'API di Turbo Booking (crea/modifica l'evento sul calendario)</w:t>
      </w:r>
    </w:p>
    <w:p>
      <w:pPr>
        <w:pStyle w:val="ListParagraph"/>
        <w:numPr>
          <w:ilvl w:val="0"/>
          <w:numId w:val="2"/>
        </w:numPr>
        <w:spacing w:after="80"/>
      </w:pPr>
      <w:r>
        <w:rPr>
          <w:sz w:val="22"/>
          <w:szCs w:val="22"/>
        </w:rPr>
        <w:t xml:space="preserve">Il backend invia la risposta del modello al cliente via API WhatsApp (Cloud API)</w:t>
      </w:r>
    </w:p>
    <w:p>
      <w:pPr>
        <w:pStyle w:val="ListParagraph"/>
        <w:numPr>
          <w:ilvl w:val="0"/>
          <w:numId w:val="2"/>
        </w:numPr>
        <w:spacing w:after="80"/>
      </w:pPr>
      <w:r>
        <w:rPr>
          <w:sz w:val="22"/>
          <w:szCs w:val="22"/>
        </w:rPr>
        <w:t xml:space="preserve">Per i riappuntamenti proattivi: un job schedulato interroga Turbo Booking, individua chi va ricontattato, e invia un template utility pre-approvato — non passa dal modello AI in questo verso</w:t>
      </w:r>
    </w:p>
    <w:p>
      <w:pPr>
        <w:pStyle w:val="Heading2"/>
        <w:spacing w:after="150" w:before="300"/>
      </w:pPr>
      <w:r>
        <w:t xml:space="preserve">1.2 Componenti da configurare/creare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600"/>
      </w:tblGrid>
      <w:tr>
        <w:tc>
          <w:tcPr>
            <w:tcW w:type="dxa" w:w="3200"/>
            <w:shd w:fill="2E5AAC" w:val="clear"/>
            <w:tcMar>
              <w:top w:type="dxa" w:w="80"/>
              <w:left w:type="dxa" w:w="100"/>
              <w:bottom w:type="dxa" w:w="80"/>
              <w:right w:type="dxa" w:w="100"/>
            </w:tcMar>
            <w:vAlign w:val="center"/>
          </w:tcPr>
          <w:p>
            <w:r>
              <w:rPr>
                <w:b/>
                <w:bCs/>
                <w:color w:val="FFFFFF"/>
                <w:sz w:val="20"/>
                <w:szCs w:val="20"/>
              </w:rPr>
              <w:t xml:space="preserve">Componente</w:t>
            </w:r>
          </w:p>
        </w:tc>
        <w:tc>
          <w:tcPr>
            <w:tcW w:type="dxa" w:w="4200"/>
            <w:shd w:fill="2E5AAC" w:val="clear"/>
            <w:tcMar>
              <w:top w:type="dxa" w:w="80"/>
              <w:left w:type="dxa" w:w="100"/>
              <w:bottom w:type="dxa" w:w="80"/>
              <w:right w:type="dxa" w:w="100"/>
            </w:tcMar>
            <w:vAlign w:val="center"/>
          </w:tcPr>
          <w:p>
            <w:r>
              <w:rPr>
                <w:b/>
                <w:bCs/>
                <w:color w:val="FFFFFF"/>
                <w:sz w:val="20"/>
                <w:szCs w:val="20"/>
              </w:rPr>
              <w:t xml:space="preserve">Cosa fa</w:t>
            </w:r>
          </w:p>
        </w:tc>
        <w:tc>
          <w:tcPr>
            <w:tcW w:type="dxa" w:w="1600"/>
            <w:shd w:fill="2E5AAC" w:val="clear"/>
            <w:tcMar>
              <w:top w:type="dxa" w:w="80"/>
              <w:left w:type="dxa" w:w="100"/>
              <w:bottom w:type="dxa" w:w="80"/>
              <w:right w:type="dxa" w:w="100"/>
            </w:tcMar>
            <w:vAlign w:val="center"/>
          </w:tcPr>
          <w:p>
            <w:r>
              <w:rPr>
                <w:b/>
                <w:bCs/>
                <w:color w:val="FFFFFF"/>
                <w:sz w:val="20"/>
                <w:szCs w:val="20"/>
              </w:rPr>
              <w:t xml:space="preserve">Costo</w:t>
            </w:r>
          </w:p>
        </w:tc>
      </w:tr>
      <w:tr>
        <w:tc>
          <w:tcPr>
            <w:tcW w:type="dxa" w:w="3200"/>
            <w:tcMar>
              <w:top w:type="dxa" w:w="80"/>
              <w:left w:type="dxa" w:w="100"/>
              <w:bottom w:type="dxa" w:w="80"/>
              <w:right w:type="dxa" w:w="100"/>
            </w:tcMar>
            <w:vAlign w:val="center"/>
          </w:tcPr>
          <w:p>
            <w:r>
              <w:rPr>
                <w:sz w:val="20"/>
                <w:szCs w:val="20"/>
              </w:rPr>
              <w:t xml:space="preserve">Meta Business Manager + WhatsApp Business Account (WABA)</w:t>
            </w:r>
          </w:p>
        </w:tc>
        <w:tc>
          <w:tcPr>
            <w:tcW w:type="dxa" w:w="4200"/>
            <w:tcMar>
              <w:top w:type="dxa" w:w="80"/>
              <w:left w:type="dxa" w:w="100"/>
              <w:bottom w:type="dxa" w:w="80"/>
              <w:right w:type="dxa" w:w="100"/>
            </w:tcMar>
            <w:vAlign w:val="center"/>
          </w:tcPr>
          <w:p>
            <w:r>
              <w:rPr>
                <w:sz w:val="20"/>
                <w:szCs w:val="20"/>
              </w:rPr>
              <w:t xml:space="preserve">Account ufficiale per l'invio/ricezione via API. Necessario migrare qui il numero attuale del salone.</w:t>
            </w:r>
          </w:p>
        </w:tc>
        <w:tc>
          <w:tcPr>
            <w:tcW w:type="dxa" w:w="1600"/>
            <w:tcMar>
              <w:top w:type="dxa" w:w="80"/>
              <w:left w:type="dxa" w:w="100"/>
              <w:bottom w:type="dxa" w:w="80"/>
              <w:right w:type="dxa" w:w="100"/>
            </w:tcMar>
            <w:vAlign w:val="center"/>
          </w:tcPr>
          <w:p>
            <w:r>
              <w:rPr>
                <w:sz w:val="20"/>
                <w:szCs w:val="20"/>
              </w:rPr>
              <w:t xml:space="preserve">Gratuito (creazione account)</w:t>
            </w:r>
          </w:p>
        </w:tc>
      </w:tr>
      <w:tr>
        <w:tc>
          <w:tcPr>
            <w:tcW w:type="dxa" w:w="3200"/>
            <w:shd w:fill="F2F2F2" w:val="clear"/>
            <w:tcMar>
              <w:top w:type="dxa" w:w="80"/>
              <w:left w:type="dxa" w:w="100"/>
              <w:bottom w:type="dxa" w:w="80"/>
              <w:right w:type="dxa" w:w="100"/>
            </w:tcMar>
            <w:vAlign w:val="center"/>
          </w:tcPr>
          <w:p>
            <w:r>
              <w:rPr>
                <w:sz w:val="20"/>
                <w:szCs w:val="20"/>
              </w:rPr>
              <w:t xml:space="preserve">Numero di telefono verificato</w:t>
            </w:r>
          </w:p>
        </w:tc>
        <w:tc>
          <w:tcPr>
            <w:tcW w:type="dxa" w:w="4200"/>
            <w:shd w:fill="F2F2F2" w:val="clear"/>
            <w:tcMar>
              <w:top w:type="dxa" w:w="80"/>
              <w:left w:type="dxa" w:w="100"/>
              <w:bottom w:type="dxa" w:w="80"/>
              <w:right w:type="dxa" w:w="100"/>
            </w:tcMar>
            <w:vAlign w:val="center"/>
          </w:tcPr>
          <w:p>
            <w:r>
              <w:rPr>
                <w:sz w:val="20"/>
                <w:szCs w:val="20"/>
              </w:rPr>
              <w:t xml:space="preserve">Il numero WhatsApp del salone collegato al WABA. Una volta migrato, non è più utilizzabile dall'app WhatsApp Business normale in parallelo.</w:t>
            </w:r>
          </w:p>
        </w:tc>
        <w:tc>
          <w:tcPr>
            <w:tcW w:type="dxa" w:w="1600"/>
            <w:shd w:fill="F2F2F2" w:val="clear"/>
            <w:tcMar>
              <w:top w:type="dxa" w:w="80"/>
              <w:left w:type="dxa" w:w="100"/>
              <w:bottom w:type="dxa" w:w="80"/>
              <w:right w:type="dxa" w:w="100"/>
            </w:tcMar>
            <w:vAlign w:val="center"/>
          </w:tcPr>
          <w:p>
            <w:r>
              <w:rPr>
                <w:sz w:val="20"/>
                <w:szCs w:val="20"/>
              </w:rPr>
              <w:t xml:space="preserve">Gratuito</w:t>
            </w:r>
          </w:p>
        </w:tc>
      </w:tr>
      <w:tr>
        <w:tc>
          <w:tcPr>
            <w:tcW w:type="dxa" w:w="3200"/>
            <w:tcMar>
              <w:top w:type="dxa" w:w="80"/>
              <w:left w:type="dxa" w:w="100"/>
              <w:bottom w:type="dxa" w:w="80"/>
              <w:right w:type="dxa" w:w="100"/>
            </w:tcMar>
            <w:vAlign w:val="center"/>
          </w:tcPr>
          <w:p>
            <w:r>
              <w:rPr>
                <w:sz w:val="20"/>
                <w:szCs w:val="20"/>
              </w:rPr>
              <w:t xml:space="preserve">Backend orchestratore (webhook + API client)</w:t>
            </w:r>
          </w:p>
        </w:tc>
        <w:tc>
          <w:tcPr>
            <w:tcW w:type="dxa" w:w="4200"/>
            <w:tcMar>
              <w:top w:type="dxa" w:w="80"/>
              <w:left w:type="dxa" w:w="100"/>
              <w:bottom w:type="dxa" w:w="80"/>
              <w:right w:type="dxa" w:w="100"/>
            </w:tcMar>
            <w:vAlign w:val="center"/>
          </w:tcPr>
          <w:p>
            <w:r>
              <w:rPr>
                <w:sz w:val="20"/>
                <w:szCs w:val="20"/>
              </w:rPr>
              <w:t xml:space="preserve">Server che riceve i webhook Meta, chiama il modello AI, chiama l'API Turbo Booking, richiama l'API WhatsApp per la risposta. Da costruire noi.</w:t>
            </w:r>
          </w:p>
        </w:tc>
        <w:tc>
          <w:tcPr>
            <w:tcW w:type="dxa" w:w="1600"/>
            <w:tcMar>
              <w:top w:type="dxa" w:w="80"/>
              <w:left w:type="dxa" w:w="100"/>
              <w:bottom w:type="dxa" w:w="80"/>
              <w:right w:type="dxa" w:w="100"/>
            </w:tcMar>
            <w:vAlign w:val="center"/>
          </w:tcPr>
          <w:p>
            <w:r>
              <w:rPr>
                <w:sz w:val="20"/>
                <w:szCs w:val="20"/>
              </w:rPr>
              <w:t xml:space="preserve">Costo di sviluppo interno (no canone esterno)</w:t>
            </w:r>
          </w:p>
        </w:tc>
      </w:tr>
      <w:tr>
        <w:tc>
          <w:tcPr>
            <w:tcW w:type="dxa" w:w="3200"/>
            <w:shd w:fill="F2F2F2" w:val="clear"/>
            <w:tcMar>
              <w:top w:type="dxa" w:w="80"/>
              <w:left w:type="dxa" w:w="100"/>
              <w:bottom w:type="dxa" w:w="80"/>
              <w:right w:type="dxa" w:w="100"/>
            </w:tcMar>
            <w:vAlign w:val="center"/>
          </w:tcPr>
          <w:p>
            <w:r>
              <w:rPr>
                <w:sz w:val="20"/>
                <w:szCs w:val="20"/>
              </w:rPr>
              <w:t xml:space="preserve">Message template (WhatsApp)</w:t>
            </w:r>
          </w:p>
        </w:tc>
        <w:tc>
          <w:tcPr>
            <w:tcW w:type="dxa" w:w="4200"/>
            <w:shd w:fill="F2F2F2" w:val="clear"/>
            <w:tcMar>
              <w:top w:type="dxa" w:w="80"/>
              <w:left w:type="dxa" w:w="100"/>
              <w:bottom w:type="dxa" w:w="80"/>
              <w:right w:type="dxa" w:w="100"/>
            </w:tcMar>
            <w:vAlign w:val="center"/>
          </w:tcPr>
          <w:p>
            <w:r>
              <w:rPr>
                <w:sz w:val="20"/>
                <w:szCs w:val="20"/>
              </w:rPr>
              <w:t xml:space="preserve">Testi pre-approvati da Meta per i messaggi proattivi (riappuntamento, conferma fuori finestra). Servono più varianti approvate.</w:t>
            </w:r>
          </w:p>
        </w:tc>
        <w:tc>
          <w:tcPr>
            <w:tcW w:type="dxa" w:w="1600"/>
            <w:shd w:fill="F2F2F2" w:val="clear"/>
            <w:tcMar>
              <w:top w:type="dxa" w:w="80"/>
              <w:left w:type="dxa" w:w="100"/>
              <w:bottom w:type="dxa" w:w="80"/>
              <w:right w:type="dxa" w:w="100"/>
            </w:tcMar>
            <w:vAlign w:val="center"/>
          </w:tcPr>
          <w:p>
            <w:r>
              <w:rPr>
                <w:sz w:val="20"/>
                <w:szCs w:val="20"/>
              </w:rPr>
              <w:t xml:space="preserve">Gratuito il processo di approvazione; a pagamento l'invio (vedi sez. 2)</w:t>
            </w:r>
          </w:p>
        </w:tc>
      </w:tr>
      <w:tr>
        <w:tc>
          <w:tcPr>
            <w:tcW w:type="dxa" w:w="3200"/>
            <w:tcMar>
              <w:top w:type="dxa" w:w="80"/>
              <w:left w:type="dxa" w:w="100"/>
              <w:bottom w:type="dxa" w:w="80"/>
              <w:right w:type="dxa" w:w="100"/>
            </w:tcMar>
            <w:vAlign w:val="center"/>
          </w:tcPr>
          <w:p>
            <w:r>
              <w:rPr>
                <w:sz w:val="20"/>
                <w:szCs w:val="20"/>
              </w:rPr>
              <w:t xml:space="preserve">Integrazione modello AI (Gemini)</w:t>
            </w:r>
          </w:p>
        </w:tc>
        <w:tc>
          <w:tcPr>
            <w:tcW w:type="dxa" w:w="4200"/>
            <w:tcMar>
              <w:top w:type="dxa" w:w="80"/>
              <w:left w:type="dxa" w:w="100"/>
              <w:bottom w:type="dxa" w:w="80"/>
              <w:right w:type="dxa" w:w="100"/>
            </w:tcMar>
            <w:vAlign w:val="center"/>
          </w:tcPr>
          <w:p>
            <w:r>
              <w:rPr>
                <w:sz w:val="20"/>
                <w:szCs w:val="20"/>
              </w:rPr>
              <w:t xml:space="preserve">Chiamate API per comprendere il messaggio ed estrarre l'intento/i parametri di prenotazione.</w:t>
            </w:r>
          </w:p>
        </w:tc>
        <w:tc>
          <w:tcPr>
            <w:tcW w:type="dxa" w:w="1600"/>
            <w:tcMar>
              <w:top w:type="dxa" w:w="80"/>
              <w:left w:type="dxa" w:w="100"/>
              <w:bottom w:type="dxa" w:w="80"/>
              <w:right w:type="dxa" w:w="100"/>
            </w:tcMar>
            <w:vAlign w:val="center"/>
          </w:tcPr>
          <w:p>
            <w:r>
              <w:rPr>
                <w:sz w:val="20"/>
                <w:szCs w:val="20"/>
              </w:rPr>
              <w:t xml:space="preserve">A consumo, vedi sez. 2</w:t>
            </w:r>
          </w:p>
        </w:tc>
      </w:tr>
      <w:tr>
        <w:tc>
          <w:tcPr>
            <w:tcW w:type="dxa" w:w="3200"/>
            <w:shd w:fill="F2F2F2" w:val="clear"/>
            <w:tcMar>
              <w:top w:type="dxa" w:w="80"/>
              <w:left w:type="dxa" w:w="100"/>
              <w:bottom w:type="dxa" w:w="80"/>
              <w:right w:type="dxa" w:w="100"/>
            </w:tcMar>
            <w:vAlign w:val="center"/>
          </w:tcPr>
          <w:p>
            <w:r>
              <w:rPr>
                <w:sz w:val="20"/>
                <w:szCs w:val="20"/>
              </w:rPr>
              <w:t xml:space="preserve">Endpoint Turbo Booking per creazione/modifica eventi</w:t>
            </w:r>
          </w:p>
        </w:tc>
        <w:tc>
          <w:tcPr>
            <w:tcW w:type="dxa" w:w="4200"/>
            <w:shd w:fill="F2F2F2" w:val="clear"/>
            <w:tcMar>
              <w:top w:type="dxa" w:w="80"/>
              <w:left w:type="dxa" w:w="100"/>
              <w:bottom w:type="dxa" w:w="80"/>
              <w:right w:type="dxa" w:w="100"/>
            </w:tcMar>
            <w:vAlign w:val="center"/>
          </w:tcPr>
          <w:p>
            <w:r>
              <w:rPr>
                <w:sz w:val="20"/>
                <w:szCs w:val="20"/>
              </w:rPr>
              <w:t xml:space="preserve">API interna già in sviluppo su Turbo Booking, esposta al backend orchestratore per creare/leggere/modificare prenotazioni.</w:t>
            </w:r>
          </w:p>
        </w:tc>
        <w:tc>
          <w:tcPr>
            <w:tcW w:type="dxa" w:w="1600"/>
            <w:shd w:fill="F2F2F2" w:val="clear"/>
            <w:tcMar>
              <w:top w:type="dxa" w:w="80"/>
              <w:left w:type="dxa" w:w="100"/>
              <w:bottom w:type="dxa" w:w="80"/>
              <w:right w:type="dxa" w:w="100"/>
            </w:tcMar>
            <w:vAlign w:val="center"/>
          </w:tcPr>
          <w:p>
            <w:r>
              <w:rPr>
                <w:sz w:val="20"/>
                <w:szCs w:val="20"/>
              </w:rPr>
              <w:t xml:space="preserve">Nessun costo aggiuntivo (già in roadmap)</w:t>
            </w:r>
          </w:p>
        </w:tc>
      </w:tr>
      <w:tr>
        <w:tc>
          <w:tcPr>
            <w:tcW w:type="dxa" w:w="3200"/>
            <w:tcMar>
              <w:top w:type="dxa" w:w="80"/>
              <w:left w:type="dxa" w:w="100"/>
              <w:bottom w:type="dxa" w:w="80"/>
              <w:right w:type="dxa" w:w="100"/>
            </w:tcMar>
            <w:vAlign w:val="center"/>
          </w:tcPr>
          <w:p>
            <w:r>
              <w:rPr>
                <w:sz w:val="20"/>
                <w:szCs w:val="20"/>
              </w:rPr>
              <w:t xml:space="preserve">Metodo di pagamento su Meta Business Suite</w:t>
            </w:r>
          </w:p>
        </w:tc>
        <w:tc>
          <w:tcPr>
            <w:tcW w:type="dxa" w:w="4200"/>
            <w:tcMar>
              <w:top w:type="dxa" w:w="80"/>
              <w:left w:type="dxa" w:w="100"/>
              <w:bottom w:type="dxa" w:w="80"/>
              <w:right w:type="dxa" w:w="100"/>
            </w:tcMar>
            <w:vAlign w:val="center"/>
          </w:tcPr>
          <w:p>
            <w:r>
              <w:rPr>
                <w:sz w:val="20"/>
                <w:szCs w:val="20"/>
              </w:rPr>
              <w:t xml:space="preserve">Obbligatorio entro il 30 settembre 2026 per non bloccare la consegna dei service message dal 1° ottobre.</w:t>
            </w:r>
          </w:p>
        </w:tc>
        <w:tc>
          <w:tcPr>
            <w:tcW w:type="dxa" w:w="1600"/>
            <w:tcMar>
              <w:top w:type="dxa" w:w="80"/>
              <w:left w:type="dxa" w:w="100"/>
              <w:bottom w:type="dxa" w:w="80"/>
              <w:right w:type="dxa" w:w="100"/>
            </w:tcMar>
            <w:vAlign w:val="center"/>
          </w:tcPr>
          <w:p>
            <w:r>
              <w:rPr>
                <w:sz w:val="20"/>
                <w:szCs w:val="20"/>
              </w:rPr>
              <w:t xml:space="preserve">N/A (requisito amministrativo)</w:t>
            </w:r>
          </w:p>
        </w:tc>
      </w:tr>
    </w:tbl>
    <w:p>
      <w:pPr>
        <w:pStyle w:val="Heading2"/>
        <w:spacing w:after="150" w:before="300"/>
      </w:pPr>
      <w:r>
        <w:t xml:space="preserve">1.3 Perché questa architettura e non alternative</w:t>
      </w:r>
    </w:p>
    <w:p>
      <w:pPr>
        <w:pStyle w:val="ListParagraph"/>
        <w:numPr>
          <w:ilvl w:val="0"/>
          <w:numId w:val="2"/>
        </w:numPr>
        <w:spacing w:after="80"/>
      </w:pPr>
      <w:r>
        <w:rPr>
          <w:sz w:val="22"/>
          <w:szCs w:val="22"/>
        </w:rPr>
        <w:t xml:space="preserve">La WhatsApp Business App (quella gratuita da smartphone) non espone API: qualunque automazione su di essa passa per librerie non ufficiali, viola i Terms of Service Meta, rischio concreto di ban del numero.</w:t>
      </w:r>
    </w:p>
    <w:p>
      <w:pPr>
        <w:pStyle w:val="ListParagraph"/>
        <w:numPr>
          <w:ilvl w:val="0"/>
          <w:numId w:val="2"/>
        </w:numPr>
        <w:spacing w:after="80"/>
      </w:pPr>
      <w:r>
        <w:rPr>
          <w:sz w:val="22"/>
          <w:szCs w:val="22"/>
        </w:rPr>
        <w:t xml:space="preserve">Il modello AI non è vincolato da Meta: possiamo usare Gemini, Claude, GPT o altro. L'unico vincolo Meta riguarda il trasporto dei messaggi, non l'intelligenza che li elabora.</w:t>
      </w:r>
    </w:p>
    <w:p>
      <w:pPr>
        <w:pStyle w:val="ListParagraph"/>
        <w:numPr>
          <w:ilvl w:val="0"/>
          <w:numId w:val="2"/>
        </w:numPr>
        <w:spacing w:after="80"/>
      </w:pPr>
      <w:r>
        <w:rPr>
          <w:sz w:val="22"/>
          <w:szCs w:val="22"/>
        </w:rPr>
        <w:t xml:space="preserve">Restando "noi" l'orchestratore (e non usando Meta Business Agent, il servizio AI nativo di Meta), rientriamo sempre nella categoria di fatturazione "service", più economica della categoria "Meta Business Agent" (fatturata a token da Meta stessa, mediamente più cara nel loro stesso confronto ufficiale).</w:t>
      </w:r>
    </w:p>
    <w:p>
      <w:pPr>
        <w:pStyle w:val="Heading1"/>
        <w:spacing w:after="200" w:before="400"/>
      </w:pPr>
      <w:r>
        <w:t xml:space="preserve">2. Ora vs 1° ottobre 2026</w:t>
      </w:r>
    </w:p>
    <w:p>
      <w:pPr>
        <w:spacing w:after="150"/>
      </w:pPr>
      <w:r>
        <w:rPr>
          <w:sz w:val="22"/>
          <w:szCs w:val="22"/>
        </w:rPr>
        <w:t xml:space="preserve">Il cambiamento non riguarda la struttura tecnica, ma cosa Meta fattura. Dal 1° ottobre diventa a pagamento anche il traffico che oggi è gratuito dentro la finestra di conversazione (24 ore dall'ultimo messaggio del cliente).</w:t>
      </w:r>
    </w:p>
    <w:p>
      <w:pPr>
        <w:pStyle w:val="Heading2"/>
        <w:spacing w:after="150" w:before="300"/>
      </w:pPr>
      <w:r>
        <w:t xml:space="preserve">2.1 Confronto per caso d'uso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c>
          <w:tcPr>
            <w:tcW w:type="dxa" w:w="2600"/>
            <w:shd w:fill="2E5AAC" w:val="clear"/>
            <w:tcMar>
              <w:top w:type="dxa" w:w="80"/>
              <w:left w:type="dxa" w:w="100"/>
              <w:bottom w:type="dxa" w:w="80"/>
              <w:right w:type="dxa" w:w="100"/>
            </w:tcMar>
            <w:vAlign w:val="center"/>
          </w:tcPr>
          <w:p>
            <w:r>
              <w:rPr>
                <w:b/>
                <w:bCs/>
                <w:color w:val="FFFFFF"/>
                <w:sz w:val="20"/>
                <w:szCs w:val="20"/>
              </w:rPr>
              <w:t xml:space="preserve">Caso d'uso</w:t>
            </w:r>
          </w:p>
        </w:tc>
        <w:tc>
          <w:tcPr>
            <w:tcW w:type="dxa" w:w="3200"/>
            <w:shd w:fill="2E5AAC" w:val="clear"/>
            <w:tcMar>
              <w:top w:type="dxa" w:w="80"/>
              <w:left w:type="dxa" w:w="100"/>
              <w:bottom w:type="dxa" w:w="80"/>
              <w:right w:type="dxa" w:w="100"/>
            </w:tcMar>
            <w:vAlign w:val="center"/>
          </w:tcPr>
          <w:p>
            <w:r>
              <w:rPr>
                <w:b/>
                <w:bCs/>
                <w:color w:val="FFFFFF"/>
                <w:sz w:val="20"/>
                <w:szCs w:val="20"/>
              </w:rPr>
              <w:t xml:space="preserve">Ora (fino al 30/09/2026)</w:t>
            </w:r>
          </w:p>
        </w:tc>
        <w:tc>
          <w:tcPr>
            <w:tcW w:type="dxa" w:w="3200"/>
            <w:shd w:fill="2E5AAC" w:val="clear"/>
            <w:tcMar>
              <w:top w:type="dxa" w:w="80"/>
              <w:left w:type="dxa" w:w="100"/>
              <w:bottom w:type="dxa" w:w="80"/>
              <w:right w:type="dxa" w:w="100"/>
            </w:tcMar>
            <w:vAlign w:val="center"/>
          </w:tcPr>
          <w:p>
            <w:r>
              <w:rPr>
                <w:b/>
                <w:bCs/>
                <w:color w:val="FFFFFF"/>
                <w:sz w:val="20"/>
                <w:szCs w:val="20"/>
              </w:rPr>
              <w:t xml:space="preserve">Dal 1° ottobre 2026</w:t>
            </w:r>
          </w:p>
        </w:tc>
      </w:tr>
      <w:tr>
        <w:tc>
          <w:tcPr>
            <w:tcW w:type="dxa" w:w="2600"/>
            <w:tcMar>
              <w:top w:type="dxa" w:w="80"/>
              <w:left w:type="dxa" w:w="100"/>
              <w:bottom w:type="dxa" w:w="80"/>
              <w:right w:type="dxa" w:w="100"/>
            </w:tcMar>
            <w:vAlign w:val="center"/>
          </w:tcPr>
          <w:p>
            <w:r>
              <w:rPr>
                <w:sz w:val="20"/>
                <w:szCs w:val="20"/>
              </w:rPr>
              <w:t xml:space="preserve">Cliente scrive, bot risponde (dentro finestra 24h)</w:t>
            </w:r>
          </w:p>
        </w:tc>
        <w:tc>
          <w:tcPr>
            <w:tcW w:type="dxa" w:w="3200"/>
            <w:tcMar>
              <w:top w:type="dxa" w:w="80"/>
              <w:left w:type="dxa" w:w="100"/>
              <w:bottom w:type="dxa" w:w="80"/>
              <w:right w:type="dxa" w:w="100"/>
            </w:tcMar>
            <w:vAlign w:val="center"/>
          </w:tcPr>
          <w:p>
            <w:r>
              <w:rPr>
                <w:sz w:val="20"/>
                <w:szCs w:val="20"/>
              </w:rPr>
              <w:t xml:space="preserve">Gratuito, illimitato</w:t>
            </w:r>
          </w:p>
        </w:tc>
        <w:tc>
          <w:tcPr>
            <w:tcW w:type="dxa" w:w="3200"/>
            <w:tcMar>
              <w:top w:type="dxa" w:w="80"/>
              <w:left w:type="dxa" w:w="100"/>
              <w:bottom w:type="dxa" w:w="80"/>
              <w:right w:type="dxa" w:w="100"/>
            </w:tcMar>
            <w:vAlign w:val="center"/>
          </w:tcPr>
          <w:p>
            <w:r>
              <w:rPr>
                <w:sz w:val="20"/>
                <w:szCs w:val="20"/>
              </w:rPr>
              <w:t xml:space="preserve">Gratuito fino a 1.000 messaggi/mese per numero, poi a pagamento a tariffa "service" (= tariffa utility Italia)</w:t>
            </w:r>
          </w:p>
        </w:tc>
      </w:tr>
      <w:tr>
        <w:tc>
          <w:tcPr>
            <w:tcW w:type="dxa" w:w="2600"/>
            <w:shd w:fill="F2F2F2" w:val="clear"/>
            <w:tcMar>
              <w:top w:type="dxa" w:w="80"/>
              <w:left w:type="dxa" w:w="100"/>
              <w:bottom w:type="dxa" w:w="80"/>
              <w:right w:type="dxa" w:w="100"/>
            </w:tcMar>
            <w:vAlign w:val="center"/>
          </w:tcPr>
          <w:p>
            <w:r>
              <w:rPr>
                <w:sz w:val="20"/>
                <w:szCs w:val="20"/>
              </w:rPr>
              <w:t xml:space="preserve">Conferma prenotazione via template utility (dentro finestra)</w:t>
            </w:r>
          </w:p>
        </w:tc>
        <w:tc>
          <w:tcPr>
            <w:tcW w:type="dxa" w:w="3200"/>
            <w:shd w:fill="F2F2F2" w:val="clear"/>
            <w:tcMar>
              <w:top w:type="dxa" w:w="80"/>
              <w:left w:type="dxa" w:w="100"/>
              <w:bottom w:type="dxa" w:w="80"/>
              <w:right w:type="dxa" w:w="100"/>
            </w:tcMar>
            <w:vAlign w:val="center"/>
          </w:tcPr>
          <w:p>
            <w:r>
              <w:rPr>
                <w:sz w:val="20"/>
                <w:szCs w:val="20"/>
              </w:rPr>
              <w:t xml:space="preserve">Gratuito</w:t>
            </w:r>
          </w:p>
        </w:tc>
        <w:tc>
          <w:tcPr>
            <w:tcW w:type="dxa" w:w="3200"/>
            <w:shd w:fill="F2F2F2" w:val="clear"/>
            <w:tcMar>
              <w:top w:type="dxa" w:w="80"/>
              <w:left w:type="dxa" w:w="100"/>
              <w:bottom w:type="dxa" w:w="80"/>
              <w:right w:type="dxa" w:w="100"/>
            </w:tcMar>
            <w:vAlign w:val="center"/>
          </w:tcPr>
          <w:p>
            <w:r>
              <w:rPr>
                <w:sz w:val="20"/>
                <w:szCs w:val="20"/>
              </w:rPr>
              <w:t xml:space="preserve">A pagamento, stessa tariffa</w:t>
            </w:r>
          </w:p>
        </w:tc>
      </w:tr>
      <w:tr>
        <w:tc>
          <w:tcPr>
            <w:tcW w:type="dxa" w:w="2600"/>
            <w:tcMar>
              <w:top w:type="dxa" w:w="80"/>
              <w:left w:type="dxa" w:w="100"/>
              <w:bottom w:type="dxa" w:w="80"/>
              <w:right w:type="dxa" w:w="100"/>
            </w:tcMar>
            <w:vAlign w:val="center"/>
          </w:tcPr>
          <w:p>
            <w:r>
              <w:rPr>
                <w:sz w:val="20"/>
                <w:szCs w:val="20"/>
              </w:rPr>
              <w:t xml:space="preserve">Riappuntamento proattivo (fuori finestra, tu scrivi per primo)</w:t>
            </w:r>
          </w:p>
        </w:tc>
        <w:tc>
          <w:tcPr>
            <w:tcW w:type="dxa" w:w="3200"/>
            <w:tcMar>
              <w:top w:type="dxa" w:w="80"/>
              <w:left w:type="dxa" w:w="100"/>
              <w:bottom w:type="dxa" w:w="80"/>
              <w:right w:type="dxa" w:w="100"/>
            </w:tcMar>
            <w:vAlign w:val="center"/>
          </w:tcPr>
          <w:p>
            <w:r>
              <w:rPr>
                <w:sz w:val="20"/>
                <w:szCs w:val="20"/>
              </w:rPr>
              <w:t xml:space="preserve">A pagamento (tariffa utility)</w:t>
            </w:r>
          </w:p>
        </w:tc>
        <w:tc>
          <w:tcPr>
            <w:tcW w:type="dxa" w:w="3200"/>
            <w:tcMar>
              <w:top w:type="dxa" w:w="80"/>
              <w:left w:type="dxa" w:w="100"/>
              <w:bottom w:type="dxa" w:w="80"/>
              <w:right w:type="dxa" w:w="100"/>
            </w:tcMar>
            <w:vAlign w:val="center"/>
          </w:tcPr>
          <w:p>
            <w:r>
              <w:rPr>
                <w:sz w:val="20"/>
                <w:szCs w:val="20"/>
              </w:rPr>
              <w:t xml:space="preserve">A pagamento, invariato</w:t>
            </w:r>
          </w:p>
        </w:tc>
      </w:tr>
      <w:tr>
        <w:tc>
          <w:tcPr>
            <w:tcW w:type="dxa" w:w="2600"/>
            <w:shd w:fill="F2F2F2" w:val="clear"/>
            <w:tcMar>
              <w:top w:type="dxa" w:w="80"/>
              <w:left w:type="dxa" w:w="100"/>
              <w:bottom w:type="dxa" w:w="80"/>
              <w:right w:type="dxa" w:w="100"/>
            </w:tcMar>
            <w:vAlign w:val="center"/>
          </w:tcPr>
          <w:p>
            <w:r>
              <w:rPr>
                <w:sz w:val="20"/>
                <w:szCs w:val="20"/>
              </w:rPr>
              <w:t xml:space="preserve">Messaggio promozionale (marketing)</w:t>
            </w:r>
          </w:p>
        </w:tc>
        <w:tc>
          <w:tcPr>
            <w:tcW w:type="dxa" w:w="3200"/>
            <w:shd w:fill="F2F2F2" w:val="clear"/>
            <w:tcMar>
              <w:top w:type="dxa" w:w="80"/>
              <w:left w:type="dxa" w:w="100"/>
              <w:bottom w:type="dxa" w:w="80"/>
              <w:right w:type="dxa" w:w="100"/>
            </w:tcMar>
            <w:vAlign w:val="center"/>
          </w:tcPr>
          <w:p>
            <w:r>
              <w:rPr>
                <w:sz w:val="20"/>
                <w:szCs w:val="20"/>
              </w:rPr>
              <w:t xml:space="preserve">A pagamento, tariffa più alta</w:t>
            </w:r>
          </w:p>
        </w:tc>
        <w:tc>
          <w:tcPr>
            <w:tcW w:type="dxa" w:w="3200"/>
            <w:shd w:fill="F2F2F2" w:val="clear"/>
            <w:tcMar>
              <w:top w:type="dxa" w:w="80"/>
              <w:left w:type="dxa" w:w="100"/>
              <w:bottom w:type="dxa" w:w="80"/>
              <w:right w:type="dxa" w:w="100"/>
            </w:tcMar>
            <w:vAlign w:val="center"/>
          </w:tcPr>
          <w:p>
            <w:r>
              <w:rPr>
                <w:sz w:val="20"/>
                <w:szCs w:val="20"/>
              </w:rPr>
              <w:t xml:space="preserve">A pagamento, invariato (tariffa Italia aumentata dal 1° luglio 2026)</w:t>
            </w:r>
          </w:p>
        </w:tc>
      </w:tr>
      <w:tr>
        <w:tc>
          <w:tcPr>
            <w:tcW w:type="dxa" w:w="2600"/>
            <w:tcMar>
              <w:top w:type="dxa" w:w="80"/>
              <w:left w:type="dxa" w:w="100"/>
              <w:bottom w:type="dxa" w:w="80"/>
              <w:right w:type="dxa" w:w="100"/>
            </w:tcMar>
            <w:vAlign w:val="center"/>
          </w:tcPr>
          <w:p>
            <w:r>
              <w:rPr>
                <w:sz w:val="20"/>
                <w:szCs w:val="20"/>
              </w:rPr>
              <w:t xml:space="preserve">Approvazione richiesta per il messaggio</w:t>
            </w:r>
          </w:p>
        </w:tc>
        <w:tc>
          <w:tcPr>
            <w:tcW w:type="dxa" w:w="3200"/>
            <w:tcMar>
              <w:top w:type="dxa" w:w="80"/>
              <w:left w:type="dxa" w:w="100"/>
              <w:bottom w:type="dxa" w:w="80"/>
              <w:right w:type="dxa" w:w="100"/>
            </w:tcMar>
            <w:vAlign w:val="center"/>
          </w:tcPr>
          <w:p>
            <w:r>
              <w:rPr>
                <w:sz w:val="20"/>
                <w:szCs w:val="20"/>
              </w:rPr>
              <w:t xml:space="preserve">Solo su template fuori finestra (riappuntamenti, promo)</w:t>
            </w:r>
          </w:p>
        </w:tc>
        <w:tc>
          <w:tcPr>
            <w:tcW w:type="dxa" w:w="3200"/>
            <w:tcMar>
              <w:top w:type="dxa" w:w="80"/>
              <w:left w:type="dxa" w:w="100"/>
              <w:bottom w:type="dxa" w:w="80"/>
              <w:right w:type="dxa" w:w="100"/>
            </w:tcMar>
            <w:vAlign w:val="center"/>
          </w:tcPr>
          <w:p>
            <w:r>
              <w:rPr>
                <w:sz w:val="20"/>
                <w:szCs w:val="20"/>
              </w:rPr>
              <w:t xml:space="preserve">Invariato — il flusso reattivo bot↔cliente non ha mai richiesto approvazione, né oggi né dopo</w:t>
            </w:r>
          </w:p>
        </w:tc>
      </w:tr>
    </w:tbl>
    <w:p>
      <w:pPr>
        <w:pStyle w:val="Heading2"/>
        <w:spacing w:after="150" w:before="300"/>
      </w:pPr>
      <w:r>
        <w:t xml:space="preserve">2.2 Esempio numerico ufficiale Meta</w:t>
      </w:r>
    </w:p>
    <w:p>
      <w:pPr>
        <w:spacing w:after="150"/>
      </w:pPr>
      <w:r>
        <w:rPr>
          <w:sz w:val="22"/>
          <w:szCs w:val="22"/>
        </w:rPr>
        <w:t xml:space="preserve">Una conversazione con 1 template marketing + 2 risposte AI + 1 passaggio a operatore umano + 1 conferma utility, tutta entro un'ora:</w:t>
      </w:r>
    </w:p>
    <w:p>
      <w:pPr>
        <w:pStyle w:val="ListParagraph"/>
        <w:numPr>
          <w:ilvl w:val="0"/>
          <w:numId w:val="2"/>
        </w:numPr>
        <w:spacing w:after="80"/>
      </w:pPr>
      <w:r>
        <w:rPr>
          <w:sz w:val="22"/>
          <w:szCs w:val="22"/>
        </w:rPr>
        <w:t xml:space="preserve">Oggi: 2 addebiti (solo il marketing e l'eventuale template fuori finestra)</w:t>
      </w:r>
    </w:p>
    <w:p>
      <w:pPr>
        <w:pStyle w:val="ListParagraph"/>
        <w:numPr>
          <w:ilvl w:val="0"/>
          <w:numId w:val="2"/>
        </w:numPr>
        <w:spacing w:after="80"/>
      </w:pPr>
      <w:r>
        <w:rPr>
          <w:sz w:val="22"/>
          <w:szCs w:val="22"/>
        </w:rPr>
        <w:t xml:space="preserve">Dal 1° ottobre: 5 addebiti (marketing + le 2 risposte AI + la risposta operatore + l'utility, tutti fatturati separatamente)</w:t>
      </w:r>
    </w:p>
    <w:p>
      <w:pPr>
        <w:pStyle w:val="Heading2"/>
        <w:spacing w:after="150" w:before="300"/>
      </w:pPr>
      <w:r>
        <w:t xml:space="preserve">2.3 Cosa NON cambia</w:t>
      </w:r>
    </w:p>
    <w:p>
      <w:pPr>
        <w:pStyle w:val="ListParagraph"/>
        <w:numPr>
          <w:ilvl w:val="0"/>
          <w:numId w:val="2"/>
        </w:numPr>
        <w:spacing w:after="80"/>
      </w:pPr>
      <w:r>
        <w:rPr>
          <w:sz w:val="22"/>
          <w:szCs w:val="22"/>
        </w:rPr>
        <w:t xml:space="preserve">La finestra di servizio resta di 24 ore dall'ultimo messaggio del cliente</w:t>
      </w:r>
    </w:p>
    <w:p>
      <w:pPr>
        <w:pStyle w:val="ListParagraph"/>
        <w:numPr>
          <w:ilvl w:val="0"/>
          <w:numId w:val="2"/>
        </w:numPr>
        <w:spacing w:after="80"/>
      </w:pPr>
      <w:r>
        <w:rPr>
          <w:sz w:val="22"/>
          <w:szCs w:val="22"/>
        </w:rPr>
        <w:t xml:space="preserve">I template restano l'unico modo per scrivere per primi fuori dalla finestra, e restano soggetti ad approvazione Meta</w:t>
      </w:r>
    </w:p>
    <w:p>
      <w:pPr>
        <w:pStyle w:val="ListParagraph"/>
        <w:numPr>
          <w:ilvl w:val="0"/>
          <w:numId w:val="2"/>
        </w:numPr>
        <w:spacing w:after="80"/>
      </w:pPr>
      <w:r>
        <w:rPr>
          <w:sz w:val="22"/>
          <w:szCs w:val="22"/>
        </w:rPr>
        <w:t xml:space="preserve">L'architettura tecnica (webhook → orchestratore → modello AI → API Turbo Booking → risposta) resta identica: cambia solo cosa viene fatturato, non come funziona il sistema</w:t>
      </w:r>
    </w:p>
    <w:p>
      <w:pPr>
        <w:pStyle w:val="Heading1"/>
        <w:spacing w:after="200" w:before="400"/>
      </w:pPr>
      <w:r>
        <w:t xml:space="preserve">3. Stima di costo: confronto modelli Gemini</w:t>
      </w:r>
    </w:p>
    <w:p>
      <w:pPr>
        <w:spacing w:after="150"/>
      </w:pPr>
      <w:r>
        <w:rPr>
          <w:i/>
          <w:iCs/>
          <w:sz w:val="20"/>
          <w:szCs w:val="20"/>
        </w:rPr>
        <w:t xml:space="preserve">Ipotesi di volume dichiarata (da validare con dati reali di Gianluca appena disponibili): 300 conversazioni di prenotazione al mese, media 3 scambi cliente + 3 risposte bot a conversazione (900 risposte bot/mese), circa 150 token di input e 80 di output per risposta (include storico conversazione, system prompt, schema delle funzioni). Più 100 riappuntamenti proattivi al mese via template utility.</w:t>
      </w:r>
    </w:p>
    <w:p>
      <w:pPr>
        <w:pStyle w:val="Heading2"/>
        <w:spacing w:after="150" w:before="300"/>
      </w:pPr>
      <w:r>
        <w:t xml:space="preserve">3.1 Costo del modello AI (a consumo, pagato al provider AI, separato da Meta)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800"/>
        <w:gridCol w:w="2400"/>
      </w:tblGrid>
      <w:tr>
        <w:tc>
          <w:tcPr>
            <w:tcW w:type="dxa" w:w="2400"/>
            <w:shd w:fill="2E5AAC" w:val="clear"/>
            <w:tcMar>
              <w:top w:type="dxa" w:w="80"/>
              <w:left w:type="dxa" w:w="100"/>
              <w:bottom w:type="dxa" w:w="80"/>
              <w:right w:type="dxa" w:w="100"/>
            </w:tcMar>
            <w:vAlign w:val="center"/>
          </w:tcPr>
          <w:p>
            <w:r>
              <w:rPr>
                <w:b/>
                <w:bCs/>
                <w:color w:val="FFFFFF"/>
                <w:sz w:val="20"/>
                <w:szCs w:val="20"/>
              </w:rPr>
              <w:t xml:space="preserve">Modello</w:t>
            </w:r>
          </w:p>
        </w:tc>
        <w:tc>
          <w:tcPr>
            <w:tcW w:type="dxa" w:w="2400"/>
            <w:shd w:fill="2E5AAC" w:val="clear"/>
            <w:tcMar>
              <w:top w:type="dxa" w:w="80"/>
              <w:left w:type="dxa" w:w="100"/>
              <w:bottom w:type="dxa" w:w="80"/>
              <w:right w:type="dxa" w:w="100"/>
            </w:tcMar>
            <w:vAlign w:val="center"/>
          </w:tcPr>
          <w:p>
            <w:r>
              <w:rPr>
                <w:b/>
                <w:bCs/>
                <w:color w:val="FFFFFF"/>
                <w:sz w:val="20"/>
                <w:szCs w:val="20"/>
              </w:rPr>
              <w:t xml:space="preserve">Prezzo (input/output per 1M token)</w:t>
            </w:r>
          </w:p>
        </w:tc>
        <w:tc>
          <w:tcPr>
            <w:tcW w:type="dxa" w:w="1800"/>
            <w:shd w:fill="2E5AAC" w:val="clear"/>
            <w:tcMar>
              <w:top w:type="dxa" w:w="80"/>
              <w:left w:type="dxa" w:w="100"/>
              <w:bottom w:type="dxa" w:w="80"/>
              <w:right w:type="dxa" w:w="100"/>
            </w:tcMar>
            <w:vAlign w:val="center"/>
          </w:tcPr>
          <w:p>
            <w:r>
              <w:rPr>
                <w:b/>
                <w:bCs/>
                <w:color w:val="FFFFFF"/>
                <w:sz w:val="20"/>
                <w:szCs w:val="20"/>
              </w:rPr>
              <w:t xml:space="preserve">Costo stimato/mese (900 risposte)</w:t>
            </w:r>
          </w:p>
        </w:tc>
        <w:tc>
          <w:tcPr>
            <w:tcW w:type="dxa" w:w="2400"/>
            <w:shd w:fill="2E5AAC" w:val="clear"/>
            <w:tcMar>
              <w:top w:type="dxa" w:w="80"/>
              <w:left w:type="dxa" w:w="100"/>
              <w:bottom w:type="dxa" w:w="80"/>
              <w:right w:type="dxa" w:w="100"/>
            </w:tcMar>
            <w:vAlign w:val="center"/>
          </w:tcPr>
          <w:p>
            <w:r>
              <w:rPr>
                <w:b/>
                <w:bCs/>
                <w:color w:val="FFFFFF"/>
                <w:sz w:val="20"/>
                <w:szCs w:val="20"/>
              </w:rPr>
              <w:t xml:space="preserve">Note</w:t>
            </w:r>
          </w:p>
        </w:tc>
      </w:tr>
      <w:tr>
        <w:tc>
          <w:tcPr>
            <w:tcW w:type="dxa" w:w="2400"/>
            <w:tcMar>
              <w:top w:type="dxa" w:w="80"/>
              <w:left w:type="dxa" w:w="100"/>
              <w:bottom w:type="dxa" w:w="80"/>
              <w:right w:type="dxa" w:w="100"/>
            </w:tcMar>
            <w:vAlign w:val="center"/>
          </w:tcPr>
          <w:p>
            <w:r>
              <w:rPr>
                <w:sz w:val="20"/>
                <w:szCs w:val="20"/>
              </w:rPr>
              <w:t xml:space="preserve">Gemini 3.5 Flash-Lite</w:t>
            </w:r>
          </w:p>
        </w:tc>
        <w:tc>
          <w:tcPr>
            <w:tcW w:type="dxa" w:w="2400"/>
            <w:tcMar>
              <w:top w:type="dxa" w:w="80"/>
              <w:left w:type="dxa" w:w="100"/>
              <w:bottom w:type="dxa" w:w="80"/>
              <w:right w:type="dxa" w:w="100"/>
            </w:tcMar>
            <w:vAlign w:val="center"/>
          </w:tcPr>
          <w:p>
            <w:r>
              <w:rPr>
                <w:sz w:val="20"/>
                <w:szCs w:val="20"/>
              </w:rPr>
              <w:t xml:space="preserve">$0,30 / $2,50</w:t>
            </w:r>
          </w:p>
        </w:tc>
        <w:tc>
          <w:tcPr>
            <w:tcW w:type="dxa" w:w="1800"/>
            <w:tcMar>
              <w:top w:type="dxa" w:w="80"/>
              <w:left w:type="dxa" w:w="100"/>
              <w:bottom w:type="dxa" w:w="80"/>
              <w:right w:type="dxa" w:w="100"/>
            </w:tcMar>
            <w:vAlign w:val="center"/>
          </w:tcPr>
          <w:p>
            <w:r>
              <w:rPr>
                <w:sz w:val="20"/>
                <w:szCs w:val="20"/>
              </w:rPr>
              <w:t xml:space="preserve">~€0,22/mese</w:t>
            </w:r>
          </w:p>
        </w:tc>
        <w:tc>
          <w:tcPr>
            <w:tcW w:type="dxa" w:w="2400"/>
            <w:tcMar>
              <w:top w:type="dxa" w:w="80"/>
              <w:left w:type="dxa" w:w="100"/>
              <w:bottom w:type="dxa" w:w="80"/>
              <w:right w:type="dxa" w:w="100"/>
            </w:tcMar>
            <w:vAlign w:val="center"/>
          </w:tcPr>
          <w:p>
            <w:r>
              <w:rPr>
                <w:sz w:val="20"/>
                <w:szCs w:val="20"/>
              </w:rPr>
              <w:t xml:space="preserve">Function calling supportato esplicitamente, ottimizzato per high-volume agentic workflows — scelta consigliata</w:t>
            </w:r>
          </w:p>
        </w:tc>
      </w:tr>
      <w:tr>
        <w:tc>
          <w:tcPr>
            <w:tcW w:type="dxa" w:w="2400"/>
            <w:shd w:fill="F2F2F2" w:val="clear"/>
            <w:tcMar>
              <w:top w:type="dxa" w:w="80"/>
              <w:left w:type="dxa" w:w="100"/>
              <w:bottom w:type="dxa" w:w="80"/>
              <w:right w:type="dxa" w:w="100"/>
            </w:tcMar>
            <w:vAlign w:val="center"/>
          </w:tcPr>
          <w:p>
            <w:r>
              <w:rPr>
                <w:sz w:val="20"/>
                <w:szCs w:val="20"/>
              </w:rPr>
              <w:t xml:space="preserve">Gemini 3.8 Flash</w:t>
            </w:r>
          </w:p>
        </w:tc>
        <w:tc>
          <w:tcPr>
            <w:tcW w:type="dxa" w:w="2400"/>
            <w:shd w:fill="F2F2F2" w:val="clear"/>
            <w:tcMar>
              <w:top w:type="dxa" w:w="80"/>
              <w:left w:type="dxa" w:w="100"/>
              <w:bottom w:type="dxa" w:w="80"/>
              <w:right w:type="dxa" w:w="100"/>
            </w:tcMar>
            <w:vAlign w:val="center"/>
          </w:tcPr>
          <w:p>
            <w:r>
              <w:rPr>
                <w:sz w:val="20"/>
                <w:szCs w:val="20"/>
              </w:rPr>
              <w:t xml:space="preserve">$0,75 / $3,75 (fino al 31/12/2026)</w:t>
            </w:r>
          </w:p>
        </w:tc>
        <w:tc>
          <w:tcPr>
            <w:tcW w:type="dxa" w:w="1800"/>
            <w:shd w:fill="F2F2F2" w:val="clear"/>
            <w:tcMar>
              <w:top w:type="dxa" w:w="80"/>
              <w:left w:type="dxa" w:w="100"/>
              <w:bottom w:type="dxa" w:w="80"/>
              <w:right w:type="dxa" w:w="100"/>
            </w:tcMar>
            <w:vAlign w:val="center"/>
          </w:tcPr>
          <w:p>
            <w:r>
              <w:rPr>
                <w:sz w:val="20"/>
                <w:szCs w:val="20"/>
              </w:rPr>
              <w:t xml:space="preserve">~€0,37/mese</w:t>
            </w:r>
          </w:p>
        </w:tc>
        <w:tc>
          <w:tcPr>
            <w:tcW w:type="dxa" w:w="2400"/>
            <w:shd w:fill="F2F2F2" w:val="clear"/>
            <w:tcMar>
              <w:top w:type="dxa" w:w="80"/>
              <w:left w:type="dxa" w:w="100"/>
              <w:bottom w:type="dxa" w:w="80"/>
              <w:right w:type="dxa" w:w="100"/>
            </w:tcMar>
            <w:vAlign w:val="center"/>
          </w:tcPr>
          <w:p>
            <w:r>
              <w:rPr>
                <w:sz w:val="20"/>
                <w:szCs w:val="20"/>
              </w:rPr>
              <w:t xml:space="preserve">Il Flash più intelligente di Google, per agenti autonomi e workflow complessi; fallback se Flash-Lite mostra errori sulle chiamate a funzione in test reali</w:t>
            </w:r>
          </w:p>
        </w:tc>
      </w:tr>
    </w:tbl>
    <w:p>
      <w:pPr>
        <w:spacing w:after="150"/>
      </w:pPr>
      <w:r>
        <w:rPr>
          <w:i/>
          <w:iCs/>
          <w:sz w:val="20"/>
          <w:szCs w:val="20"/>
        </w:rPr>
        <w:t xml:space="preserve">A questi volumi la differenza di costo tra i due modelli è di pochi centesimi al mese — irrilevante rispetto al rischio di un evento creato male sul calendario per una risposta del modello meno affidabile. Il costo del modello AI, a questi volumi, resta comunque trascurabile rispetto al costo dei messaggi WhatsApp.</w:t>
      </w:r>
    </w:p>
    <w:p>
      <w:pPr>
        <w:pStyle w:val="Heading2"/>
        <w:spacing w:after="150" w:before="300"/>
      </w:pPr>
      <w:r>
        <w:t xml:space="preserve">3.2 Costo dei messaggi WhatsApp (pagato a Meta, indipendente dal modello scelto)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00"/>
      </w:tblGrid>
      <w:tr>
        <w:tc>
          <w:tcPr>
            <w:tcW w:type="dxa" w:w="3600"/>
            <w:shd w:fill="2E5AAC" w:val="clear"/>
            <w:tcMar>
              <w:top w:type="dxa" w:w="80"/>
              <w:left w:type="dxa" w:w="100"/>
              <w:bottom w:type="dxa" w:w="80"/>
              <w:right w:type="dxa" w:w="100"/>
            </w:tcMar>
            <w:vAlign w:val="center"/>
          </w:tcPr>
          <w:p>
            <w:r>
              <w:rPr>
                <w:b/>
                <w:bCs/>
                <w:color w:val="FFFFFF"/>
                <w:sz w:val="20"/>
                <w:szCs w:val="20"/>
              </w:rPr>
              <w:t xml:space="preserve">Voce</w:t>
            </w:r>
          </w:p>
        </w:tc>
        <w:tc>
          <w:tcPr>
            <w:tcW w:type="dxa" w:w="2700"/>
            <w:shd w:fill="2E5AAC" w:val="clear"/>
            <w:tcMar>
              <w:top w:type="dxa" w:w="80"/>
              <w:left w:type="dxa" w:w="100"/>
              <w:bottom w:type="dxa" w:w="80"/>
              <w:right w:type="dxa" w:w="100"/>
            </w:tcMar>
            <w:vAlign w:val="center"/>
          </w:tcPr>
          <w:p>
            <w:r>
              <w:rPr>
                <w:b/>
                <w:bCs/>
                <w:color w:val="FFFFFF"/>
                <w:sz w:val="20"/>
                <w:szCs w:val="20"/>
              </w:rPr>
              <w:t xml:space="preserve">Ora</w:t>
            </w:r>
          </w:p>
        </w:tc>
        <w:tc>
          <w:tcPr>
            <w:tcW w:type="dxa" w:w="2700"/>
            <w:shd w:fill="2E5AAC" w:val="clear"/>
            <w:tcMar>
              <w:top w:type="dxa" w:w="80"/>
              <w:left w:type="dxa" w:w="100"/>
              <w:bottom w:type="dxa" w:w="80"/>
              <w:right w:type="dxa" w:w="100"/>
            </w:tcMar>
            <w:vAlign w:val="center"/>
          </w:tcPr>
          <w:p>
            <w:r>
              <w:rPr>
                <w:b/>
                <w:bCs/>
                <w:color w:val="FFFFFF"/>
                <w:sz w:val="20"/>
                <w:szCs w:val="20"/>
              </w:rPr>
              <w:t xml:space="preserve">Dal 1° ottobre 2026</w:t>
            </w:r>
          </w:p>
        </w:tc>
      </w:tr>
      <w:tr>
        <w:tc>
          <w:tcPr>
            <w:tcW w:type="dxa" w:w="3600"/>
            <w:tcMar>
              <w:top w:type="dxa" w:w="80"/>
              <w:left w:type="dxa" w:w="100"/>
              <w:bottom w:type="dxa" w:w="80"/>
              <w:right w:type="dxa" w:w="100"/>
            </w:tcMar>
            <w:vAlign w:val="center"/>
          </w:tcPr>
          <w:p>
            <w:r>
              <w:rPr>
                <w:sz w:val="20"/>
                <w:szCs w:val="20"/>
              </w:rPr>
              <w:t xml:space="preserve">900 risposte bot/mese (service, dentro finestra)</w:t>
            </w:r>
          </w:p>
        </w:tc>
        <w:tc>
          <w:tcPr>
            <w:tcW w:type="dxa" w:w="2700"/>
            <w:tcMar>
              <w:top w:type="dxa" w:w="80"/>
              <w:left w:type="dxa" w:w="100"/>
              <w:bottom w:type="dxa" w:w="80"/>
              <w:right w:type="dxa" w:w="100"/>
            </w:tcMar>
            <w:vAlign w:val="center"/>
          </w:tcPr>
          <w:p>
            <w:r>
              <w:rPr>
                <w:sz w:val="20"/>
                <w:szCs w:val="20"/>
              </w:rPr>
              <w:t xml:space="preserve">€0</w:t>
            </w:r>
          </w:p>
        </w:tc>
        <w:tc>
          <w:tcPr>
            <w:tcW w:type="dxa" w:w="2700"/>
            <w:tcMar>
              <w:top w:type="dxa" w:w="80"/>
              <w:left w:type="dxa" w:w="100"/>
              <w:bottom w:type="dxa" w:w="80"/>
              <w:right w:type="dxa" w:w="100"/>
            </w:tcMar>
            <w:vAlign w:val="center"/>
          </w:tcPr>
          <w:p>
            <w:r>
              <w:rPr>
                <w:sz w:val="20"/>
                <w:szCs w:val="20"/>
              </w:rPr>
              <w:t xml:space="preserve">Sotto le 1.000/mese → ancora €0. Se il volume cresce oltre 1.000, le eccedenti a tariffa utility Italia (stimata 2-4 centesimi cad.)</w:t>
            </w:r>
          </w:p>
        </w:tc>
      </w:tr>
      <w:tr>
        <w:tc>
          <w:tcPr>
            <w:tcW w:type="dxa" w:w="3600"/>
            <w:shd w:fill="F2F2F2" w:val="clear"/>
            <w:tcMar>
              <w:top w:type="dxa" w:w="80"/>
              <w:left w:type="dxa" w:w="100"/>
              <w:bottom w:type="dxa" w:w="80"/>
              <w:right w:type="dxa" w:w="100"/>
            </w:tcMar>
            <w:vAlign w:val="center"/>
          </w:tcPr>
          <w:p>
            <w:r>
              <w:rPr>
                <w:sz w:val="20"/>
                <w:szCs w:val="20"/>
              </w:rPr>
              <w:t xml:space="preserve">100 riappuntamenti proattivi/mese (utility, fuori finestra)</w:t>
            </w:r>
          </w:p>
        </w:tc>
        <w:tc>
          <w:tcPr>
            <w:tcW w:type="dxa" w:w="2700"/>
            <w:shd w:fill="F2F2F2" w:val="clear"/>
            <w:tcMar>
              <w:top w:type="dxa" w:w="80"/>
              <w:left w:type="dxa" w:w="100"/>
              <w:bottom w:type="dxa" w:w="80"/>
              <w:right w:type="dxa" w:w="100"/>
            </w:tcMar>
            <w:vAlign w:val="center"/>
          </w:tcPr>
          <w:p>
            <w:r>
              <w:rPr>
                <w:sz w:val="20"/>
                <w:szCs w:val="20"/>
              </w:rPr>
              <w:t xml:space="preserve">~€2-4/mese (tariffa utility Italia)</w:t>
            </w:r>
          </w:p>
        </w:tc>
        <w:tc>
          <w:tcPr>
            <w:tcW w:type="dxa" w:w="2700"/>
            <w:shd w:fill="F2F2F2" w:val="clear"/>
            <w:tcMar>
              <w:top w:type="dxa" w:w="80"/>
              <w:left w:type="dxa" w:w="100"/>
              <w:bottom w:type="dxa" w:w="80"/>
              <w:right w:type="dxa" w:w="100"/>
            </w:tcMar>
            <w:vAlign w:val="center"/>
          </w:tcPr>
          <w:p>
            <w:r>
              <w:rPr>
                <w:sz w:val="20"/>
                <w:szCs w:val="20"/>
              </w:rPr>
              <w:t xml:space="preserve">Invariato, ~€2-4/mese</w:t>
            </w:r>
          </w:p>
        </w:tc>
      </w:tr>
      <w:tr>
        <w:tc>
          <w:tcPr>
            <w:tcW w:type="dxa" w:w="3600"/>
            <w:tcMar>
              <w:top w:type="dxa" w:w="80"/>
              <w:left w:type="dxa" w:w="100"/>
              <w:bottom w:type="dxa" w:w="80"/>
              <w:right w:type="dxa" w:w="100"/>
            </w:tcMar>
            <w:vAlign w:val="center"/>
          </w:tcPr>
          <w:p>
            <w:r>
              <w:rPr>
                <w:sz w:val="20"/>
                <w:szCs w:val="20"/>
              </w:rPr>
              <w:t xml:space="preserve">Totale stimato</w:t>
            </w:r>
          </w:p>
        </w:tc>
        <w:tc>
          <w:tcPr>
            <w:tcW w:type="dxa" w:w="2700"/>
            <w:tcMar>
              <w:top w:type="dxa" w:w="80"/>
              <w:left w:type="dxa" w:w="100"/>
              <w:bottom w:type="dxa" w:w="80"/>
              <w:right w:type="dxa" w:w="100"/>
            </w:tcMar>
            <w:vAlign w:val="center"/>
          </w:tcPr>
          <w:p>
            <w:r>
              <w:rPr>
                <w:sz w:val="20"/>
                <w:szCs w:val="20"/>
              </w:rPr>
              <w:t xml:space="preserve">~€2-4/mese</w:t>
            </w:r>
          </w:p>
        </w:tc>
        <w:tc>
          <w:tcPr>
            <w:tcW w:type="dxa" w:w="2700"/>
            <w:tcMar>
              <w:top w:type="dxa" w:w="80"/>
              <w:left w:type="dxa" w:w="100"/>
              <w:bottom w:type="dxa" w:w="80"/>
              <w:right w:type="dxa" w:w="100"/>
            </w:tcMar>
            <w:vAlign w:val="center"/>
          </w:tcPr>
          <w:p>
            <w:r>
              <w:rPr>
                <w:sz w:val="20"/>
                <w:szCs w:val="20"/>
              </w:rPr>
              <w:t xml:space="preserve">~€2-4/mese (finché sotto soglia 1.000 service/mese)</w:t>
            </w:r>
          </w:p>
        </w:tc>
      </w:tr>
    </w:tbl>
    <w:p>
      <w:pPr>
        <w:spacing w:after="150"/>
      </w:pPr>
      <w:r>
        <w:rPr>
          <w:i/>
          <w:iCs/>
          <w:sz w:val="20"/>
          <w:szCs w:val="20"/>
        </w:rPr>
        <w:t xml:space="preserve">Nota sulla cifra esatta: la tariffa precisa in euro per l'Italia (utility/service) non è stata verificata a decimale esatto — i rate card ufficiali Meta sono scaricabili solo da un selettore interattivo (business.whatsapp.com/products/platform-pricing) non indicizzato dai motori di ricerca. La cifra va confermata scaricando il CSV ufficiale EUR/Italia prima di comunicare un costo definitivo a Gianluca.</w:t>
      </w:r>
    </w:p>
    <w:p>
      <w:pPr>
        <w:pStyle w:val="Heading2"/>
        <w:spacing w:after="150" w:before="300"/>
      </w:pPr>
      <w:r>
        <w:t xml:space="preserve">3.3 Tier Free vs Paid (Google AI)</w:t>
      </w:r>
    </w:p>
    <w:p>
      <w:pPr>
        <w:spacing w:after="150"/>
      </w:pPr>
      <w:r>
        <w:rPr>
          <w:i/>
          <w:iCs/>
          <w:sz w:val="20"/>
          <w:szCs w:val="20"/>
        </w:rPr>
        <w:t xml:space="preserve">L'API Gemini offre due tier di accesso, indipendenti dalla scelta del modello. La differenza non è solo di prezzo.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c>
          <w:tcPr>
            <w:tcW w:type="dxa" w:w="2600"/>
            <w:shd w:fill="2E5AAC" w:val="clear"/>
            <w:tcMar>
              <w:top w:type="dxa" w:w="80"/>
              <w:left w:type="dxa" w:w="100"/>
              <w:bottom w:type="dxa" w:w="80"/>
              <w:right w:type="dxa" w:w="100"/>
            </w:tcMar>
            <w:vAlign w:val="center"/>
          </w:tcPr>
          <w:p>
            <w:r>
              <w:rPr>
                <w:b/>
                <w:bCs/>
                <w:color w:val="FFFFFF"/>
                <w:sz w:val="20"/>
                <w:szCs w:val="20"/>
              </w:rPr>
              <w:t xml:space="preserve"/>
            </w:r>
          </w:p>
        </w:tc>
        <w:tc>
          <w:tcPr>
            <w:tcW w:type="dxa" w:w="3200"/>
            <w:shd w:fill="2E5AAC" w:val="clear"/>
            <w:tcMar>
              <w:top w:type="dxa" w:w="80"/>
              <w:left w:type="dxa" w:w="100"/>
              <w:bottom w:type="dxa" w:w="80"/>
              <w:right w:type="dxa" w:w="100"/>
            </w:tcMar>
            <w:vAlign w:val="center"/>
          </w:tcPr>
          <w:p>
            <w:r>
              <w:rPr>
                <w:b/>
                <w:bCs/>
                <w:color w:val="FFFFFF"/>
                <w:sz w:val="20"/>
                <w:szCs w:val="20"/>
              </w:rPr>
              <w:t xml:space="preserve">Free</w:t>
            </w:r>
          </w:p>
        </w:tc>
        <w:tc>
          <w:tcPr>
            <w:tcW w:type="dxa" w:w="3200"/>
            <w:shd w:fill="2E5AAC" w:val="clear"/>
            <w:tcMar>
              <w:top w:type="dxa" w:w="80"/>
              <w:left w:type="dxa" w:w="100"/>
              <w:bottom w:type="dxa" w:w="80"/>
              <w:right w:type="dxa" w:w="100"/>
            </w:tcMar>
            <w:vAlign w:val="center"/>
          </w:tcPr>
          <w:p>
            <w:r>
              <w:rPr>
                <w:b/>
                <w:bCs/>
                <w:color w:val="FFFFFF"/>
                <w:sz w:val="20"/>
                <w:szCs w:val="20"/>
              </w:rPr>
              <w:t xml:space="preserve">Paid</w:t>
            </w:r>
          </w:p>
        </w:tc>
      </w:tr>
      <w:tr>
        <w:tc>
          <w:tcPr>
            <w:tcW w:type="dxa" w:w="2600"/>
            <w:tcMar>
              <w:top w:type="dxa" w:w="80"/>
              <w:left w:type="dxa" w:w="100"/>
              <w:bottom w:type="dxa" w:w="80"/>
              <w:right w:type="dxa" w:w="100"/>
            </w:tcMar>
            <w:vAlign w:val="center"/>
          </w:tcPr>
          <w:p>
            <w:r>
              <w:rPr>
                <w:sz w:val="20"/>
                <w:szCs w:val="20"/>
              </w:rPr>
              <w:t xml:space="preserve">Costo</w:t>
            </w:r>
          </w:p>
        </w:tc>
        <w:tc>
          <w:tcPr>
            <w:tcW w:type="dxa" w:w="3200"/>
            <w:tcMar>
              <w:top w:type="dxa" w:w="80"/>
              <w:left w:type="dxa" w:w="100"/>
              <w:bottom w:type="dxa" w:w="80"/>
              <w:right w:type="dxa" w:w="100"/>
            </w:tcMar>
            <w:vAlign w:val="center"/>
          </w:tcPr>
          <w:p>
            <w:r>
              <w:rPr>
                <w:sz w:val="20"/>
                <w:szCs w:val="20"/>
              </w:rPr>
              <w:t xml:space="preserve">Gratuito</w:t>
            </w:r>
          </w:p>
        </w:tc>
        <w:tc>
          <w:tcPr>
            <w:tcW w:type="dxa" w:w="3200"/>
            <w:tcMar>
              <w:top w:type="dxa" w:w="80"/>
              <w:left w:type="dxa" w:w="100"/>
              <w:bottom w:type="dxa" w:w="80"/>
              <w:right w:type="dxa" w:w="100"/>
            </w:tcMar>
            <w:vAlign w:val="center"/>
          </w:tcPr>
          <w:p>
            <w:r>
              <w:rPr>
                <w:sz w:val="20"/>
                <w:szCs w:val="20"/>
              </w:rPr>
              <w:t xml:space="preserve">A consumo, tariffe di sezione 3.1</w:t>
            </w:r>
          </w:p>
        </w:tc>
      </w:tr>
      <w:tr>
        <w:tc>
          <w:tcPr>
            <w:tcW w:type="dxa" w:w="2600"/>
            <w:shd w:fill="F2F2F2" w:val="clear"/>
            <w:tcMar>
              <w:top w:type="dxa" w:w="80"/>
              <w:left w:type="dxa" w:w="100"/>
              <w:bottom w:type="dxa" w:w="80"/>
              <w:right w:type="dxa" w:w="100"/>
            </w:tcMar>
            <w:vAlign w:val="center"/>
          </w:tcPr>
          <w:p>
            <w:r>
              <w:rPr>
                <w:sz w:val="20"/>
                <w:szCs w:val="20"/>
              </w:rPr>
              <w:t xml:space="preserve">Dati della conversazione usati da Google per addestrare i propri modelli</w:t>
            </w:r>
          </w:p>
        </w:tc>
        <w:tc>
          <w:tcPr>
            <w:tcW w:type="dxa" w:w="3200"/>
            <w:shd w:fill="F2F2F2" w:val="clear"/>
            <w:tcMar>
              <w:top w:type="dxa" w:w="80"/>
              <w:left w:type="dxa" w:w="100"/>
              <w:bottom w:type="dxa" w:w="80"/>
              <w:right w:type="dxa" w:w="100"/>
            </w:tcMar>
            <w:vAlign w:val="center"/>
          </w:tcPr>
          <w:p>
            <w:r>
              <w:rPr>
                <w:sz w:val="20"/>
                <w:szCs w:val="20"/>
              </w:rPr>
              <w:t xml:space="preserve">Sì</w:t>
            </w:r>
          </w:p>
        </w:tc>
        <w:tc>
          <w:tcPr>
            <w:tcW w:type="dxa" w:w="3200"/>
            <w:shd w:fill="F2F2F2" w:val="clear"/>
            <w:tcMar>
              <w:top w:type="dxa" w:w="80"/>
              <w:left w:type="dxa" w:w="100"/>
              <w:bottom w:type="dxa" w:w="80"/>
              <w:right w:type="dxa" w:w="100"/>
            </w:tcMar>
            <w:vAlign w:val="center"/>
          </w:tcPr>
          <w:p>
            <w:r>
              <w:rPr>
                <w:sz w:val="20"/>
                <w:szCs w:val="20"/>
              </w:rPr>
              <w:t xml:space="preserve">No</w:t>
            </w:r>
          </w:p>
        </w:tc>
      </w:tr>
      <w:tr>
        <w:tc>
          <w:tcPr>
            <w:tcW w:type="dxa" w:w="2600"/>
            <w:tcMar>
              <w:top w:type="dxa" w:w="80"/>
              <w:left w:type="dxa" w:w="100"/>
              <w:bottom w:type="dxa" w:w="80"/>
              <w:right w:type="dxa" w:w="100"/>
            </w:tcMar>
            <w:vAlign w:val="center"/>
          </w:tcPr>
          <w:p>
            <w:r>
              <w:rPr>
                <w:sz w:val="20"/>
                <w:szCs w:val="20"/>
              </w:rPr>
              <w:t xml:space="preserve">Limiti di traffico (Flash-Lite)</w:t>
            </w:r>
          </w:p>
        </w:tc>
        <w:tc>
          <w:tcPr>
            <w:tcW w:type="dxa" w:w="3200"/>
            <w:tcMar>
              <w:top w:type="dxa" w:w="80"/>
              <w:left w:type="dxa" w:w="100"/>
              <w:bottom w:type="dxa" w:w="80"/>
              <w:right w:type="dxa" w:w="100"/>
            </w:tcMar>
            <w:vAlign w:val="center"/>
          </w:tcPr>
          <w:p>
            <w:r>
              <w:rPr>
                <w:sz w:val="20"/>
                <w:szCs w:val="20"/>
              </w:rPr>
              <w:t xml:space="preserve">~10-15 richieste/minuto, ~1.000-1.500/giorno</w:t>
            </w:r>
          </w:p>
        </w:tc>
        <w:tc>
          <w:tcPr>
            <w:tcW w:type="dxa" w:w="3200"/>
            <w:tcMar>
              <w:top w:type="dxa" w:w="80"/>
              <w:left w:type="dxa" w:w="100"/>
              <w:bottom w:type="dxa" w:w="80"/>
              <w:right w:type="dxa" w:w="100"/>
            </w:tcMar>
            <w:vAlign w:val="center"/>
          </w:tcPr>
          <w:p>
            <w:r>
              <w:rPr>
                <w:sz w:val="20"/>
                <w:szCs w:val="20"/>
              </w:rPr>
              <w:t xml:space="preserve">Limiti molto più alti, adatti a produzione</w:t>
            </w:r>
          </w:p>
        </w:tc>
      </w:tr>
      <w:tr>
        <w:tc>
          <w:tcPr>
            <w:tcW w:type="dxa" w:w="2600"/>
            <w:shd w:fill="F2F2F2" w:val="clear"/>
            <w:tcMar>
              <w:top w:type="dxa" w:w="80"/>
              <w:left w:type="dxa" w:w="100"/>
              <w:bottom w:type="dxa" w:w="80"/>
              <w:right w:type="dxa" w:w="100"/>
            </w:tcMar>
            <w:vAlign w:val="center"/>
          </w:tcPr>
          <w:p>
            <w:r>
              <w:rPr>
                <w:sz w:val="20"/>
                <w:szCs w:val="20"/>
              </w:rPr>
              <w:t xml:space="preserve">Adatto a</w:t>
            </w:r>
          </w:p>
        </w:tc>
        <w:tc>
          <w:tcPr>
            <w:tcW w:type="dxa" w:w="3200"/>
            <w:shd w:fill="F2F2F2" w:val="clear"/>
            <w:tcMar>
              <w:top w:type="dxa" w:w="80"/>
              <w:left w:type="dxa" w:w="100"/>
              <w:bottom w:type="dxa" w:w="80"/>
              <w:right w:type="dxa" w:w="100"/>
            </w:tcMar>
            <w:vAlign w:val="center"/>
          </w:tcPr>
          <w:p>
            <w:r>
              <w:rPr>
                <w:sz w:val="20"/>
                <w:szCs w:val="20"/>
              </w:rPr>
              <w:t xml:space="preserve">Sviluppo e test con dati non reali, sotto il nostro controllo</w:t>
            </w:r>
          </w:p>
        </w:tc>
        <w:tc>
          <w:tcPr>
            <w:tcW w:type="dxa" w:w="3200"/>
            <w:shd w:fill="F2F2F2" w:val="clear"/>
            <w:tcMar>
              <w:top w:type="dxa" w:w="80"/>
              <w:left w:type="dxa" w:w="100"/>
              <w:bottom w:type="dxa" w:w="80"/>
              <w:right w:type="dxa" w:w="100"/>
            </w:tcMar>
            <w:vAlign w:val="center"/>
          </w:tcPr>
          <w:p>
            <w:r>
              <w:rPr>
                <w:sz w:val="20"/>
                <w:szCs w:val="20"/>
              </w:rPr>
              <w:t xml:space="preserve">Qualsiasi traffico con dati di clienti reali</w:t>
            </w:r>
          </w:p>
        </w:tc>
      </w:tr>
    </w:tbl>
    <w:p>
      <w:pPr>
        <w:spacing w:after="150"/>
      </w:pPr>
      <w:r>
        <w:rPr>
          <w:i/>
          <w:iCs/>
          <w:sz w:val="20"/>
          <w:szCs w:val="20"/>
        </w:rPr>
        <w:t xml:space="preserve">Per lo sviluppo: il tier Free è utilizzabile senza problemi finché i test usano dati sintetici (nomi, numeri, richieste inventate) creati e controllati da noi — sia i limiti di traffico sia il trattamento dati sono adeguati a questa fase. Per la produzione: appena nel sistema circolano dati di clienti reali del salone (anche solo per un test più realistico prima della consegna), va usato il tier Paid — non è una questione di volume ma di trattamento dati: i clienti di Gianluca non hanno dato consenso a che le loro richieste finiscano nel training di Google. Il passaggio a Paid richiede solo di collegare un metodo di pagamento su Google AI Studio; è immediato e non blocca nulla del lavoro già fatto.</w:t>
      </w:r>
    </w:p>
    <w:p>
      <w:pPr>
        <w:pStyle w:val="Heading2"/>
        <w:spacing w:after="150" w:before="300"/>
      </w:pPr>
      <w:r>
        <w:t xml:space="preserve">3.4 Casi d'uso e costo per tipologia (Gemini 3.5 Flash-Lite)</w:t>
      </w:r>
    </w:p>
    <w:p>
      <w:pPr>
        <w:spacing w:after="150"/>
      </w:pPr>
      <w:r>
        <w:rPr>
          <w:i/>
          <w:iCs/>
          <w:sz w:val="20"/>
          <w:szCs w:val="20"/>
        </w:rPr>
        <w:t xml:space="preserve">Non tutte le conversazioni pesano uguale. Di seguito il costo stimato dei tre pattern di richiesta più comuni per un salone, con Gemini 3.5 Flash-Lite.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000"/>
      </w:tblGrid>
      <w:tr>
        <w:tc>
          <w:tcPr>
            <w:tcW w:type="dxa" w:w="2600"/>
            <w:shd w:fill="2E5AAC" w:val="clear"/>
            <w:tcMar>
              <w:top w:type="dxa" w:w="80"/>
              <w:left w:type="dxa" w:w="100"/>
              <w:bottom w:type="dxa" w:w="80"/>
              <w:right w:type="dxa" w:w="100"/>
            </w:tcMar>
            <w:vAlign w:val="center"/>
          </w:tcPr>
          <w:p>
            <w:r>
              <w:rPr>
                <w:b/>
                <w:bCs/>
                <w:color w:val="FFFFFF"/>
                <w:sz w:val="20"/>
                <w:szCs w:val="20"/>
              </w:rPr>
              <w:t xml:space="preserve">Caso d'uso</w:t>
            </w:r>
          </w:p>
        </w:tc>
        <w:tc>
          <w:tcPr>
            <w:tcW w:type="dxa" w:w="2200"/>
            <w:shd w:fill="2E5AAC" w:val="clear"/>
            <w:tcMar>
              <w:top w:type="dxa" w:w="80"/>
              <w:left w:type="dxa" w:w="100"/>
              <w:bottom w:type="dxa" w:w="80"/>
              <w:right w:type="dxa" w:w="100"/>
            </w:tcMar>
            <w:vAlign w:val="center"/>
          </w:tcPr>
          <w:p>
            <w:r>
              <w:rPr>
                <w:b/>
                <w:bCs/>
                <w:color w:val="FFFFFF"/>
                <w:sz w:val="20"/>
                <w:szCs w:val="20"/>
              </w:rPr>
              <w:t xml:space="preserve">Scambi tipici</w:t>
            </w:r>
          </w:p>
        </w:tc>
        <w:tc>
          <w:tcPr>
            <w:tcW w:type="dxa" w:w="2200"/>
            <w:shd w:fill="2E5AAC" w:val="clear"/>
            <w:tcMar>
              <w:top w:type="dxa" w:w="80"/>
              <w:left w:type="dxa" w:w="100"/>
              <w:bottom w:type="dxa" w:w="80"/>
              <w:right w:type="dxa" w:w="100"/>
            </w:tcMar>
            <w:vAlign w:val="center"/>
          </w:tcPr>
          <w:p>
            <w:r>
              <w:rPr>
                <w:b/>
                <w:bCs/>
                <w:color w:val="FFFFFF"/>
                <w:sz w:val="20"/>
                <w:szCs w:val="20"/>
              </w:rPr>
              <w:t xml:space="preserve">Costo per conversazione (modello AI)</w:t>
            </w:r>
          </w:p>
        </w:tc>
        <w:tc>
          <w:tcPr>
            <w:tcW w:type="dxa" w:w="2000"/>
            <w:shd w:fill="2E5AAC" w:val="clear"/>
            <w:tcMar>
              <w:top w:type="dxa" w:w="80"/>
              <w:left w:type="dxa" w:w="100"/>
              <w:bottom w:type="dxa" w:w="80"/>
              <w:right w:type="dxa" w:w="100"/>
            </w:tcMar>
            <w:vAlign w:val="center"/>
          </w:tcPr>
          <w:p>
            <w:r>
              <w:rPr>
                <w:b/>
                <w:bCs/>
                <w:color w:val="FFFFFF"/>
                <w:sz w:val="20"/>
                <w:szCs w:val="20"/>
              </w:rPr>
              <w:t xml:space="preserve">Note</w:t>
            </w:r>
          </w:p>
        </w:tc>
      </w:tr>
      <w:tr>
        <w:tc>
          <w:tcPr>
            <w:tcW w:type="dxa" w:w="2600"/>
            <w:tcMar>
              <w:top w:type="dxa" w:w="80"/>
              <w:left w:type="dxa" w:w="100"/>
              <w:bottom w:type="dxa" w:w="80"/>
              <w:right w:type="dxa" w:w="100"/>
            </w:tcMar>
            <w:vAlign w:val="center"/>
          </w:tcPr>
          <w:p>
            <w:r>
              <w:rPr>
                <w:sz w:val="20"/>
                <w:szCs w:val="20"/>
              </w:rPr>
              <w:t xml:space="preserve">Info semplice (orari, indirizzo, servizi offerti)</w:t>
            </w:r>
          </w:p>
        </w:tc>
        <w:tc>
          <w:tcPr>
            <w:tcW w:type="dxa" w:w="2200"/>
            <w:tcMar>
              <w:top w:type="dxa" w:w="80"/>
              <w:left w:type="dxa" w:w="100"/>
              <w:bottom w:type="dxa" w:w="80"/>
              <w:right w:type="dxa" w:w="100"/>
            </w:tcMar>
            <w:vAlign w:val="center"/>
          </w:tcPr>
          <w:p>
            <w:r>
              <w:rPr>
                <w:sz w:val="20"/>
                <w:szCs w:val="20"/>
              </w:rPr>
              <w:t xml:space="preserve">1-2 messaggi, nessuna chiamata a funzione</w:t>
            </w:r>
          </w:p>
        </w:tc>
        <w:tc>
          <w:tcPr>
            <w:tcW w:type="dxa" w:w="2200"/>
            <w:tcMar>
              <w:top w:type="dxa" w:w="80"/>
              <w:left w:type="dxa" w:w="100"/>
              <w:bottom w:type="dxa" w:w="80"/>
              <w:right w:type="dxa" w:w="100"/>
            </w:tcMar>
            <w:vAlign w:val="center"/>
          </w:tcPr>
          <w:p>
            <w:r>
              <w:rPr>
                <w:sz w:val="20"/>
                <w:szCs w:val="20"/>
              </w:rPr>
              <w:t xml:space="preserve">~€0,0004</w:t>
            </w:r>
          </w:p>
        </w:tc>
        <w:tc>
          <w:tcPr>
            <w:tcW w:type="dxa" w:w="2000"/>
            <w:tcMar>
              <w:top w:type="dxa" w:w="80"/>
              <w:left w:type="dxa" w:w="100"/>
              <w:bottom w:type="dxa" w:w="80"/>
              <w:right w:type="dxa" w:w="100"/>
            </w:tcMar>
            <w:vAlign w:val="center"/>
          </w:tcPr>
          <w:p>
            <w:r>
              <w:rPr>
                <w:sz w:val="20"/>
                <w:szCs w:val="20"/>
              </w:rPr>
              <w:t xml:space="preserve">Il più economico; nessun accesso a Turbo Booking</w:t>
            </w:r>
          </w:p>
        </w:tc>
      </w:tr>
      <w:tr>
        <w:tc>
          <w:tcPr>
            <w:tcW w:type="dxa" w:w="2600"/>
            <w:shd w:fill="F2F2F2" w:val="clear"/>
            <w:tcMar>
              <w:top w:type="dxa" w:w="80"/>
              <w:left w:type="dxa" w:w="100"/>
              <w:bottom w:type="dxa" w:w="80"/>
              <w:right w:type="dxa" w:w="100"/>
            </w:tcMar>
            <w:vAlign w:val="center"/>
          </w:tcPr>
          <w:p>
            <w:r>
              <w:rPr>
                <w:sz w:val="20"/>
                <w:szCs w:val="20"/>
              </w:rPr>
              <w:t xml:space="preserve">Richiesta prenotazione completa</w:t>
            </w:r>
          </w:p>
        </w:tc>
        <w:tc>
          <w:tcPr>
            <w:tcW w:type="dxa" w:w="2200"/>
            <w:shd w:fill="F2F2F2" w:val="clear"/>
            <w:tcMar>
              <w:top w:type="dxa" w:w="80"/>
              <w:left w:type="dxa" w:w="100"/>
              <w:bottom w:type="dxa" w:w="80"/>
              <w:right w:type="dxa" w:w="100"/>
            </w:tcMar>
            <w:vAlign w:val="center"/>
          </w:tcPr>
          <w:p>
            <w:r>
              <w:rPr>
                <w:sz w:val="20"/>
                <w:szCs w:val="20"/>
              </w:rPr>
              <w:t xml:space="preserve">4-6 messaggi, chiamata a crea_evento</w:t>
            </w:r>
          </w:p>
        </w:tc>
        <w:tc>
          <w:tcPr>
            <w:tcW w:type="dxa" w:w="2200"/>
            <w:shd w:fill="F2F2F2" w:val="clear"/>
            <w:tcMar>
              <w:top w:type="dxa" w:w="80"/>
              <w:left w:type="dxa" w:w="100"/>
              <w:bottom w:type="dxa" w:w="80"/>
              <w:right w:type="dxa" w:w="100"/>
            </w:tcMar>
            <w:vAlign w:val="center"/>
          </w:tcPr>
          <w:p>
            <w:r>
              <w:rPr>
                <w:sz w:val="20"/>
                <w:szCs w:val="20"/>
              </w:rPr>
              <w:t xml:space="preserve">~€0,0014</w:t>
            </w:r>
          </w:p>
        </w:tc>
        <w:tc>
          <w:tcPr>
            <w:tcW w:type="dxa" w:w="2000"/>
            <w:shd w:fill="F2F2F2" w:val="clear"/>
            <w:tcMar>
              <w:top w:type="dxa" w:w="80"/>
              <w:left w:type="dxa" w:w="100"/>
              <w:bottom w:type="dxa" w:w="80"/>
              <w:right w:type="dxa" w:w="100"/>
            </w:tcMar>
            <w:vAlign w:val="center"/>
          </w:tcPr>
          <w:p>
            <w:r>
              <w:rPr>
                <w:sz w:val="20"/>
                <w:szCs w:val="20"/>
              </w:rPr>
              <w:t xml:space="preserve">Il caso centrale del prodotto; richiede la chiamata a funzione più delicata</w:t>
            </w:r>
          </w:p>
        </w:tc>
      </w:tr>
      <w:tr>
        <w:tc>
          <w:tcPr>
            <w:tcW w:type="dxa" w:w="2600"/>
            <w:tcMar>
              <w:top w:type="dxa" w:w="80"/>
              <w:left w:type="dxa" w:w="100"/>
              <w:bottom w:type="dxa" w:w="80"/>
              <w:right w:type="dxa" w:w="100"/>
            </w:tcMar>
            <w:vAlign w:val="center"/>
          </w:tcPr>
          <w:p>
            <w:r>
              <w:rPr>
                <w:sz w:val="20"/>
                <w:szCs w:val="20"/>
              </w:rPr>
              <w:t xml:space="preserve">Domanda con foto (es. riferimento taglio)</w:t>
            </w:r>
          </w:p>
        </w:tc>
        <w:tc>
          <w:tcPr>
            <w:tcW w:type="dxa" w:w="2200"/>
            <w:tcMar>
              <w:top w:type="dxa" w:w="80"/>
              <w:left w:type="dxa" w:w="100"/>
              <w:bottom w:type="dxa" w:w="80"/>
              <w:right w:type="dxa" w:w="100"/>
            </w:tcMar>
            <w:vAlign w:val="center"/>
          </w:tcPr>
          <w:p>
            <w:r>
              <w:rPr>
                <w:sz w:val="20"/>
                <w:szCs w:val="20"/>
              </w:rPr>
              <w:t xml:space="preserve">2-3 messaggi, 1 immagine in input</w:t>
            </w:r>
          </w:p>
        </w:tc>
        <w:tc>
          <w:tcPr>
            <w:tcW w:type="dxa" w:w="2200"/>
            <w:tcMar>
              <w:top w:type="dxa" w:w="80"/>
              <w:left w:type="dxa" w:w="100"/>
              <w:bottom w:type="dxa" w:w="80"/>
              <w:right w:type="dxa" w:w="100"/>
            </w:tcMar>
            <w:vAlign w:val="center"/>
          </w:tcPr>
          <w:p>
            <w:r>
              <w:rPr>
                <w:sz w:val="20"/>
                <w:szCs w:val="20"/>
              </w:rPr>
              <w:t xml:space="preserve">~€0,0012</w:t>
            </w:r>
          </w:p>
        </w:tc>
        <w:tc>
          <w:tcPr>
            <w:tcW w:type="dxa" w:w="2000"/>
            <w:tcMar>
              <w:top w:type="dxa" w:w="80"/>
              <w:left w:type="dxa" w:w="100"/>
              <w:bottom w:type="dxa" w:w="80"/>
              <w:right w:type="dxa" w:w="100"/>
            </w:tcMar>
            <w:vAlign w:val="center"/>
          </w:tcPr>
          <w:p>
            <w:r>
              <w:rPr>
                <w:sz w:val="20"/>
                <w:szCs w:val="20"/>
              </w:rPr>
              <w:t xml:space="preserve">L'immagine WhatsApp tipica pesa ~250-500 token in ingresso — l'input multimodale è supportato nativamente da Flash-Lite, nessun costo aggiuntivo di modello diverso</w:t>
            </w:r>
          </w:p>
        </w:tc>
      </w:tr>
    </w:tbl>
    <w:p>
      <w:pPr>
        <w:spacing w:after="150"/>
      </w:pPr>
      <w:r>
        <w:rPr>
          <w:i/>
          <w:iCs/>
          <w:sz w:val="20"/>
          <w:szCs w:val="20"/>
        </w:rPr>
        <w:t xml:space="preserve">Anche nel caso più costoso (prenotazione completa), il costo del modello AI resta sotto mezzo centesimo a conversazione. Il costo dominante del sistema è e resta quello dei messaggi WhatsApp (sezione 3.2), non il modello AI.</w:t>
      </w:r>
    </w:p>
    <w:p>
      <w:pPr>
        <w:pStyle w:val="Heading2"/>
        <w:spacing w:after="150" w:before="300"/>
      </w:pPr>
      <w:r>
        <w:t xml:space="preserve">3.5 Proiezioni di volume</w:t>
      </w:r>
    </w:p>
    <w:p>
      <w:pPr>
        <w:spacing w:after="150"/>
      </w:pPr>
      <w:r>
        <w:rPr>
          <w:i/>
          <w:iCs/>
          <w:sz w:val="20"/>
          <w:szCs w:val="20"/>
        </w:rPr>
        <w:t xml:space="preserve">Solo Gianluca (scenario attuale): stimando 300 conversazioni/mese con mix tipico tra i tre casi d'uso, il totale di risposte bot resta sotto le 1.000/mese — quindi sotto la soglia gratuita anche dal 1° ottobre 2026, salvo forte crescita imprevista.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000"/>
      </w:tblGrid>
      <w:tr>
        <w:tc>
          <w:tcPr>
            <w:tcW w:type="dxa" w:w="2600"/>
            <w:shd w:fill="2E5AAC" w:val="clear"/>
            <w:tcMar>
              <w:top w:type="dxa" w:w="80"/>
              <w:left w:type="dxa" w:w="100"/>
              <w:bottom w:type="dxa" w:w="80"/>
              <w:right w:type="dxa" w:w="100"/>
            </w:tcMar>
            <w:vAlign w:val="center"/>
          </w:tcPr>
          <w:p>
            <w:r>
              <w:rPr>
                <w:b/>
                <w:bCs/>
                <w:color w:val="FFFFFF"/>
                <w:sz w:val="20"/>
                <w:szCs w:val="20"/>
              </w:rPr>
              <w:t xml:space="preserve">Scenario</w:t>
            </w:r>
          </w:p>
        </w:tc>
        <w:tc>
          <w:tcPr>
            <w:tcW w:type="dxa" w:w="2200"/>
            <w:shd w:fill="2E5AAC" w:val="clear"/>
            <w:tcMar>
              <w:top w:type="dxa" w:w="80"/>
              <w:left w:type="dxa" w:w="100"/>
              <w:bottom w:type="dxa" w:w="80"/>
              <w:right w:type="dxa" w:w="100"/>
            </w:tcMar>
            <w:vAlign w:val="center"/>
          </w:tcPr>
          <w:p>
            <w:r>
              <w:rPr>
                <w:b/>
                <w:bCs/>
                <w:color w:val="FFFFFF"/>
                <w:sz w:val="20"/>
                <w:szCs w:val="20"/>
              </w:rPr>
              <w:t xml:space="preserve">Conversazioni/mese stimate</w:t>
            </w:r>
          </w:p>
        </w:tc>
        <w:tc>
          <w:tcPr>
            <w:tcW w:type="dxa" w:w="2200"/>
            <w:shd w:fill="2E5AAC" w:val="clear"/>
            <w:tcMar>
              <w:top w:type="dxa" w:w="80"/>
              <w:left w:type="dxa" w:w="100"/>
              <w:bottom w:type="dxa" w:w="80"/>
              <w:right w:type="dxa" w:w="100"/>
            </w:tcMar>
            <w:vAlign w:val="center"/>
          </w:tcPr>
          <w:p>
            <w:r>
              <w:rPr>
                <w:b/>
                <w:bCs/>
                <w:color w:val="FFFFFF"/>
                <w:sz w:val="20"/>
                <w:szCs w:val="20"/>
              </w:rPr>
              <w:t xml:space="preserve">Risposte bot/mese stimate</w:t>
            </w:r>
          </w:p>
        </w:tc>
        <w:tc>
          <w:tcPr>
            <w:tcW w:type="dxa" w:w="2000"/>
            <w:shd w:fill="2E5AAC" w:val="clear"/>
            <w:tcMar>
              <w:top w:type="dxa" w:w="80"/>
              <w:left w:type="dxa" w:w="100"/>
              <w:bottom w:type="dxa" w:w="80"/>
              <w:right w:type="dxa" w:w="100"/>
            </w:tcMar>
            <w:vAlign w:val="center"/>
          </w:tcPr>
          <w:p>
            <w:r>
              <w:rPr>
                <w:b/>
                <w:bCs/>
                <w:color w:val="FFFFFF"/>
                <w:sz w:val="20"/>
                <w:szCs w:val="20"/>
              </w:rPr>
              <w:t xml:space="preserve">Sotto soglia 1.000 gratuite (dal 1/10)?</w:t>
            </w:r>
          </w:p>
        </w:tc>
      </w:tr>
      <w:tr>
        <w:tc>
          <w:tcPr>
            <w:tcW w:type="dxa" w:w="2600"/>
            <w:tcMar>
              <w:top w:type="dxa" w:w="80"/>
              <w:left w:type="dxa" w:w="100"/>
              <w:bottom w:type="dxa" w:w="80"/>
              <w:right w:type="dxa" w:w="100"/>
            </w:tcMar>
            <w:vAlign w:val="center"/>
          </w:tcPr>
          <w:p>
            <w:r>
              <w:rPr>
                <w:sz w:val="20"/>
                <w:szCs w:val="20"/>
              </w:rPr>
              <w:t xml:space="preserve">Solo Gianluca</w:t>
            </w:r>
          </w:p>
        </w:tc>
        <w:tc>
          <w:tcPr>
            <w:tcW w:type="dxa" w:w="2200"/>
            <w:tcMar>
              <w:top w:type="dxa" w:w="80"/>
              <w:left w:type="dxa" w:w="100"/>
              <w:bottom w:type="dxa" w:w="80"/>
              <w:right w:type="dxa" w:w="100"/>
            </w:tcMar>
            <w:vAlign w:val="center"/>
          </w:tcPr>
          <w:p>
            <w:r>
              <w:rPr>
                <w:sz w:val="20"/>
                <w:szCs w:val="20"/>
              </w:rPr>
              <w:t xml:space="preserve">~300</w:t>
            </w:r>
          </w:p>
        </w:tc>
        <w:tc>
          <w:tcPr>
            <w:tcW w:type="dxa" w:w="2200"/>
            <w:tcMar>
              <w:top w:type="dxa" w:w="80"/>
              <w:left w:type="dxa" w:w="100"/>
              <w:bottom w:type="dxa" w:w="80"/>
              <w:right w:type="dxa" w:w="100"/>
            </w:tcMar>
            <w:vAlign w:val="center"/>
          </w:tcPr>
          <w:p>
            <w:r>
              <w:rPr>
                <w:sz w:val="20"/>
                <w:szCs w:val="20"/>
              </w:rPr>
              <w:t xml:space="preserve">~700-900</w:t>
            </w:r>
          </w:p>
        </w:tc>
        <w:tc>
          <w:tcPr>
            <w:tcW w:type="dxa" w:w="2000"/>
            <w:tcMar>
              <w:top w:type="dxa" w:w="80"/>
              <w:left w:type="dxa" w:w="100"/>
              <w:bottom w:type="dxa" w:w="80"/>
              <w:right w:type="dxa" w:w="100"/>
            </w:tcMar>
            <w:vAlign w:val="center"/>
          </w:tcPr>
          <w:p>
            <w:r>
              <w:rPr>
                <w:sz w:val="20"/>
                <w:szCs w:val="20"/>
              </w:rPr>
              <w:t xml:space="preserve">Sì, con margine</w:t>
            </w:r>
          </w:p>
        </w:tc>
      </w:tr>
      <w:tr>
        <w:tc>
          <w:tcPr>
            <w:tcW w:type="dxa" w:w="2600"/>
            <w:shd w:fill="F2F2F2" w:val="clear"/>
            <w:tcMar>
              <w:top w:type="dxa" w:w="80"/>
              <w:left w:type="dxa" w:w="100"/>
              <w:bottom w:type="dxa" w:w="80"/>
              <w:right w:type="dxa" w:w="100"/>
            </w:tcMar>
            <w:vAlign w:val="center"/>
          </w:tcPr>
          <w:p>
            <w:r>
              <w:rPr>
                <w:sz w:val="20"/>
                <w:szCs w:val="20"/>
              </w:rPr>
              <w:t xml:space="preserve">2-3 saloni (stesso backend)</w:t>
            </w:r>
          </w:p>
        </w:tc>
        <w:tc>
          <w:tcPr>
            <w:tcW w:type="dxa" w:w="2200"/>
            <w:shd w:fill="F2F2F2" w:val="clear"/>
            <w:tcMar>
              <w:top w:type="dxa" w:w="80"/>
              <w:left w:type="dxa" w:w="100"/>
              <w:bottom w:type="dxa" w:w="80"/>
              <w:right w:type="dxa" w:w="100"/>
            </w:tcMar>
            <w:vAlign w:val="center"/>
          </w:tcPr>
          <w:p>
            <w:r>
              <w:rPr>
                <w:sz w:val="20"/>
                <w:szCs w:val="20"/>
              </w:rPr>
              <w:t xml:space="preserve">~700-900</w:t>
            </w:r>
          </w:p>
        </w:tc>
        <w:tc>
          <w:tcPr>
            <w:tcW w:type="dxa" w:w="2200"/>
            <w:shd w:fill="F2F2F2" w:val="clear"/>
            <w:tcMar>
              <w:top w:type="dxa" w:w="80"/>
              <w:left w:type="dxa" w:w="100"/>
              <w:bottom w:type="dxa" w:w="80"/>
              <w:right w:type="dxa" w:w="100"/>
            </w:tcMar>
            <w:vAlign w:val="center"/>
          </w:tcPr>
          <w:p>
            <w:r>
              <w:rPr>
                <w:sz w:val="20"/>
                <w:szCs w:val="20"/>
              </w:rPr>
              <w:t xml:space="preserve">~1.800-2.500</w:t>
            </w:r>
          </w:p>
        </w:tc>
        <w:tc>
          <w:tcPr>
            <w:tcW w:type="dxa" w:w="2000"/>
            <w:shd w:fill="F2F2F2" w:val="clear"/>
            <w:tcMar>
              <w:top w:type="dxa" w:w="80"/>
              <w:left w:type="dxa" w:w="100"/>
              <w:bottom w:type="dxa" w:w="80"/>
              <w:right w:type="dxa" w:w="100"/>
            </w:tcMar>
            <w:vAlign w:val="center"/>
          </w:tcPr>
          <w:p>
            <w:r>
              <w:rPr>
                <w:sz w:val="20"/>
                <w:szCs w:val="20"/>
              </w:rPr>
              <w:t xml:space="preserve">No — parte del traffico a pagamento a tariffa service/utility Italia</w:t>
            </w:r>
          </w:p>
        </w:tc>
      </w:tr>
      <w:tr>
        <w:tc>
          <w:tcPr>
            <w:tcW w:type="dxa" w:w="2600"/>
            <w:tcMar>
              <w:top w:type="dxa" w:w="80"/>
              <w:left w:type="dxa" w:w="100"/>
              <w:bottom w:type="dxa" w:w="80"/>
              <w:right w:type="dxa" w:w="100"/>
            </w:tcMar>
            <w:vAlign w:val="center"/>
          </w:tcPr>
          <w:p>
            <w:r>
              <w:rPr>
                <w:sz w:val="20"/>
                <w:szCs w:val="20"/>
              </w:rPr>
              <w:t xml:space="preserve">Prodotto scalato (10+ saloni)</w:t>
            </w:r>
          </w:p>
        </w:tc>
        <w:tc>
          <w:tcPr>
            <w:tcW w:type="dxa" w:w="2200"/>
            <w:tcMar>
              <w:top w:type="dxa" w:w="80"/>
              <w:left w:type="dxa" w:w="100"/>
              <w:bottom w:type="dxa" w:w="80"/>
              <w:right w:type="dxa" w:w="100"/>
            </w:tcMar>
            <w:vAlign w:val="center"/>
          </w:tcPr>
          <w:p>
            <w:r>
              <w:rPr>
                <w:sz w:val="20"/>
                <w:szCs w:val="20"/>
              </w:rPr>
              <w:t xml:space="preserve">3.000+</w:t>
            </w:r>
          </w:p>
        </w:tc>
        <w:tc>
          <w:tcPr>
            <w:tcW w:type="dxa" w:w="2200"/>
            <w:tcMar>
              <w:top w:type="dxa" w:w="80"/>
              <w:left w:type="dxa" w:w="100"/>
              <w:bottom w:type="dxa" w:w="80"/>
              <w:right w:type="dxa" w:w="100"/>
            </w:tcMar>
            <w:vAlign w:val="center"/>
          </w:tcPr>
          <w:p>
            <w:r>
              <w:rPr>
                <w:sz w:val="20"/>
                <w:szCs w:val="20"/>
              </w:rPr>
              <w:t xml:space="preserve">8.000+</w:t>
            </w:r>
          </w:p>
        </w:tc>
        <w:tc>
          <w:tcPr>
            <w:tcW w:type="dxa" w:w="2000"/>
            <w:tcMar>
              <w:top w:type="dxa" w:w="80"/>
              <w:left w:type="dxa" w:w="100"/>
              <w:bottom w:type="dxa" w:w="80"/>
              <w:right w:type="dxa" w:w="100"/>
            </w:tcMar>
            <w:vAlign w:val="center"/>
          </w:tcPr>
          <w:p>
            <w:r>
              <w:rPr>
                <w:sz w:val="20"/>
                <w:szCs w:val="20"/>
              </w:rPr>
              <w:t xml:space="preserve">No — la soglia di 1.000/mese è per numero di telefono, quindi ogni salone ha la propria franchigia; il conteggio va fatto per singolo numero, non aggregato</w:t>
            </w:r>
          </w:p>
        </w:tc>
      </w:tr>
    </w:tbl>
    <w:p>
      <w:pPr>
        <w:spacing w:after="150"/>
      </w:pPr>
      <w:r>
        <w:rPr>
          <w:i/>
          <w:iCs/>
          <w:sz w:val="20"/>
          <w:szCs w:val="20"/>
        </w:rPr>
        <w:t xml:space="preserve">Punto architetturale per lo scenario multi-salone: la soglia gratuita di 1.000 service message/mese si applica per numero di telefono (WABA), non a livello di portfolio. Questo significa che il costo cresce linearmente con il numero di saloni, ma ciascuno mantiene la propria franchigia — un vantaggio strutturale se il prodotto scala a più clienti, perché non serve superare artificialmente la soglia di uno per restare sotto quella di un altro.</w:t>
      </w:r>
    </w:p>
    <w:p>
      <w:pPr>
        <w:pStyle w:val="Heading2"/>
        <w:spacing w:after="150" w:before="300"/>
      </w:pPr>
      <w:r>
        <w:t xml:space="preserve">3.6 Raccomandazione</w:t>
      </w:r>
    </w:p>
    <w:p>
      <w:pPr>
        <w:spacing w:after="150"/>
      </w:pPr>
      <w:r>
        <w:rPr>
          <w:sz w:val="22"/>
          <w:szCs w:val="22"/>
        </w:rPr>
        <w:t xml:space="preserve">Gemini 3.5 Flash-Lite. Dichiara supporto esplicito al function calling, ottimizzato proprio per workflow agentic ad alto volume — il profilo di Turbo Booking — a un prezzo che rimane trascurabile anche nel caso d'uso più costoso (prenotazione completa). Va validato con test reali sulle chiamate a crea_evento prima del lancio in produzione; se emergono errori di interpretazione su casi ambigui (orari, nomi, servizi) o sull'interpretazione delle foto inviate dai clienti, il passaggio a Gemini 3.8 Flash è immediato e a basso rischio, visto che la differenza di costo resta marginale — è il modello Flash più capace attualmente offerto da Google, pensato per agenti autonomi e workflow complessi.</w:t>
      </w:r>
    </w:p>
    <w:p>
      <w:pPr>
        <w:pStyle w:val="Heading1"/>
        <w:spacing w:after="200" w:before="400"/>
      </w:pPr>
      <w:r>
        <w:t xml:space="preserve">4. Prossime task</w:t>
      </w:r>
    </w:p>
    <w:p>
      <w:pPr>
        <w:spacing w:after="150"/>
      </w:pPr>
      <w:r>
        <w:rPr>
          <w:i/>
          <w:iCs/>
          <w:sz w:val="20"/>
          <w:szCs w:val="20"/>
        </w:rPr>
        <w:t xml:space="preserve">Ordine di lavoro: prima il percorso tecnico di programmazione (backend, poi disegno della conversazione, poi validazione), che può partire subito su un numero di test. In parallelo, indipendentemente dal codice, il percorso amministrativo (setup account, verifiche economiche, template) che serve comunque prima del go-live ma non blocca lo sviluppo.</w:t>
      </w:r>
    </w:p>
    <w:p>
      <w:pPr>
        <w:pStyle w:val="Heading2"/>
        <w:spacing w:after="150" w:before="300"/>
      </w:pPr>
      <w:r>
        <w:t xml:space="preserve">4.1 Percorso tecnico (sequenziale)</w:t>
      </w:r>
    </w:p>
    <w:p>
      <w:pPr>
        <w:pStyle w:val="Heading3"/>
        <w:spacing w:after="100" w:before="200"/>
      </w:pPr>
      <w:r>
        <w:t xml:space="preserve">4.1.1 Backend orchestratore</w:t>
      </w:r>
    </w:p>
    <w:p>
      <w:pPr>
        <w:pStyle w:val="ListParagraph"/>
        <w:numPr>
          <w:ilvl w:val="0"/>
          <w:numId w:val="2"/>
        </w:numPr>
        <w:spacing w:after="80"/>
      </w:pPr>
      <w:r>
        <w:rPr>
          <w:sz w:val="22"/>
          <w:szCs w:val="22"/>
        </w:rPr>
        <w:t xml:space="preserve">Endpoint webhook per ricevere i messaggi in ingresso da Meta</w:t>
      </w:r>
    </w:p>
    <w:p>
      <w:pPr>
        <w:pStyle w:val="ListParagraph"/>
        <w:numPr>
          <w:ilvl w:val="0"/>
          <w:numId w:val="2"/>
        </w:numPr>
        <w:spacing w:after="80"/>
      </w:pPr>
      <w:r>
        <w:rPr>
          <w:sz w:val="22"/>
          <w:szCs w:val="22"/>
        </w:rPr>
        <w:t xml:space="preserve">Client per l'API Gemini (3.5 Flash-Lite) con function-calling configurato sulle funzioni Turbo Booking (crea_evento, controlla_disponibilità, modifica_prenotazione, cancella_prenotazione)</w:t>
      </w:r>
    </w:p>
    <w:p>
      <w:pPr>
        <w:pStyle w:val="ListParagraph"/>
        <w:numPr>
          <w:ilvl w:val="0"/>
          <w:numId w:val="2"/>
        </w:numPr>
        <w:spacing w:after="80"/>
      </w:pPr>
      <w:r>
        <w:rPr>
          <w:sz w:val="22"/>
          <w:szCs w:val="22"/>
        </w:rPr>
        <w:t xml:space="preserve">Gestione input multimodale (foto inviate dal cliente, es. richieste di taglio) oltre al testo</w:t>
      </w:r>
    </w:p>
    <w:p>
      <w:pPr>
        <w:pStyle w:val="ListParagraph"/>
        <w:numPr>
          <w:ilvl w:val="0"/>
          <w:numId w:val="2"/>
        </w:numPr>
        <w:spacing w:after="80"/>
      </w:pPr>
      <w:r>
        <w:rPr>
          <w:sz w:val="22"/>
          <w:szCs w:val="22"/>
        </w:rPr>
        <w:t xml:space="preserve">Client per l'invio messaggi via WhatsApp Cloud API</w:t>
      </w:r>
    </w:p>
    <w:p>
      <w:pPr>
        <w:pStyle w:val="ListParagraph"/>
        <w:numPr>
          <w:ilvl w:val="0"/>
          <w:numId w:val="2"/>
        </w:numPr>
        <w:spacing w:after="80"/>
      </w:pPr>
      <w:r>
        <w:rPr>
          <w:sz w:val="22"/>
          <w:szCs w:val="22"/>
        </w:rPr>
        <w:t xml:space="preserve">Logica di conteggio dei service message per numero di telefono, per monitorare l'avvicinamento alla soglia gratuita di 1.000/mese (lettura del campo pricing_category nei webhook di stato Meta)</w:t>
      </w:r>
    </w:p>
    <w:p>
      <w:pPr>
        <w:pStyle w:val="Heading3"/>
        <w:spacing w:after="100" w:before="200"/>
      </w:pPr>
      <w:r>
        <w:t xml:space="preserve">4.1.2 Disegno della conversazione</w:t>
      </w:r>
    </w:p>
    <w:p>
      <w:pPr>
        <w:pStyle w:val="ListParagraph"/>
        <w:numPr>
          <w:ilvl w:val="0"/>
          <w:numId w:val="2"/>
        </w:numPr>
        <w:spacing w:after="80"/>
      </w:pPr>
      <w:r>
        <w:rPr>
          <w:sz w:val="22"/>
          <w:szCs w:val="22"/>
        </w:rPr>
        <w:t xml:space="preserve">Minimizzare i round-trip per prenotazione nel prompt/flow design, per restare il più possibile sotto la soglia gratuita di 1.000 service message/mese dopo il 1° ottobre</w:t>
      </w:r>
    </w:p>
    <w:p>
      <w:pPr>
        <w:pStyle w:val="ListParagraph"/>
        <w:numPr>
          <w:ilvl w:val="0"/>
          <w:numId w:val="2"/>
        </w:numPr>
        <w:spacing w:after="80"/>
      </w:pPr>
      <w:r>
        <w:rPr>
          <w:sz w:val="22"/>
          <w:szCs w:val="22"/>
        </w:rPr>
        <w:t xml:space="preserve">Progettare i tre flussi tipo separatamente (info semplice, prenotazione, richiesta con foto) — vedi sezione 3.4 — così il prompt resta mirato e non gonfia inutilmente il contesto per le richieste più semplici</w:t>
      </w:r>
    </w:p>
    <w:p>
      <w:pPr>
        <w:pStyle w:val="ListParagraph"/>
        <w:numPr>
          <w:ilvl w:val="0"/>
          <w:numId w:val="2"/>
        </w:numPr>
        <w:spacing w:after="80"/>
      </w:pPr>
      <w:r>
        <w:rPr>
          <w:sz w:val="22"/>
          <w:szCs w:val="22"/>
        </w:rPr>
        <w:t xml:space="preserve">Definire i casi di escalation a operatore umano (Gianluca) per richieste che il bot non deve gestire in autonomia</w:t>
      </w:r>
    </w:p>
    <w:p>
      <w:pPr>
        <w:pStyle w:val="Heading3"/>
        <w:spacing w:after="100" w:before="200"/>
      </w:pPr>
      <w:r>
        <w:t xml:space="preserve">4.1.3 Validazione modello</w:t>
      </w:r>
    </w:p>
    <w:p>
      <w:pPr>
        <w:pStyle w:val="ListParagraph"/>
        <w:numPr>
          <w:ilvl w:val="0"/>
          <w:numId w:val="2"/>
        </w:numPr>
        <w:spacing w:after="80"/>
      </w:pPr>
      <w:r>
        <w:rPr>
          <w:sz w:val="22"/>
          <w:szCs w:val="22"/>
        </w:rPr>
        <w:t xml:space="preserve">Testare Gemini 3.5 Flash-Lite su un set di messaggi reali/simulati per ciascuno dei tre casi d'uso (orari ambigui, nomi storpiati, richieste multiple in un messaggio, foto di riferimento) per verificare l'affidabilità del function-calling prima del lancio</w:t>
      </w:r>
    </w:p>
    <w:p>
      <w:pPr>
        <w:pStyle w:val="ListParagraph"/>
        <w:numPr>
          <w:ilvl w:val="0"/>
          <w:numId w:val="2"/>
        </w:numPr>
        <w:spacing w:after="80"/>
      </w:pPr>
      <w:r>
        <w:rPr>
          <w:sz w:val="22"/>
          <w:szCs w:val="22"/>
        </w:rPr>
        <w:t xml:space="preserve">Se il tasso di errore sulle chiamate a crea_evento è troppo alto, passare a Gemini 3.8 Flash — cambio a basso attrito, differenza di costo marginale</w:t>
      </w:r>
    </w:p>
    <w:p>
      <w:pPr>
        <w:pStyle w:val="Heading3"/>
        <w:spacing w:after="100" w:before="200"/>
      </w:pPr>
      <w:r>
        <w:t xml:space="preserve">4.1.4 Test su numero non di produzione</w:t>
      </w:r>
    </w:p>
    <w:p>
      <w:pPr>
        <w:pStyle w:val="ListParagraph"/>
        <w:numPr>
          <w:ilvl w:val="0"/>
          <w:numId w:val="2"/>
        </w:numPr>
        <w:spacing w:after="80"/>
      </w:pPr>
      <w:r>
        <w:rPr>
          <w:sz w:val="22"/>
          <w:szCs w:val="22"/>
        </w:rPr>
        <w:t xml:space="preserve">I primi test tecnici (backend, function-calling, flussi conversazionali) partono su un numero WhatsApp diverso da quello di Gianluca — un numero già aziendale disponibile, oppure un numero di test dedicato registrato sul WABA di sviluppo</w:t>
      </w:r>
    </w:p>
    <w:p>
      <w:pPr>
        <w:pStyle w:val="ListParagraph"/>
        <w:numPr>
          <w:ilvl w:val="0"/>
          <w:numId w:val="2"/>
        </w:numPr>
        <w:spacing w:after="80"/>
      </w:pPr>
      <w:r>
        <w:rPr>
          <w:sz w:val="22"/>
          <w:szCs w:val="22"/>
        </w:rPr>
        <w:t xml:space="preserve">La WhatsApp Cloud API supporta nativamente numeri di test: Meta mette a disposizione un numero di test gratuito legato all'App developer, utilizzabile per le prime chiamate API senza registrare un numero reale — utile per validare l'integrazione tecnica prima ancora di avere un numero business dedicato</w:t>
      </w:r>
    </w:p>
    <w:p>
      <w:pPr>
        <w:pStyle w:val="ListParagraph"/>
        <w:numPr>
          <w:ilvl w:val="0"/>
          <w:numId w:val="2"/>
        </w:numPr>
        <w:spacing w:after="80"/>
      </w:pPr>
      <w:r>
        <w:rPr>
          <w:sz w:val="22"/>
          <w:szCs w:val="22"/>
        </w:rPr>
        <w:t xml:space="preserve">Il numero di Gianluca entra in gioco solo nell'ultima fase: migrazione dal WhatsApp Business App al WABA e collegamento al backend già validato (vedi 4.3)</w:t>
      </w:r>
    </w:p>
    <w:p>
      <w:pPr>
        <w:pStyle w:val="Heading2"/>
        <w:spacing w:after="150" w:before="300"/>
      </w:pPr>
      <w:r>
        <w:t xml:space="preserve">4.2 Percorso amministrativo (parallelo, indipendente dal codice)</w:t>
      </w:r>
    </w:p>
    <w:p>
      <w:pPr>
        <w:pStyle w:val="Heading3"/>
        <w:spacing w:after="100" w:before="200"/>
      </w:pPr>
      <w:r>
        <w:t xml:space="preserve">4.2.1 Setup account e infrastruttura</w:t>
      </w:r>
    </w:p>
    <w:p>
      <w:pPr>
        <w:pStyle w:val="ListParagraph"/>
        <w:numPr>
          <w:ilvl w:val="0"/>
          <w:numId w:val="2"/>
        </w:numPr>
        <w:spacing w:after="80"/>
      </w:pPr>
      <w:r>
        <w:rPr>
          <w:sz w:val="22"/>
          <w:szCs w:val="22"/>
        </w:rPr>
        <w:t xml:space="preserve">Creare/verificare il Business Manager Meta e il WhatsApp Business Account (WABA) di sviluppo</w:t>
      </w:r>
    </w:p>
    <w:p>
      <w:pPr>
        <w:pStyle w:val="ListParagraph"/>
        <w:numPr>
          <w:ilvl w:val="0"/>
          <w:numId w:val="2"/>
        </w:numPr>
        <w:spacing w:after="80"/>
      </w:pPr>
      <w:r>
        <w:rPr>
          <w:sz w:val="22"/>
          <w:szCs w:val="22"/>
        </w:rPr>
        <w:t xml:space="preserve">Registrare un metodo di pagamento su Meta Business Suite (obbligatorio entro il 30/09/2026)</w:t>
      </w:r>
    </w:p>
    <w:p>
      <w:pPr>
        <w:pStyle w:val="ListParagraph"/>
        <w:numPr>
          <w:ilvl w:val="0"/>
          <w:numId w:val="2"/>
        </w:numPr>
        <w:spacing w:after="80"/>
      </w:pPr>
      <w:r>
        <w:rPr>
          <w:sz w:val="22"/>
          <w:szCs w:val="22"/>
        </w:rPr>
        <w:t xml:space="preserve">Passare l'account Google AI da Free a Paid prima della consegna a Gianluca — obbligatorio nel momento in cui il sistema tratta dati di clienti reali del salone, non solo dati di test sintetici (vedi sezione 3.3)</w:t>
      </w:r>
    </w:p>
    <w:p>
      <w:pPr>
        <w:pStyle w:val="ListParagraph"/>
        <w:numPr>
          <w:ilvl w:val="0"/>
          <w:numId w:val="2"/>
        </w:numPr>
        <w:spacing w:after="80"/>
      </w:pPr>
      <w:r>
        <w:rPr>
          <w:sz w:val="22"/>
          <w:szCs w:val="22"/>
        </w:rPr>
        <w:t xml:space="preserve">Pianificare la finestra di migrazione del numero attuale del salone dal WhatsApp Business App al WABA — comunicare a Gianluca che durante/dopo la migrazione non potrà più rispondere manualmente da app senza passare dall'interfaccia del backend</w:t>
      </w:r>
    </w:p>
    <w:p>
      <w:pPr>
        <w:pStyle w:val="Heading3"/>
        <w:spacing w:after="100" w:before="200"/>
      </w:pPr>
      <w:r>
        <w:t xml:space="preserve">4.2.2 Verifiche economiche</w:t>
      </w:r>
    </w:p>
    <w:p>
      <w:pPr>
        <w:pStyle w:val="ListParagraph"/>
        <w:numPr>
          <w:ilvl w:val="0"/>
          <w:numId w:val="2"/>
        </w:numPr>
        <w:spacing w:after="80"/>
      </w:pPr>
      <w:r>
        <w:rPr>
          <w:sz w:val="22"/>
          <w:szCs w:val="22"/>
        </w:rPr>
        <w:t xml:space="preserve">Scaricare il rate card ufficiale Meta in EUR per l'Italia (utility, marketing, authentication, service) per avere le cifre esatte, non stimate</w:t>
      </w:r>
    </w:p>
    <w:p>
      <w:pPr>
        <w:pStyle w:val="ListParagraph"/>
        <w:numPr>
          <w:ilvl w:val="0"/>
          <w:numId w:val="2"/>
        </w:numPr>
        <w:spacing w:after="80"/>
      </w:pPr>
      <w:r>
        <w:rPr>
          <w:sz w:val="22"/>
          <w:szCs w:val="22"/>
        </w:rPr>
        <w:t xml:space="preserve">Ottenere da Gianluca un dato reale sul volume mensile di prenotazioni per sostituire l'ipotesi di lavoro (300/mese) con un numero verificato</w:t>
      </w:r>
    </w:p>
    <w:p>
      <w:pPr>
        <w:pStyle w:val="ListParagraph"/>
        <w:numPr>
          <w:ilvl w:val="0"/>
          <w:numId w:val="2"/>
        </w:numPr>
        <w:spacing w:after="80"/>
      </w:pPr>
      <w:r>
        <w:rPr>
          <w:sz w:val="22"/>
          <w:szCs w:val="22"/>
        </w:rPr>
        <w:t xml:space="preserve">Ricalcolare la proiezione di costo dal 1° ottobre una volta note le tariffe service definitive (Meta le pubblica entro inizio settembre 2026 secondo il proprio calendario)</w:t>
      </w:r>
    </w:p>
    <w:p>
      <w:pPr>
        <w:pStyle w:val="Heading3"/>
        <w:spacing w:after="100" w:before="200"/>
      </w:pPr>
      <w:r>
        <w:t xml:space="preserve">4.2.3 Template WhatsApp</w:t>
      </w:r>
    </w:p>
    <w:p>
      <w:pPr>
        <w:pStyle w:val="ListParagraph"/>
        <w:numPr>
          <w:ilvl w:val="0"/>
          <w:numId w:val="2"/>
        </w:numPr>
        <w:spacing w:after="80"/>
      </w:pPr>
      <w:r>
        <w:rPr>
          <w:sz w:val="22"/>
          <w:szCs w:val="22"/>
        </w:rPr>
        <w:t xml:space="preserve">Scrivere e sottoporre ad approvazione Meta i template utility necessari: conferma prenotazione, promemoria/riappuntamento, eventuale cancellazione</w:t>
      </w:r>
    </w:p>
    <w:p>
      <w:pPr>
        <w:pStyle w:val="ListParagraph"/>
        <w:numPr>
          <w:ilvl w:val="0"/>
          <w:numId w:val="2"/>
        </w:numPr>
        <w:spacing w:after="80"/>
      </w:pPr>
      <w:r>
        <w:rPr>
          <w:sz w:val="22"/>
          <w:szCs w:val="22"/>
        </w:rPr>
        <w:t xml:space="preserve">Verificare la categorizzazione assegnata da Meta a ciascun template (utility vs marketing) prima dell'uso in produzione</w:t>
      </w:r>
    </w:p>
    <w:p>
      <w:pPr>
        <w:pStyle w:val="Heading2"/>
        <w:spacing w:after="150" w:before="300"/>
      </w:pPr>
      <w:r>
        <w:t xml:space="preserve">4.3 Go-live</w:t>
      </w:r>
    </w:p>
    <w:p>
      <w:pPr>
        <w:pStyle w:val="ListParagraph"/>
        <w:numPr>
          <w:ilvl w:val="0"/>
          <w:numId w:val="2"/>
        </w:numPr>
        <w:spacing w:after="80"/>
      </w:pPr>
      <w:r>
        <w:rPr>
          <w:sz w:val="22"/>
          <w:szCs w:val="22"/>
        </w:rPr>
        <w:t xml:space="preserve">Una volta validati backend e conversazione sul numero di test, migrare il numero reale di Gianluca sul WABA di produzione</w:t>
      </w:r>
    </w:p>
    <w:p>
      <w:pPr>
        <w:pStyle w:val="ListParagraph"/>
        <w:numPr>
          <w:ilvl w:val="0"/>
          <w:numId w:val="2"/>
        </w:numPr>
        <w:spacing w:after="80"/>
      </w:pPr>
      <w:r>
        <w:rPr>
          <w:sz w:val="22"/>
          <w:szCs w:val="22"/>
        </w:rPr>
        <w:t xml:space="preserve">Collegare il numero migrato al backend già testato e avviare in produzione</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2026-09-12T12:29:37.993Z</dcterms:created>
  <dcterms:modified xsi:type="dcterms:W3CDTF">2026-09-12T12:29:37.993Z</dcterms:modified>
</cp:coreProperties>
</file>

<file path=docProps/custom.xml><?xml version="1.0" encoding="utf-8"?>
<Properties xmlns="http://schemas.openxmlformats.org/officeDocument/2006/custom-properties" xmlns:vt="http://schemas.openxmlformats.org/officeDocument/2006/docPropsVTypes"/>
</file>