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7833463"/>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4B2C7E26" w14:textId="77777777" w:rsidR="00AC5C57" w:rsidRDefault="00AC5C57">
      <w:pPr>
        <w:pStyle w:val="TOC1"/>
        <w:tabs>
          <w:tab w:val="right" w:leader="dot" w:pos="9350"/>
        </w:tabs>
        <w:rPr>
          <w:rFonts w:asciiTheme="minorHAnsi" w:eastAsiaTheme="minorEastAsia" w:hAnsiTheme="minorHAnsi" w:cstheme="minorBidi"/>
          <w:noProof/>
        </w:rPr>
      </w:pPr>
      <w:r>
        <w:fldChar w:fldCharType="begin"/>
      </w:r>
      <w:r>
        <w:instrText xml:space="preserve"> TOC \o "1-3" \u </w:instrText>
      </w:r>
      <w:r>
        <w:fldChar w:fldCharType="separate"/>
      </w:r>
      <w:r>
        <w:rPr>
          <w:noProof/>
        </w:rPr>
        <w:t>Summary</w:t>
      </w:r>
      <w:r>
        <w:rPr>
          <w:noProof/>
        </w:rPr>
        <w:tab/>
      </w:r>
      <w:r>
        <w:rPr>
          <w:noProof/>
        </w:rPr>
        <w:fldChar w:fldCharType="begin"/>
      </w:r>
      <w:r>
        <w:rPr>
          <w:noProof/>
        </w:rPr>
        <w:instrText xml:space="preserve"> PAGEREF _Toc347833463 \h </w:instrText>
      </w:r>
      <w:r>
        <w:rPr>
          <w:noProof/>
        </w:rPr>
      </w:r>
      <w:r>
        <w:rPr>
          <w:noProof/>
        </w:rPr>
        <w:fldChar w:fldCharType="separate"/>
      </w:r>
      <w:r>
        <w:rPr>
          <w:noProof/>
        </w:rPr>
        <w:t>1</w:t>
      </w:r>
      <w:r>
        <w:rPr>
          <w:noProof/>
        </w:rPr>
        <w:fldChar w:fldCharType="end"/>
      </w:r>
    </w:p>
    <w:p w14:paraId="04F042D0" w14:textId="77777777" w:rsidR="00AC5C57" w:rsidRDefault="00AC5C57">
      <w:pPr>
        <w:pStyle w:val="TOC1"/>
        <w:tabs>
          <w:tab w:val="right" w:leader="dot" w:pos="9350"/>
        </w:tabs>
        <w:rPr>
          <w:rFonts w:asciiTheme="minorHAnsi" w:eastAsiaTheme="minorEastAsia" w:hAnsiTheme="minorHAnsi" w:cstheme="minorBidi"/>
          <w:noProof/>
        </w:rPr>
      </w:pPr>
      <w:r>
        <w:rPr>
          <w:noProof/>
        </w:rPr>
        <w:t>What’s New In this Release?</w:t>
      </w:r>
      <w:r>
        <w:rPr>
          <w:noProof/>
        </w:rPr>
        <w:tab/>
      </w:r>
      <w:r>
        <w:rPr>
          <w:noProof/>
        </w:rPr>
        <w:fldChar w:fldCharType="begin"/>
      </w:r>
      <w:r>
        <w:rPr>
          <w:noProof/>
        </w:rPr>
        <w:instrText xml:space="preserve"> PAGEREF _Toc347833464 \h </w:instrText>
      </w:r>
      <w:r>
        <w:rPr>
          <w:noProof/>
        </w:rPr>
      </w:r>
      <w:r>
        <w:rPr>
          <w:noProof/>
        </w:rPr>
        <w:fldChar w:fldCharType="separate"/>
      </w:r>
      <w:r>
        <w:rPr>
          <w:noProof/>
        </w:rPr>
        <w:t>3</w:t>
      </w:r>
      <w:r>
        <w:rPr>
          <w:noProof/>
        </w:rPr>
        <w:fldChar w:fldCharType="end"/>
      </w:r>
    </w:p>
    <w:p w14:paraId="103FD239" w14:textId="77777777" w:rsidR="00AC5C57" w:rsidRDefault="00AC5C57">
      <w:pPr>
        <w:pStyle w:val="TOC1"/>
        <w:tabs>
          <w:tab w:val="right" w:leader="dot" w:pos="9350"/>
        </w:tabs>
        <w:rPr>
          <w:rFonts w:asciiTheme="minorHAnsi" w:eastAsiaTheme="minorEastAsia" w:hAnsiTheme="minorHAnsi" w:cstheme="minorBidi"/>
          <w:noProof/>
        </w:rPr>
      </w:pPr>
      <w:r>
        <w:rPr>
          <w:noProof/>
        </w:rPr>
        <w:t>Installation Notes</w:t>
      </w:r>
      <w:r>
        <w:rPr>
          <w:noProof/>
        </w:rPr>
        <w:tab/>
      </w:r>
      <w:r>
        <w:rPr>
          <w:noProof/>
        </w:rPr>
        <w:fldChar w:fldCharType="begin"/>
      </w:r>
      <w:r>
        <w:rPr>
          <w:noProof/>
        </w:rPr>
        <w:instrText xml:space="preserve"> PAGEREF _Toc347833465 \h </w:instrText>
      </w:r>
      <w:r>
        <w:rPr>
          <w:noProof/>
        </w:rPr>
      </w:r>
      <w:r>
        <w:rPr>
          <w:noProof/>
        </w:rPr>
        <w:fldChar w:fldCharType="separate"/>
      </w:r>
      <w:r>
        <w:rPr>
          <w:noProof/>
        </w:rPr>
        <w:t>4</w:t>
      </w:r>
      <w:r>
        <w:rPr>
          <w:noProof/>
        </w:rPr>
        <w:fldChar w:fldCharType="end"/>
      </w:r>
    </w:p>
    <w:p w14:paraId="7B709212" w14:textId="77777777" w:rsidR="00AC5C57" w:rsidRDefault="00AC5C57">
      <w:pPr>
        <w:pStyle w:val="TOC1"/>
        <w:tabs>
          <w:tab w:val="right" w:leader="dot" w:pos="9350"/>
        </w:tabs>
        <w:rPr>
          <w:rFonts w:asciiTheme="minorHAnsi" w:eastAsiaTheme="minorEastAsia" w:hAnsiTheme="minorHAnsi" w:cstheme="minorBidi"/>
          <w:noProof/>
        </w:rPr>
      </w:pPr>
      <w:r>
        <w:rPr>
          <w:noProof/>
        </w:rPr>
        <w:t>Who Needs to Migrate?</w:t>
      </w:r>
      <w:r>
        <w:rPr>
          <w:noProof/>
        </w:rPr>
        <w:tab/>
      </w:r>
      <w:r>
        <w:rPr>
          <w:noProof/>
        </w:rPr>
        <w:fldChar w:fldCharType="begin"/>
      </w:r>
      <w:r>
        <w:rPr>
          <w:noProof/>
        </w:rPr>
        <w:instrText xml:space="preserve"> PAGEREF _Toc347833466 \h </w:instrText>
      </w:r>
      <w:r>
        <w:rPr>
          <w:noProof/>
        </w:rPr>
      </w:r>
      <w:r>
        <w:rPr>
          <w:noProof/>
        </w:rPr>
        <w:fldChar w:fldCharType="separate"/>
      </w:r>
      <w:r>
        <w:rPr>
          <w:noProof/>
        </w:rPr>
        <w:t>5</w:t>
      </w:r>
      <w:r>
        <w:rPr>
          <w:noProof/>
        </w:rPr>
        <w:fldChar w:fldCharType="end"/>
      </w:r>
    </w:p>
    <w:p w14:paraId="28A0B3AD" w14:textId="77777777" w:rsidR="00AC5C57" w:rsidRDefault="00AC5C57">
      <w:pPr>
        <w:pStyle w:val="TOC2"/>
        <w:tabs>
          <w:tab w:val="right" w:leader="dot" w:pos="9350"/>
        </w:tabs>
        <w:rPr>
          <w:rFonts w:asciiTheme="minorHAnsi" w:eastAsiaTheme="minorEastAsia" w:hAnsiTheme="minorHAnsi" w:cstheme="minorBidi"/>
          <w:noProof/>
        </w:rPr>
      </w:pPr>
      <w:r>
        <w:rPr>
          <w:noProof/>
        </w:rPr>
        <w:t>Supported Migration Scenarios</w:t>
      </w:r>
      <w:r>
        <w:rPr>
          <w:noProof/>
        </w:rPr>
        <w:tab/>
      </w:r>
      <w:r>
        <w:rPr>
          <w:noProof/>
        </w:rPr>
        <w:fldChar w:fldCharType="begin"/>
      </w:r>
      <w:r>
        <w:rPr>
          <w:noProof/>
        </w:rPr>
        <w:instrText xml:space="preserve"> PAGEREF _Toc347833467 \h </w:instrText>
      </w:r>
      <w:r>
        <w:rPr>
          <w:noProof/>
        </w:rPr>
      </w:r>
      <w:r>
        <w:rPr>
          <w:noProof/>
        </w:rPr>
        <w:fldChar w:fldCharType="separate"/>
      </w:r>
      <w:r>
        <w:rPr>
          <w:noProof/>
        </w:rPr>
        <w:t>6</w:t>
      </w:r>
      <w:r>
        <w:rPr>
          <w:noProof/>
        </w:rPr>
        <w:fldChar w:fldCharType="end"/>
      </w:r>
    </w:p>
    <w:p w14:paraId="3819C67F"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FAQ</w:t>
      </w:r>
      <w:r>
        <w:rPr>
          <w:noProof/>
        </w:rPr>
        <w:tab/>
      </w:r>
      <w:r>
        <w:rPr>
          <w:noProof/>
        </w:rPr>
        <w:fldChar w:fldCharType="begin"/>
      </w:r>
      <w:r>
        <w:rPr>
          <w:noProof/>
        </w:rPr>
        <w:instrText xml:space="preserve"> PAGEREF _Toc347833468 \h </w:instrText>
      </w:r>
      <w:r>
        <w:rPr>
          <w:noProof/>
        </w:rPr>
      </w:r>
      <w:r>
        <w:rPr>
          <w:noProof/>
        </w:rPr>
        <w:fldChar w:fldCharType="separate"/>
      </w:r>
      <w:r>
        <w:rPr>
          <w:noProof/>
        </w:rPr>
        <w:t>7</w:t>
      </w:r>
      <w:r>
        <w:rPr>
          <w:noProof/>
        </w:rPr>
        <w:fldChar w:fldCharType="end"/>
      </w:r>
    </w:p>
    <w:p w14:paraId="4FE0B706" w14:textId="77777777" w:rsidR="00AC5C57" w:rsidRDefault="00AC5C57">
      <w:pPr>
        <w:pStyle w:val="TOC3"/>
        <w:tabs>
          <w:tab w:val="right" w:leader="dot" w:pos="9350"/>
        </w:tabs>
        <w:rPr>
          <w:rFonts w:asciiTheme="minorHAnsi" w:eastAsiaTheme="minorEastAsia" w:hAnsiTheme="minorHAnsi" w:cstheme="minorBidi"/>
          <w:noProof/>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_Toc347833469 \h </w:instrText>
      </w:r>
      <w:r>
        <w:rPr>
          <w:noProof/>
        </w:rPr>
      </w:r>
      <w:r>
        <w:rPr>
          <w:noProof/>
        </w:rPr>
        <w:fldChar w:fldCharType="separate"/>
      </w:r>
      <w:r>
        <w:rPr>
          <w:noProof/>
        </w:rPr>
        <w:t>7</w:t>
      </w:r>
      <w:r>
        <w:rPr>
          <w:noProof/>
        </w:rPr>
        <w:fldChar w:fldCharType="end"/>
      </w:r>
    </w:p>
    <w:p w14:paraId="7ADA468E"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_Toc347833470 \h </w:instrText>
      </w:r>
      <w:r>
        <w:rPr>
          <w:noProof/>
        </w:rPr>
      </w:r>
      <w:r>
        <w:rPr>
          <w:noProof/>
        </w:rPr>
        <w:fldChar w:fldCharType="separate"/>
      </w:r>
      <w:r>
        <w:rPr>
          <w:noProof/>
        </w:rPr>
        <w:t>7</w:t>
      </w:r>
      <w:r>
        <w:rPr>
          <w:noProof/>
        </w:rPr>
        <w:fldChar w:fldCharType="end"/>
      </w:r>
    </w:p>
    <w:p w14:paraId="22D1AC93" w14:textId="77777777" w:rsidR="00AC5C57" w:rsidRDefault="00AC5C57">
      <w:pPr>
        <w:pStyle w:val="TOC3"/>
        <w:tabs>
          <w:tab w:val="right" w:leader="dot" w:pos="9350"/>
        </w:tabs>
        <w:rPr>
          <w:rFonts w:asciiTheme="minorHAnsi" w:eastAsiaTheme="minorEastAsia" w:hAnsiTheme="minorHAnsi" w:cstheme="minorBidi"/>
          <w:noProof/>
        </w:rPr>
      </w:pPr>
      <w:r>
        <w:rPr>
          <w:noProof/>
        </w:rPr>
        <w:t>Will NuPattern update from the Visual Studio Gallery?</w:t>
      </w:r>
      <w:r>
        <w:rPr>
          <w:noProof/>
        </w:rPr>
        <w:tab/>
      </w:r>
      <w:r>
        <w:rPr>
          <w:noProof/>
        </w:rPr>
        <w:fldChar w:fldCharType="begin"/>
      </w:r>
      <w:r>
        <w:rPr>
          <w:noProof/>
        </w:rPr>
        <w:instrText xml:space="preserve"> PAGEREF _Toc347833471 \h </w:instrText>
      </w:r>
      <w:r>
        <w:rPr>
          <w:noProof/>
        </w:rPr>
      </w:r>
      <w:r>
        <w:rPr>
          <w:noProof/>
        </w:rPr>
        <w:fldChar w:fldCharType="separate"/>
      </w:r>
      <w:r>
        <w:rPr>
          <w:noProof/>
        </w:rPr>
        <w:t>7</w:t>
      </w:r>
      <w:r>
        <w:rPr>
          <w:noProof/>
        </w:rPr>
        <w:fldChar w:fldCharType="end"/>
      </w:r>
    </w:p>
    <w:p w14:paraId="60D647F6" w14:textId="77777777" w:rsidR="00AC5C57" w:rsidRDefault="00AC5C57">
      <w:pPr>
        <w:pStyle w:val="TOC3"/>
        <w:tabs>
          <w:tab w:val="right" w:leader="dot" w:pos="9350"/>
        </w:tabs>
        <w:rPr>
          <w:rFonts w:asciiTheme="minorHAnsi" w:eastAsiaTheme="minorEastAsia" w:hAnsiTheme="minorHAnsi" w:cstheme="minorBidi"/>
          <w:noProof/>
        </w:rPr>
      </w:pPr>
      <w:r>
        <w:rPr>
          <w:noProof/>
        </w:rPr>
        <w:t>Can I target my pattern toolkit to run in Visual Studio 2012?</w:t>
      </w:r>
      <w:r>
        <w:rPr>
          <w:noProof/>
        </w:rPr>
        <w:tab/>
      </w:r>
      <w:r>
        <w:rPr>
          <w:noProof/>
        </w:rPr>
        <w:fldChar w:fldCharType="begin"/>
      </w:r>
      <w:r>
        <w:rPr>
          <w:noProof/>
        </w:rPr>
        <w:instrText xml:space="preserve"> PAGEREF _Toc347833472 \h </w:instrText>
      </w:r>
      <w:r>
        <w:rPr>
          <w:noProof/>
        </w:rPr>
      </w:r>
      <w:r>
        <w:rPr>
          <w:noProof/>
        </w:rPr>
        <w:fldChar w:fldCharType="separate"/>
      </w:r>
      <w:r>
        <w:rPr>
          <w:noProof/>
        </w:rPr>
        <w:t>7</w:t>
      </w:r>
      <w:r>
        <w:rPr>
          <w:noProof/>
        </w:rPr>
        <w:fldChar w:fldCharType="end"/>
      </w:r>
    </w:p>
    <w:p w14:paraId="179389ED" w14:textId="77777777" w:rsidR="00AC5C57" w:rsidRDefault="00AC5C57">
      <w:pPr>
        <w:pStyle w:val="TOC3"/>
        <w:tabs>
          <w:tab w:val="right" w:leader="dot" w:pos="9350"/>
        </w:tabs>
        <w:rPr>
          <w:rFonts w:asciiTheme="minorHAnsi" w:eastAsiaTheme="minorEastAsia" w:hAnsiTheme="minorHAnsi" w:cstheme="minorBidi"/>
          <w:noProof/>
        </w:rPr>
      </w:pPr>
      <w:r>
        <w:rPr>
          <w:noProof/>
        </w:rPr>
        <w:t>How do I build my pattern toolkit to target both VS2010 and VS2012?</w:t>
      </w:r>
      <w:r>
        <w:rPr>
          <w:noProof/>
        </w:rPr>
        <w:tab/>
      </w:r>
      <w:r>
        <w:rPr>
          <w:noProof/>
        </w:rPr>
        <w:fldChar w:fldCharType="begin"/>
      </w:r>
      <w:r>
        <w:rPr>
          <w:noProof/>
        </w:rPr>
        <w:instrText xml:space="preserve"> PAGEREF _Toc347833473 \h </w:instrText>
      </w:r>
      <w:r>
        <w:rPr>
          <w:noProof/>
        </w:rPr>
      </w:r>
      <w:r>
        <w:rPr>
          <w:noProof/>
        </w:rPr>
        <w:fldChar w:fldCharType="separate"/>
      </w:r>
      <w:r>
        <w:rPr>
          <w:noProof/>
        </w:rPr>
        <w:t>8</w:t>
      </w:r>
      <w:r>
        <w:rPr>
          <w:noProof/>
        </w:rPr>
        <w:fldChar w:fldCharType="end"/>
      </w:r>
    </w:p>
    <w:p w14:paraId="121F0F9C" w14:textId="77777777" w:rsidR="00AC5C57" w:rsidRDefault="00AC5C57">
      <w:pPr>
        <w:pStyle w:val="TOC3"/>
        <w:tabs>
          <w:tab w:val="right" w:leader="dot" w:pos="9350"/>
        </w:tabs>
        <w:rPr>
          <w:rFonts w:asciiTheme="minorHAnsi" w:eastAsiaTheme="minorEastAsia" w:hAnsiTheme="minorHAnsi" w:cstheme="minorBidi"/>
          <w:noProof/>
        </w:rPr>
      </w:pPr>
      <w:r>
        <w:rPr>
          <w:noProof/>
        </w:rPr>
        <w:t>Technically, why do we need to migrate pattern toolkits, what has changed in this version?</w:t>
      </w:r>
      <w:r>
        <w:rPr>
          <w:noProof/>
        </w:rPr>
        <w:tab/>
      </w:r>
      <w:r>
        <w:rPr>
          <w:noProof/>
        </w:rPr>
        <w:fldChar w:fldCharType="begin"/>
      </w:r>
      <w:r>
        <w:rPr>
          <w:noProof/>
        </w:rPr>
        <w:instrText xml:space="preserve"> PAGEREF _Toc347833474 \h </w:instrText>
      </w:r>
      <w:r>
        <w:rPr>
          <w:noProof/>
        </w:rPr>
      </w:r>
      <w:r>
        <w:rPr>
          <w:noProof/>
        </w:rPr>
        <w:fldChar w:fldCharType="separate"/>
      </w:r>
      <w:r>
        <w:rPr>
          <w:noProof/>
        </w:rPr>
        <w:t>8</w:t>
      </w:r>
      <w:r>
        <w:rPr>
          <w:noProof/>
        </w:rPr>
        <w:fldChar w:fldCharType="end"/>
      </w:r>
    </w:p>
    <w:p w14:paraId="4CA6843A"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_Toc347833475 \h </w:instrText>
      </w:r>
      <w:r>
        <w:rPr>
          <w:noProof/>
        </w:rPr>
      </w:r>
      <w:r>
        <w:rPr>
          <w:noProof/>
        </w:rPr>
        <w:fldChar w:fldCharType="separate"/>
      </w:r>
      <w:r>
        <w:rPr>
          <w:noProof/>
        </w:rPr>
        <w:t>10</w:t>
      </w:r>
      <w:r>
        <w:rPr>
          <w:noProof/>
        </w:rPr>
        <w:fldChar w:fldCharType="end"/>
      </w:r>
    </w:p>
    <w:p w14:paraId="2B2B7386"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_Toc347833476 \h </w:instrText>
      </w:r>
      <w:r>
        <w:rPr>
          <w:noProof/>
        </w:rPr>
      </w:r>
      <w:r>
        <w:rPr>
          <w:noProof/>
        </w:rPr>
        <w:fldChar w:fldCharType="separate"/>
      </w:r>
      <w:r>
        <w:rPr>
          <w:noProof/>
        </w:rPr>
        <w:t>10</w:t>
      </w:r>
      <w:r>
        <w:rPr>
          <w:noProof/>
        </w:rPr>
        <w:fldChar w:fldCharType="end"/>
      </w:r>
    </w:p>
    <w:p w14:paraId="3CFB95F9"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Notes</w:t>
      </w:r>
      <w:r>
        <w:rPr>
          <w:noProof/>
        </w:rPr>
        <w:tab/>
      </w:r>
      <w:r>
        <w:rPr>
          <w:noProof/>
        </w:rPr>
        <w:fldChar w:fldCharType="begin"/>
      </w:r>
      <w:r>
        <w:rPr>
          <w:noProof/>
        </w:rPr>
        <w:instrText xml:space="preserve"> PAGEREF _Toc347833477 \h </w:instrText>
      </w:r>
      <w:r>
        <w:rPr>
          <w:noProof/>
        </w:rPr>
      </w:r>
      <w:r>
        <w:rPr>
          <w:noProof/>
        </w:rPr>
        <w:fldChar w:fldCharType="separate"/>
      </w:r>
      <w:r>
        <w:rPr>
          <w:noProof/>
        </w:rPr>
        <w:t>12</w:t>
      </w:r>
      <w:r>
        <w:rPr>
          <w:noProof/>
        </w:rPr>
        <w:fldChar w:fldCharType="end"/>
      </w:r>
    </w:p>
    <w:p w14:paraId="1AB55770"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Solutions:</w:t>
      </w:r>
      <w:r>
        <w:rPr>
          <w:noProof/>
        </w:rPr>
        <w:tab/>
      </w:r>
      <w:r>
        <w:rPr>
          <w:noProof/>
        </w:rPr>
        <w:fldChar w:fldCharType="begin"/>
      </w:r>
      <w:r>
        <w:rPr>
          <w:noProof/>
        </w:rPr>
        <w:instrText xml:space="preserve"> PAGEREF _Toc347833478 \h </w:instrText>
      </w:r>
      <w:r>
        <w:rPr>
          <w:noProof/>
        </w:rPr>
      </w:r>
      <w:r>
        <w:rPr>
          <w:noProof/>
        </w:rPr>
        <w:fldChar w:fldCharType="separate"/>
      </w:r>
      <w:r>
        <w:rPr>
          <w:noProof/>
        </w:rPr>
        <w:t>13</w:t>
      </w:r>
      <w:r>
        <w:rPr>
          <w:noProof/>
        </w:rPr>
        <w:fldChar w:fldCharType="end"/>
      </w:r>
    </w:p>
    <w:p w14:paraId="39E81F55"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Project:</w:t>
      </w:r>
      <w:r>
        <w:rPr>
          <w:noProof/>
        </w:rPr>
        <w:tab/>
      </w:r>
      <w:r>
        <w:rPr>
          <w:noProof/>
        </w:rPr>
        <w:fldChar w:fldCharType="begin"/>
      </w:r>
      <w:r>
        <w:rPr>
          <w:noProof/>
        </w:rPr>
        <w:instrText xml:space="preserve"> PAGEREF _Toc347833479 \h </w:instrText>
      </w:r>
      <w:r>
        <w:rPr>
          <w:noProof/>
        </w:rPr>
      </w:r>
      <w:r>
        <w:rPr>
          <w:noProof/>
        </w:rPr>
        <w:fldChar w:fldCharType="separate"/>
      </w:r>
      <w:r>
        <w:rPr>
          <w:noProof/>
        </w:rPr>
        <w:t>15</w:t>
      </w:r>
      <w:r>
        <w:rPr>
          <w:noProof/>
        </w:rPr>
        <w:fldChar w:fldCharType="end"/>
      </w:r>
    </w:p>
    <w:p w14:paraId="1906C9D6"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Automation Project:</w:t>
      </w:r>
      <w:r>
        <w:rPr>
          <w:noProof/>
        </w:rPr>
        <w:tab/>
      </w:r>
      <w:r>
        <w:rPr>
          <w:noProof/>
        </w:rPr>
        <w:fldChar w:fldCharType="begin"/>
      </w:r>
      <w:r>
        <w:rPr>
          <w:noProof/>
        </w:rPr>
        <w:instrText xml:space="preserve"> PAGEREF _Toc347833480 \h </w:instrText>
      </w:r>
      <w:r>
        <w:rPr>
          <w:noProof/>
        </w:rPr>
      </w:r>
      <w:r>
        <w:rPr>
          <w:noProof/>
        </w:rPr>
        <w:fldChar w:fldCharType="separate"/>
      </w:r>
      <w:r>
        <w:rPr>
          <w:noProof/>
        </w:rPr>
        <w:t>20</w:t>
      </w:r>
      <w:r>
        <w:rPr>
          <w:noProof/>
        </w:rPr>
        <w:fldChar w:fldCharType="end"/>
      </w:r>
    </w:p>
    <w:p w14:paraId="3479D4EF"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w:t>
      </w:r>
      <w:r>
        <w:rPr>
          <w:noProof/>
        </w:rPr>
        <w:tab/>
      </w:r>
      <w:r>
        <w:rPr>
          <w:noProof/>
        </w:rPr>
        <w:fldChar w:fldCharType="begin"/>
      </w:r>
      <w:r>
        <w:rPr>
          <w:noProof/>
        </w:rPr>
        <w:instrText xml:space="preserve"> PAGEREF _Toc347833481 \h </w:instrText>
      </w:r>
      <w:r>
        <w:rPr>
          <w:noProof/>
        </w:rPr>
      </w:r>
      <w:r>
        <w:rPr>
          <w:noProof/>
        </w:rPr>
        <w:fldChar w:fldCharType="separate"/>
      </w:r>
      <w:r>
        <w:rPr>
          <w:noProof/>
        </w:rPr>
        <w:t>21</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7833464"/>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7833465"/>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7833466"/>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7833467"/>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7833468"/>
      <w:r>
        <w:lastRenderedPageBreak/>
        <w:t>Migration FAQ</w:t>
      </w:r>
      <w:bookmarkEnd w:id="12"/>
    </w:p>
    <w:p w14:paraId="08AD1EAF" w14:textId="68DE4BE2" w:rsidR="0041435D" w:rsidRDefault="0041435D" w:rsidP="0041435D">
      <w:pPr>
        <w:pStyle w:val="Heading3"/>
      </w:pPr>
      <w:bookmarkStart w:id="13" w:name="_Toc347833469"/>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7833470"/>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7833471"/>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7833472"/>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7833473"/>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7833474"/>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7833475"/>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7833476"/>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7833477"/>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7833478"/>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1CA31ACC" w14:textId="77777777" w:rsidR="00FB30EB" w:rsidRDefault="00FB30EB" w:rsidP="006A0C6D">
      <w:pPr>
        <w:pStyle w:val="Heading3"/>
      </w:pPr>
    </w:p>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7833479"/>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0C77448D" w:rsidR="00176167" w:rsidRPr="00B50103" w:rsidRDefault="00176167" w:rsidP="00B50103">
            <w:pPr>
              <w:rPr>
                <w:b/>
              </w:rPr>
            </w:pPr>
            <w:r>
              <w:rPr>
                <w:b/>
              </w:rPr>
              <w:t>VS2010</w:t>
            </w:r>
          </w:p>
        </w:tc>
        <w:tc>
          <w:tcPr>
            <w:tcW w:w="8478" w:type="dxa"/>
          </w:tcPr>
          <w:p w14:paraId="335876DB" w14:textId="5A38710E"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r w:rsidR="00176167" w14:paraId="1865A66C" w14:textId="77777777" w:rsidTr="00B50103">
        <w:tc>
          <w:tcPr>
            <w:tcW w:w="1098" w:type="dxa"/>
          </w:tcPr>
          <w:p w14:paraId="4A2FBF38" w14:textId="568D9656" w:rsidR="00176167" w:rsidRPr="00B50103" w:rsidRDefault="00176167" w:rsidP="00B50103">
            <w:pPr>
              <w:rPr>
                <w:b/>
              </w:rPr>
            </w:pPr>
            <w:r>
              <w:rPr>
                <w:b/>
              </w:rPr>
              <w:t>VS2012</w:t>
            </w:r>
          </w:p>
        </w:tc>
        <w:tc>
          <w:tcPr>
            <w:tcW w:w="8478" w:type="dxa"/>
          </w:tcPr>
          <w:p w14:paraId="33B06F52"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12AB7821"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572C4D93"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59A8D419"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CDD98CD"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1C3BC286" w14:textId="77777777" w:rsidR="00176167" w:rsidRPr="00142327" w:rsidRDefault="00176167" w:rsidP="00176167">
            <w:pPr>
              <w:autoSpaceDE w:val="0"/>
              <w:autoSpaceDN w:val="0"/>
              <w:adjustRightInd w:val="0"/>
              <w:spacing w:before="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24C799D7" w14:textId="7C332BA2" w:rsidR="00176167" w:rsidRDefault="00176167" w:rsidP="00B50103">
            <w:pPr>
              <w:autoSpaceDE w:val="0"/>
              <w:autoSpaceDN w:val="0"/>
              <w:adjustRightInd w:val="0"/>
              <w:spacing w:before="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6DF623BF" w:rsidR="00176167" w:rsidRPr="00B50103" w:rsidRDefault="00176167" w:rsidP="00B50103">
            <w:pPr>
              <w:rPr>
                <w:b/>
              </w:rPr>
            </w:pPr>
            <w:r>
              <w:rPr>
                <w:b/>
              </w:rPr>
              <w:t>VS2010</w:t>
            </w:r>
          </w:p>
        </w:tc>
        <w:tc>
          <w:tcPr>
            <w:tcW w:w="8478" w:type="dxa"/>
          </w:tcPr>
          <w:p w14:paraId="7297E008" w14:textId="7D3524E6"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176167" w14:paraId="3BBC9604" w14:textId="77777777" w:rsidTr="00176167">
        <w:tc>
          <w:tcPr>
            <w:tcW w:w="1098" w:type="dxa"/>
          </w:tcPr>
          <w:p w14:paraId="6BC106D5" w14:textId="16C6480E" w:rsidR="00176167" w:rsidRPr="00B50103" w:rsidRDefault="00176167" w:rsidP="00B50103">
            <w:pPr>
              <w:rPr>
                <w:b/>
              </w:rPr>
            </w:pPr>
            <w:r>
              <w:rPr>
                <w:b/>
              </w:rPr>
              <w:t>VS2012</w:t>
            </w:r>
          </w:p>
        </w:tc>
        <w:tc>
          <w:tcPr>
            <w:tcW w:w="8478" w:type="dxa"/>
          </w:tcPr>
          <w:p w14:paraId="67301C5A" w14:textId="30F9E0E3"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14:paraId="795CF6A1" w14:textId="77777777" w:rsidTr="009C4215">
        <w:tc>
          <w:tcPr>
            <w:tcW w:w="9576" w:type="dxa"/>
            <w:gridSpan w:val="2"/>
          </w:tcPr>
          <w:p w14:paraId="4FBBF96F" w14:textId="36BEDA6A" w:rsidR="00890266" w:rsidRDefault="00890266" w:rsidP="00B45E1C">
            <w:r>
              <w:t>Update the ‘Include’ directive to include ‘</w:t>
            </w:r>
            <w:proofErr w:type="spellStart"/>
            <w:r w:rsidRPr="00890266">
              <w:t>source.extension.gen.ttinclude</w:t>
            </w:r>
            <w:proofErr w:type="spellEnd"/>
            <w: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r w:rsidR="00FB30EB" w:rsidRPr="00FB30EB" w14:paraId="6AC1F426" w14:textId="77777777" w:rsidTr="00FB30EB">
        <w:tc>
          <w:tcPr>
            <w:tcW w:w="9576" w:type="dxa"/>
            <w:gridSpan w:val="2"/>
            <w:shd w:val="clear" w:color="auto" w:fill="404040" w:themeFill="text1" w:themeFillTint="BF"/>
          </w:tcPr>
          <w:p w14:paraId="590688FB" w14:textId="2D04430D" w:rsidR="00B45E1C" w:rsidRPr="00FB30EB" w:rsidRDefault="00B45E1C" w:rsidP="00B45E1C">
            <w:pPr>
              <w:rPr>
                <w:color w:val="EEECE1" w:themeColor="background2"/>
              </w:rPr>
            </w:pPr>
            <w:r w:rsidRPr="00FB30EB">
              <w:rPr>
                <w:color w:val="EEECE1" w:themeColor="background2"/>
              </w:rPr>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lastRenderedPageBreak/>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bl>
    <w:p w14:paraId="7CEA76C3" w14:textId="77777777" w:rsidR="00FB30EB" w:rsidRDefault="00FB30EB" w:rsidP="007162F9">
      <w:pPr>
        <w:pStyle w:val="Heading4"/>
      </w:pPr>
    </w:p>
    <w:p w14:paraId="73860488"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3AE16353" w14:textId="49DB0CC7" w:rsidR="007162F9" w:rsidRDefault="007162F9" w:rsidP="007162F9">
      <w:pPr>
        <w:pStyle w:val="Heading4"/>
      </w:pPr>
      <w:r w:rsidRPr="00D6092D">
        <w:lastRenderedPageBreak/>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77777777"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0C3C2EF8" w14:textId="77777777" w:rsidR="00FB30EB" w:rsidRDefault="00FB30EB" w:rsidP="007162F9">
      <w:pPr>
        <w:pStyle w:val="Heading3"/>
      </w:pPr>
    </w:p>
    <w:p w14:paraId="41ADF265"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553ACF6D" w14:textId="7BE2AA58" w:rsidR="007162F9" w:rsidRPr="00B46C4C" w:rsidRDefault="007162F9" w:rsidP="007162F9">
      <w:pPr>
        <w:pStyle w:val="Heading3"/>
      </w:pPr>
      <w:bookmarkStart w:id="27" w:name="_Toc347833480"/>
      <w:r w:rsidRPr="00B46C4C">
        <w:lastRenderedPageBreak/>
        <w:t xml:space="preserve">Pattern Toolkit </w:t>
      </w:r>
      <w:r>
        <w:t xml:space="preserve">Automation </w:t>
      </w:r>
      <w:r w:rsidRPr="00B46C4C">
        <w:t>Project:</w:t>
      </w:r>
      <w:bookmarkEnd w:id="27"/>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03565059" w:rsidR="00FB30EB" w:rsidRDefault="00FB30EB" w:rsidP="00FB30EB">
            <w:pPr>
              <w:rPr>
                <w:b/>
              </w:rPr>
            </w:pPr>
            <w:r>
              <w:rPr>
                <w:b/>
              </w:rPr>
              <w:t>VS2010</w:t>
            </w:r>
          </w:p>
        </w:tc>
        <w:tc>
          <w:tcPr>
            <w:tcW w:w="8478" w:type="dxa"/>
          </w:tcPr>
          <w:p w14:paraId="5BD11878" w14:textId="5358A47E"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FB30EB" w14:paraId="718B2D50" w14:textId="77777777" w:rsidTr="00FB30EB">
        <w:tc>
          <w:tcPr>
            <w:tcW w:w="1098" w:type="dxa"/>
          </w:tcPr>
          <w:p w14:paraId="55420083" w14:textId="21552A98" w:rsidR="00FB30EB" w:rsidRDefault="00FB30EB" w:rsidP="00FB30EB">
            <w:pPr>
              <w:rPr>
                <w:b/>
              </w:rPr>
            </w:pPr>
            <w:r>
              <w:rPr>
                <w:b/>
              </w:rPr>
              <w:t>VS2012</w:t>
            </w:r>
          </w:p>
        </w:tc>
        <w:tc>
          <w:tcPr>
            <w:tcW w:w="8478" w:type="dxa"/>
          </w:tcPr>
          <w:p w14:paraId="601A71C3" w14:textId="73C6E068"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4E991FCC" w:rsidR="00FB30EB" w:rsidRDefault="0007654C" w:rsidP="0007654C">
      <w:pPr>
        <w:pStyle w:val="Heading3"/>
      </w:pPr>
      <w:bookmarkStart w:id="28" w:name="_Toc347833481"/>
      <w:r w:rsidRPr="0007654C">
        <w:lastRenderedPageBreak/>
        <w:t>Pattern Toolkit Solution</w:t>
      </w:r>
      <w:bookmarkEnd w:id="28"/>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66513559" w14:textId="6938FA1A" w:rsidR="009277EC" w:rsidRDefault="009277EC" w:rsidP="009277EC">
      <w:pPr>
        <w:pStyle w:val="ListParagraph"/>
        <w:numPr>
          <w:ilvl w:val="2"/>
          <w:numId w:val="28"/>
        </w:numPr>
      </w:pPr>
      <w:r>
        <w:t>Delete the following generated files:</w:t>
      </w:r>
    </w:p>
    <w:p w14:paraId="7C791BAE" w14:textId="0C679F5B" w:rsidR="00CB2FB4" w:rsidRDefault="00CB2FB4" w:rsidP="00CB2FB4">
      <w:pPr>
        <w:pStyle w:val="ListParagraph"/>
        <w:numPr>
          <w:ilvl w:val="4"/>
          <w:numId w:val="28"/>
        </w:numPr>
      </w:pPr>
      <w:r>
        <w:t>&lt;</w:t>
      </w:r>
      <w:proofErr w:type="spellStart"/>
      <w:r>
        <w:t>ToolkitProject</w:t>
      </w:r>
      <w:proofErr w:type="spellEnd"/>
      <w:r>
        <w:t>&gt;\</w:t>
      </w:r>
      <w:r>
        <w:t xml:space="preserve">source.include.t4. Note: This file is nested under </w:t>
      </w:r>
      <w:r>
        <w:t>&lt;</w:t>
      </w:r>
      <w:proofErr w:type="spellStart"/>
      <w:r>
        <w:t>ToolkitProject</w:t>
      </w:r>
      <w:proofErr w:type="spellEnd"/>
      <w:r>
        <w:t>&gt;\</w:t>
      </w:r>
      <w:r>
        <w:t>source.extension.tt</w:t>
      </w:r>
    </w:p>
    <w:p w14:paraId="3C6C24E9" w14:textId="29721430" w:rsidR="009277EC" w:rsidRDefault="009277EC" w:rsidP="009277EC">
      <w:pPr>
        <w:pStyle w:val="ListParagraph"/>
        <w:numPr>
          <w:ilvl w:val="3"/>
          <w:numId w:val="28"/>
        </w:numPr>
      </w:pPr>
      <w:r>
        <w:t>&lt;</w:t>
      </w:r>
      <w:proofErr w:type="spellStart"/>
      <w:r>
        <w:t>ToolkitProject</w:t>
      </w:r>
      <w:bookmarkStart w:id="29" w:name="_GoBack"/>
      <w:bookmarkEnd w:id="29"/>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48B5"/>
    <w:rsid w:val="0080410F"/>
    <w:rsid w:val="00813B9D"/>
    <w:rsid w:val="00822362"/>
    <w:rsid w:val="0085402F"/>
    <w:rsid w:val="008646B7"/>
    <w:rsid w:val="00877FB6"/>
    <w:rsid w:val="008813F4"/>
    <w:rsid w:val="00885914"/>
    <w:rsid w:val="00890266"/>
    <w:rsid w:val="00890286"/>
    <w:rsid w:val="00893197"/>
    <w:rsid w:val="008B0FAB"/>
    <w:rsid w:val="008B2663"/>
    <w:rsid w:val="008F631B"/>
    <w:rsid w:val="008F7515"/>
    <w:rsid w:val="00902DD4"/>
    <w:rsid w:val="00902ED4"/>
    <w:rsid w:val="00903062"/>
    <w:rsid w:val="00910274"/>
    <w:rsid w:val="009156E4"/>
    <w:rsid w:val="009277EC"/>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5290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86EF022-D727-4BB2-B116-019AF37F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21</Pages>
  <Words>5020</Words>
  <Characters>28615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194</cp:revision>
  <dcterms:created xsi:type="dcterms:W3CDTF">2011-11-28T23:10:00Z</dcterms:created>
  <dcterms:modified xsi:type="dcterms:W3CDTF">2013-02-05T00:19:00Z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